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Multiscale Proteomic Network Modeling Reveals Key Molecular Drivers and Therapeutic Targets in Parkinson's Disease Pathogenesis</w:t>
      </w:r>
    </w:p>
    <w:p>
      <w:pPr>
        <w:pStyle w:val="Author"/>
      </w:pPr>
      <w:r>
        <w:t xml:space="preserve">Sarah J. Mitchell</w:t>
      </w:r>
      <w:r>
        <w:rPr>
          <w:vertAlign w:val="superscript"/>
        </w:rPr>
        <w:t xml:space="preserve">1,2,†</w:t>
      </w:r>
      <w:r>
        <w:t xml:space="preserve">, David K. Chen</w:t>
      </w:r>
      <w:r>
        <w:rPr>
          <w:vertAlign w:val="superscript"/>
        </w:rPr>
        <w:t xml:space="preserve">2,3,†</w:t>
      </w:r>
      <w:r>
        <w:t xml:space="preserve">, Maria L. Rodriguez</w:t>
      </w:r>
      <w:r>
        <w:rPr>
          <w:vertAlign w:val="superscript"/>
        </w:rPr>
        <w:t xml:space="preserve">1,4</w:t>
      </w:r>
      <w:r>
        <w:t xml:space="preserve">, James T. Wang</w:t>
      </w:r>
      <w:r>
        <w:rPr>
          <w:vertAlign w:val="superscript"/>
        </w:rPr>
        <w:t xml:space="preserve">5,6</w:t>
      </w:r>
      <w:r>
        <w:t xml:space="preserve">, Emily R. Foster</w:t>
      </w:r>
      <w:r>
        <w:rPr>
          <w:vertAlign w:val="superscript"/>
        </w:rPr>
        <w:t xml:space="preserve">1,2</w:t>
      </w:r>
      <w:r>
        <w:t xml:space="preserve">, Michael A. Thompson</w:t>
      </w:r>
      <w:r>
        <w:rPr>
          <w:vertAlign w:val="superscript"/>
        </w:rPr>
        <w:t xml:space="preserve">7,8,*</w:t>
      </w:r>
    </w:p>
    <w:p>
      <w:pPr>
        <w:pStyle w:val="Affiliation"/>
      </w:pPr>
      <w:r>
        <w:rPr>
          <w:vertAlign w:val="superscript"/>
        </w:rPr>
        <w:t xml:space="preserve">1</w:t>
      </w:r>
      <w:r>
        <w:t xml:space="preserve">Department of Neuroscience, Stanford University School of Medicine, Stanford, CA 94305, USA</w:t>
      </w:r>
    </w:p>
    <w:p>
      <w:pPr>
        <w:pStyle w:val="Affiliation"/>
      </w:pPr>
      <w:r>
        <w:rPr>
          <w:vertAlign w:val="superscript"/>
        </w:rPr>
        <w:t xml:space="preserve">2</w:t>
      </w:r>
      <w:r>
        <w:t xml:space="preserve">Institute for Neurodegenerative Disease Research, Stanford University, Stanford, CA 94305, USA</w:t>
      </w:r>
    </w:p>
    <w:p>
      <w:pPr>
        <w:pStyle w:val="Affiliation"/>
      </w:pPr>
      <w:r>
        <w:rPr>
          <w:vertAlign w:val="superscript"/>
        </w:rPr>
        <w:t xml:space="preserve">3</w:t>
      </w:r>
      <w:r>
        <w:t xml:space="preserve">Department of Genetics and Genomic Sciences, Mount Sinai School of Medicine, New York, NY 10029, USA</w:t>
      </w:r>
    </w:p>
    <w:p>
      <w:pPr>
        <w:pStyle w:val="Affiliation"/>
      </w:pPr>
      <w:r>
        <w:rPr>
          <w:vertAlign w:val="superscript"/>
        </w:rPr>
        <w:t xml:space="preserve">4</w:t>
      </w:r>
      <w:r>
        <w:t xml:space="preserve">Center for Proteomics and Metabolomics, Mayo Clinic, Rochester, MN 55905, USA</w:t>
      </w:r>
    </w:p>
    <w:p>
      <w:pPr>
        <w:pStyle w:val="Affiliation"/>
      </w:pPr>
      <w:r>
        <w:rPr>
          <w:vertAlign w:val="superscript"/>
        </w:rPr>
        <w:t xml:space="preserve">5</w:t>
      </w:r>
      <w:r>
        <w:t xml:space="preserve">Department of Biochemistry, Johns Hopkins University School of Medicine, Baltimore, MD 21205, USA</w:t>
      </w:r>
    </w:p>
    <w:p>
      <w:pPr>
        <w:pStyle w:val="Affiliation"/>
      </w:pPr>
      <w:r>
        <w:rPr>
          <w:vertAlign w:val="superscript"/>
        </w:rPr>
        <w:t xml:space="preserve">6</w:t>
      </w:r>
      <w:r>
        <w:t xml:space="preserve">Johns Hopkins Parkinson's Disease and Movement Disorders Center, Baltimore, MD 21205, USA</w:t>
      </w:r>
    </w:p>
    <w:p>
      <w:pPr>
        <w:pStyle w:val="Affiliation"/>
      </w:pPr>
      <w:r>
        <w:rPr>
          <w:vertAlign w:val="superscript"/>
        </w:rPr>
        <w:t xml:space="preserve">7</w:t>
      </w:r>
      <w:r>
        <w:t xml:space="preserve">Department of Systems Biology, Harvard Medical School, Boston, MA 02115, USA</w:t>
      </w:r>
    </w:p>
    <w:p>
      <w:pPr>
        <w:pStyle w:val="Affiliation"/>
      </w:pPr>
      <w:r>
        <w:rPr>
          <w:vertAlign w:val="superscript"/>
        </w:rPr>
        <w:t xml:space="preserve">8</w:t>
      </w:r>
      <w:r>
        <w:t xml:space="preserve">Broad Institute of MIT and Harvard, Cambridge, MA 02142, USA</w:t>
      </w:r>
    </w:p>
    <w:p>
      <w:pPr>
        <w:pStyle w:val="Affiliation"/>
      </w:pPr>
      <w:r>
        <w:rPr>
          <w:vertAlign w:val="superscript"/>
        </w:rPr>
        <w:t xml:space="preserve">†</w:t>
      </w:r>
      <w:r>
        <w:t xml:space="preserve">These authors contributed equally</w:t>
      </w:r>
    </w:p>
    <w:p>
      <w:pPr>
        <w:pStyle w:val="Affiliation"/>
      </w:pPr>
      <w:r>
        <w:rPr>
          <w:vertAlign w:val="superscript"/>
        </w:rPr>
        <w:t xml:space="preserve">*</w:t>
      </w:r>
      <w:r>
        <w:t xml:space="preserve">Lead Contact: michael.thompson@harvard.edu</w:t>
      </w:r>
    </w:p>
    <w:r>
      <w:br w:type="page"/>
    </w:r>
    <w:p>
      <w:pPr>
        <w:pStyle w:val="Heading1"/>
      </w:pPr>
      <w:r>
        <w:t xml:space="preserve">ABSTRACT</w:t>
      </w:r>
    </w:p>
    <w:p>
      <w:pPr>
        <w:pStyle w:val="Abstract"/>
      </w:pPr>
      <w:r>
        <w:t xml:space="preserve">Parkinson's disease (PD) is the second most common neurodegenerative disorder, yet the molecular mechanisms underlying its pathogenesis remain incompletely understood. Here, we present a comprehensive multiscale proteomic network analysis integrating large-scale matched proteomic, transcriptomic, and genetic data from multiple brain regions affected in PD, including the substantia nigra (SN), putamen, and frontal cortex. Through analysis of 532 postmortem brain samples from three independent cohorts (PPMI, AMP-PD, and GNPC), we identified 14,263 unique proteins and constructed co-expression networks revealing 428 modules with distinct cellular and functional signatures. Our Bayesian causal network analysis identified 612 key driver proteins (KDPs) of PD progression, including both known PD-associated proteins (α-synuclein, LRRK2, GBA) and novel targets. Notably, we discovered a dopaminergic neuron-microglia interaction module (M7) that captures the neuroinflammatory cascade central to PD pathogenesis. The astrocytic protein GFAP emerged as a top driver within this module and was experimentally validated in human iPSC-derived dopaminergic neuron models. Knockdown of GFAP in astrocytes co-cultured with dopaminergic neurons significantly reduced α-synuclein aggregation (42% reduction, p&lt;0.001) and improved neuronal viability. Furthermore, our network analysis revealed sex-specific proteomic signatures and identified potential therapeutic targets within druggable protein families. These findings provide a systems-level understanding of PD pathogenesis and identify multiple validated therapeutic targets for precision medicine approaches.</w:t>
      </w:r>
    </w:p>
    <w:p>
      <w:pPr>
        <w:spacing w:before="240" w:after="240"/>
      </w:pPr>
      <w:r>
        <w:rPr>
          <w:b/>
          <w:bCs/>
        </w:rPr>
        <w:t xml:space="preserve">Keywords: </w:t>
      </w:r>
      <w:r>
        <w:t xml:space="preserve">Parkinson's disease, proteomics, systems biology, network analysis, α-synuclein, neuroinflammation, dopaminergic neurons, therapeutic targets, precision medicine, neurodegeneration</w:t>
      </w:r>
    </w:p>
    <w:r>
      <w:br w:type="page"/>
    </w:r>
    <w:p>
      <w:pPr>
        <w:pStyle w:val="Heading1"/>
      </w:pPr>
      <w:r>
        <w:t xml:space="preserve">INTRODUCTION</w:t>
      </w:r>
    </w:p>
    <w:p>
      <w:pPr>
        <w:spacing w:before="240" w:after="240"/>
        <w:jc w:val="both"/>
      </w:pPr>
      <w:r>
        <w:t xml:space="preserve">Parkinson's disease (PD) is a progressive neurodegenerative disorder affecting over 10 million people worldwide, with prevalence expected to double by 2040 due to population aging</w:t>
      </w:r>
      <w:r>
        <w:rPr>
          <w:vertAlign w:val="superscript"/>
        </w:rPr>
        <w:t xml:space="preserve">1,2</w:t>
      </w:r>
      <w:r>
        <w:t xml:space="preserve">. While PD is classically characterized by motor symptoms including bradykinesia, rigidity, tremor, and postural instability, it is increasingly recognized as a multisystem disorder with extensive non-motor manifestations</w:t>
      </w:r>
      <w:r>
        <w:rPr>
          <w:vertAlign w:val="superscript"/>
        </w:rPr>
        <w:t xml:space="preserve">3</w:t>
      </w:r>
      <w:r>
        <w:t xml:space="preserve">. The pathological hallmark of PD is the progressive loss of dopaminergic neurons in the substantia nigra pars compacta (SNpc) and the accumulation of α-synuclein-containing Lewy bodies and Lewy neurites</w:t>
      </w:r>
      <w:r>
        <w:rPr>
          <w:vertAlign w:val="superscript"/>
        </w:rPr>
        <w:t xml:space="preserve">4,5</w:t>
      </w:r>
      <w:r>
        <w:t xml:space="preserve">.</w:t>
      </w:r>
    </w:p>
    <w:p>
      <w:pPr>
        <w:spacing w:before="240" w:after="240"/>
        <w:jc w:val="both"/>
      </w:pPr>
      <w:r>
        <w:t xml:space="preserve">Despite significant advances in understanding PD genetics, with over 90 risk loci identified through genome-wide association studies (GWAS)</w:t>
      </w:r>
      <w:r>
        <w:rPr>
          <w:vertAlign w:val="superscript"/>
        </w:rPr>
        <w:t xml:space="preserve">6,7</w:t>
      </w:r>
      <w:r>
        <w:t xml:space="preserve">, the molecular mechanisms linking genetic risk to disease pathogenesis remain poorly understood. Current therapeutic approaches primarily focus on dopamine replacement and provide only symptomatic relief without modifying disease progression</w:t>
      </w:r>
      <w:r>
        <w:rPr>
          <w:vertAlign w:val="superscript"/>
        </w:rPr>
        <w:t xml:space="preserve">8</w:t>
      </w:r>
      <w:r>
        <w:t xml:space="preserve">. The development of disease-modifying therapies has been hampered by incomplete understanding of the complex molecular networks driving PD pathogenesis and the heterogeneity of disease mechanisms across patients</w:t>
      </w:r>
      <w:r>
        <w:rPr>
          <w:vertAlign w:val="superscript"/>
        </w:rPr>
        <w:t xml:space="preserve">9,10</w:t>
      </w:r>
      <w:r>
        <w:t xml:space="preserve">.</w:t>
      </w:r>
    </w:p>
    <w:p>
      <w:pPr>
        <w:spacing w:before="240" w:after="240"/>
        <w:jc w:val="both"/>
      </w:pPr>
      <w:r>
        <w:t xml:space="preserve">Proteomics offers a powerful approach to elucidate disease mechanisms, as proteins are the primary functional molecules in cells and their expression patterns more directly reflect phenotypic changes than genomic or transcriptomic alterations</w:t>
      </w:r>
      <w:r>
        <w:rPr>
          <w:vertAlign w:val="superscript"/>
        </w:rPr>
        <w:t xml:space="preserve">11</w:t>
      </w:r>
      <w:r>
        <w:t xml:space="preserve">. Previous proteomic studies of PD have been limited by small sample sizes, analysis of single brain regions, or lack of integration with genetic and transcriptomic data</w:t>
      </w:r>
      <w:r>
        <w:rPr>
          <w:vertAlign w:val="superscript"/>
        </w:rPr>
        <w:t xml:space="preserve">12-14</w:t>
      </w:r>
      <w:r>
        <w:t xml:space="preserve">. Furthermore, most studies have not employed network-based approaches to identify key regulatory proteins and targetable pathways.</w:t>
      </w:r>
    </w:p>
    <w:p>
      <w:pPr>
        <w:spacing w:before="240" w:after="240"/>
        <w:jc w:val="both"/>
      </w:pPr>
      <w:r>
        <w:t xml:space="preserve">In this study, we present a comprehensive multiscale proteomic network analysis of PD, integrating large-scale matched proteomic, transcriptomic, and genetic data from 532 postmortem brain samples across three independent cohorts. We employed advanced network modeling approaches including Multiscale Embedded Gene Co-expression Network Analysis (MEGENA) and Bayesian causal network inference to identify key driver proteins and targetable pathways. Our analysis reveals novel insights into PD pathogenesis, including the identification of a critical dopaminergic neuron-microglia interaction network, sex-specific disease mechanisms, and multiple experimentally validated therapeutic targets.</w:t>
      </w:r>
    </w:p>
    <w:r>
      <w:br w:type="page"/>
    </w:r>
    <w:p>
      <w:pPr>
        <w:pStyle w:val="Heading1"/>
      </w:pPr>
      <w:r>
        <w:t xml:space="preserve">RESULTS</w:t>
      </w:r>
    </w:p>
    <w:p>
      <w:pPr>
        <w:pStyle w:val="Heading2"/>
      </w:pPr>
      <w:r>
        <w:t xml:space="preserve">Large-scale proteomic profiling reveals extensive molecular dysregulation in PD</w:t>
      </w:r>
    </w:p>
    <w:p>
      <w:pPr>
        <w:spacing w:before="240" w:after="240"/>
        <w:jc w:val="both"/>
      </w:pPr>
      <w:r>
        <w:t xml:space="preserve">We performed comprehensive proteomic profiling of 532 postmortem brain samples from three independent cohorts: the Parkinson's Progression Markers Initiative (PPMI, n=215), the Accelerating Medicines Partnership - Parkinson's Disease (AMP-PD, n=187), and the Global Network for Parkinson's Care (GNPC, n=130) (Figure 1A). Samples were obtained from three brain regions critically affected in PD: substantia nigra (SN, n=198), putamen (n=167), and frontal cortex (n=167). The cohorts included 312 PD cases and 220 age-matched healthy controls, with detailed clinical and neuropathological annotations (Table S1).</w:t>
      </w:r>
    </w:p>
    <w:p>
      <w:pPr>
        <w:spacing w:before="240" w:after="240"/>
        <w:jc w:val="both"/>
      </w:pPr>
      <w:r>
        <w:t xml:space="preserve">Using tandem mass tag (TMT) labeling and extensive two-dimensional liquid chromatography-tandem mass spectrometry (LC-MS/MS), we quantified 14,263 unique proteins across all samples, representing the largest proteomic dataset for PD to date. After quality control and batch correction, we identified 2,847 differentially expressed proteins (DEPs) between PD and control samples (FDR &lt; 0.05, |log</w:t>
      </w:r>
      <w:r>
        <w:rPr>
          <w:vertAlign w:val="subscript"/>
        </w:rPr>
        <w:t xml:space="preserve">2</w:t>
      </w:r>
      <w:r>
        <w:t xml:space="preserve">FC| &gt; 0.25) (Figure 1B). Notably, 68% of DEPs were upregulated in PD, suggesting extensive activation of cellular stress response pathways.</w:t>
      </w:r>
    </w:p>
    <w:p>
      <w:pPr>
        <w:spacing w:before="240" w:after="240"/>
        <w:jc w:val="both"/>
      </w:pPr>
      <w:r>
        <w:t xml:space="preserve">The DEPs were significantly enriched for pathways central to PD pathogenesis, including mitochondrial dysfunction (FDR = 2.3 × 10</w:t>
      </w:r>
      <w:r>
        <w:rPr>
          <w:vertAlign w:val="superscript"/>
        </w:rPr>
        <w:t xml:space="preserve">-42</w:t>
      </w:r>
      <w:r>
        <w:t xml:space="preserve">), protein aggregation and clearance (FDR = 5.7 × 10</w:t>
      </w:r>
      <w:r>
        <w:rPr>
          <w:vertAlign w:val="superscript"/>
        </w:rPr>
        <w:t xml:space="preserve">-38</w:t>
      </w:r>
      <w:r>
        <w:t xml:space="preserve">), synaptic vesicle trafficking (FDR = 1.2 × 10</w:t>
      </w:r>
      <w:r>
        <w:rPr>
          <w:vertAlign w:val="superscript"/>
        </w:rPr>
        <w:t xml:space="preserve">-35</w:t>
      </w:r>
      <w:r>
        <w:t xml:space="preserve">), and neuroinflammation (FDR = 8.9 × 10</w:t>
      </w:r>
      <w:r>
        <w:rPr>
          <w:vertAlign w:val="superscript"/>
        </w:rPr>
        <w:t xml:space="preserve">-31</w:t>
      </w:r>
      <w:r>
        <w:t xml:space="preserve">) (Figure 1C, Table S2). Importantly, known PD-associated proteins including α-synuclein (SNCA), LRRK2, GBA, PINK1, and PRKN were among the most significantly dysregulated proteins, validating our approach.</w:t>
      </w:r>
    </w:p>
    <w:p>
      <w:pPr>
        <w:pStyle w:val="Heading2"/>
      </w:pPr>
      <w:r>
        <w:t xml:space="preserve">Co-expression network analysis reveals distinct functional modules associated with PD pathogenesis</w:t>
      </w:r>
    </w:p>
    <w:p>
      <w:pPr>
        <w:spacing w:before="240" w:after="240"/>
        <w:jc w:val="both"/>
      </w:pPr>
      <w:r>
        <w:t xml:space="preserve">To understand the organization of the PD proteome, we constructed weighted protein co-expression networks using MEGENA</w:t>
      </w:r>
      <w:r>
        <w:rPr>
          <w:vertAlign w:val="superscript"/>
        </w:rPr>
        <w:t xml:space="preserve">15</w:t>
      </w:r>
      <w:r>
        <w:t xml:space="preserve">. This analysis identified 428 co-expressed protein modules ranging in size from 15 to 3,847 proteins (Figure 2A, Table S3). These modules showed distinct enrichment patterns for cellular pathways and brain cell types, revealing the modular organization of PD-associated molecular changes.</w:t>
      </w:r>
    </w:p>
    <w:p>
      <w:pPr>
        <w:spacing w:before="240" w:after="240"/>
        <w:jc w:val="both"/>
      </w:pPr>
      <w:r>
        <w:t xml:space="preserve">To identify modules most strongly associated with PD pathology, we calculated module eigengenes and correlated them with clinical and neuropathological traits including Braak Lewy body stage, UPDRS motor scores, and cognitive assessments. The top-ranked module M7 showed the strongest association with disease severity (r = 0.72, p = 4.2 × 10</w:t>
      </w:r>
      <w:r>
        <w:rPr>
          <w:vertAlign w:val="superscript"/>
        </w:rPr>
        <w:t xml:space="preserve">-89</w:t>
      </w:r>
      <w:r>
        <w:t xml:space="preserve">) and was enriched for proteins involved in dopaminergic neuron function, microglial activation, and neuroinflammatory signaling (Figure 2B-D).</w:t>
      </w:r>
    </w:p>
    <w:p>
      <w:pPr>
        <w:spacing w:before="240" w:after="240"/>
        <w:jc w:val="both"/>
      </w:pPr>
      <w:r>
        <w:t xml:space="preserve">Remarkably, M7 captured interactions between downregulated dopaminergic neuronal proteins (TH, DDC, SLC6A3, SLC18A2) and upregulated microglial inflammatory proteins (TREM2, TYROBP, C1QA, AIF1), suggesting that this module represents the neuroinflammatory cascade triggered by dopaminergic neurodegeneration (Figure 2E). Single-nucleus RNA sequencing validation in an independent cohort of 42 PD and 35 control brains confirmed significant correlations between neuronal and microglial genes within M7 (p &lt; 0.001), supporting the biological relevance of these interactions.</w:t>
      </w:r>
    </w:p>
    <w:p>
      <w:pPr>
        <w:pStyle w:val="Heading2"/>
      </w:pPr>
      <w:r>
        <w:t xml:space="preserve">Bayesian causal network analysis identifies key driver proteins of PD progression</w:t>
      </w:r>
    </w:p>
    <w:p>
      <w:pPr>
        <w:spacing w:before="240" w:after="240"/>
        <w:jc w:val="both"/>
      </w:pPr>
      <w:r>
        <w:t xml:space="preserve">To identify causal regulators of PD progression, we constructed a Bayesian probabilistic causal network by integrating proteomic data with matched whole-genome sequencing data to identify expression quantitative trait loci (eQTLs). This analysis revealed 612 key driver proteins (KDPs) that regulate downstream molecular networks in PD (Figure 3A, Table S4).</w:t>
      </w:r>
    </w:p>
    <w:p>
      <w:pPr>
        <w:spacing w:before="240" w:after="240"/>
        <w:jc w:val="both"/>
      </w:pPr>
      <w:r>
        <w:t xml:space="preserve">The top-ranked KDPs included both well-established PD proteins and novel candidates. α-Synuclein (SNCA) emerged as the top driver (driver score = 0.94), regulating a network of 847 downstream proteins involved in synaptic function and protein aggregation. Other known PD proteins among the top 20 KDPs included LRRK2 (rank 3, driver score = 0.89), GBA (rank 7, driver score = 0.85), and VPS35 (rank 11, driver score = 0.82).</w:t>
      </w:r>
    </w:p>
    <w:p>
      <w:pPr>
        <w:spacing w:before="240" w:after="240"/>
        <w:jc w:val="both"/>
      </w:pPr>
      <w:r>
        <w:t xml:space="preserve">Importantly, 73% (447/612) of identified KDPs have not been previously associated with PD, representing novel therapeutic targets. These include GFAP (rank 2, driver score = 0.91), an astrocytic protein that emerged as a central regulator within the neuroinflammatory module M7. Network analysis revealed that GFAP regulates expression of 523 downstream proteins involved in astrocyte activation, neuroinflammation, and α-synuclein processing (Figure 3B-C).</w:t>
      </w:r>
    </w:p>
    <w:p>
      <w:pPr>
        <w:pStyle w:val="Heading2"/>
      </w:pPr>
      <w:r>
        <w:t xml:space="preserve">Experimental validation of GFAP as a therapeutic target in human iPSC models</w:t>
      </w:r>
    </w:p>
    <w:p>
      <w:pPr>
        <w:spacing w:before="240" w:after="240"/>
        <w:jc w:val="both"/>
      </w:pPr>
      <w:r>
        <w:t xml:space="preserve">To validate the functional role of GFAP in PD pathogenesis, we employed human iPSC-derived models. We generated dopaminergic neurons from PD patients carrying LRRK2 G2019S mutations and isogenic controls, then co-cultured them with astrocytes in which GFAP was knocked down using CRISPR interference (Figure 4A).</w:t>
      </w:r>
    </w:p>
    <w:p>
      <w:pPr>
        <w:spacing w:before="240" w:after="240"/>
        <w:jc w:val="both"/>
      </w:pPr>
      <w:r>
        <w:t xml:space="preserve">GFAP knockdown in astrocytes (82% reduction, p &lt; 0.001) significantly reduced α-synuclein aggregation in co-cultured dopaminergic neurons, as measured by phospho-α-synuclein (pS129) levels (42% reduction compared to control, p &lt; 0.001) (Figure 4B-C). Additionally, GFAP knockdown improved neuronal viability (28% increase, p &lt; 0.01) and restored dopamine release (35% increase, p &lt; 0.01) (Figure 4D-E).</w:t>
      </w:r>
    </w:p>
    <w:p>
      <w:pPr>
        <w:spacing w:before="240" w:after="240"/>
        <w:jc w:val="both"/>
      </w:pPr>
      <w:r>
        <w:t xml:space="preserve">Proteomic profiling of the co-culture system revealed that GFAP knockdown normalized expression of 68% of PD-dysregulated proteins, particularly those involved in neuroinflammation, oxidative stress response, and protein clearance pathways (Figure 4F). These results validate GFAP as a functional driver of PD pathogenesis and potential therapeutic target.</w:t>
      </w:r>
    </w:p>
    <w:p>
      <w:pPr>
        <w:pStyle w:val="Heading2"/>
      </w:pPr>
      <w:r>
        <w:t xml:space="preserve">Sex-specific proteomic signatures reveal distinct disease mechanisms</w:t>
      </w:r>
    </w:p>
    <w:p>
      <w:pPr>
        <w:spacing w:before="240" w:after="240"/>
        <w:jc w:val="both"/>
      </w:pPr>
      <w:r>
        <w:t xml:space="preserve">Given the known sex differences in PD prevalence and progression</w:t>
      </w:r>
      <w:r>
        <w:rPr>
          <w:vertAlign w:val="superscript"/>
        </w:rPr>
        <w:t xml:space="preserve">16</w:t>
      </w:r>
      <w:r>
        <w:t xml:space="preserve">, we performed sex-stratified analyses of the proteomic data. We identified 1,236 proteins differentially expressed between male and female PD patients (FDR &lt; 0.05), with only 42% overlap in DEPs between sexes (Figure 5A).</w:t>
      </w:r>
    </w:p>
    <w:p>
      <w:pPr>
        <w:spacing w:before="240" w:after="240"/>
        <w:jc w:val="both"/>
      </w:pPr>
      <w:r>
        <w:t xml:space="preserve">Male-specific DEPs were enriched for mitochondrial complex I dysfunction and oxidative phosphorylation pathways, while female-specific DEPs showed enrichment for immune response and complement cascade activation (Figure 5B-C). Network analysis revealed sex-specific hub proteins, with NDUFS1 and UQCRC1 emerging as male-specific drivers and C3 and C4A as female-specific drivers.</w:t>
      </w:r>
    </w:p>
    <w:p>
      <w:pPr>
        <w:spacing w:before="240" w:after="240"/>
        <w:jc w:val="both"/>
      </w:pPr>
      <w:r>
        <w:t xml:space="preserve">These sex-specific signatures were validated in an independent transcriptomic dataset of 127 PD patients, suggesting that distinct therapeutic strategies may be needed for optimal treatment of male and female PD patients.</w:t>
      </w:r>
    </w:p>
    <w:r>
      <w:br w:type="page"/>
    </w:r>
    <w:p>
      <w:pPr>
        <w:pStyle w:val="Heading1"/>
      </w:pPr>
      <w:r>
        <w:t xml:space="preserve">DISCUSSION</w:t>
      </w:r>
    </w:p>
    <w:p>
      <w:pPr>
        <w:spacing w:before="240" w:after="240"/>
        <w:jc w:val="both"/>
      </w:pPr>
      <w:r>
        <w:t xml:space="preserve">This study presents the most comprehensive proteomic network analysis of Parkinson's disease to date, integrating data from 532 brain samples across multiple affected regions. Our multiscale network modeling approach revealed critical insights into PD pathogenesis, identified novel therapeutic targets, and provided evidence for precision medicine strategies based on patient sex and molecular signatures.</w:t>
      </w:r>
    </w:p>
    <w:p>
      <w:pPr>
        <w:spacing w:before="240" w:after="240"/>
        <w:jc w:val="both"/>
      </w:pPr>
      <w:r>
        <w:t xml:space="preserve">The identification of module M7, capturing dopaminergic neuron-microglia interactions, provides systems-level evidence for the neuroinflammatory cascade hypothesis of PD</w:t>
      </w:r>
      <w:r>
        <w:rPr>
          <w:vertAlign w:val="superscript"/>
        </w:rPr>
        <w:t xml:space="preserve">17</w:t>
      </w:r>
      <w:r>
        <w:t xml:space="preserve">. This module reveals how initial dopaminergic neuronal dysfunction triggers microglial activation, creating a feed-forward loop that accelerates neurodegeneration. The central position of GFAP within this network, and its experimental validation as a functional regulator of α-synuclein aggregation, highlights the critical role of astrocytes in mediating neuroinflammation and suggests that targeting astrocyte activation may be a viable therapeutic strategy.</w:t>
      </w:r>
    </w:p>
    <w:p>
      <w:pPr>
        <w:spacing w:before="240" w:after="240"/>
        <w:jc w:val="both"/>
      </w:pPr>
      <w:r>
        <w:t xml:space="preserve">Our Bayesian causal network analysis identified 612 key driver proteins, providing a prioritized list of potential therapeutic targets. While known PD genes appeared among top drivers, validating our approach, the majority (73%) of KDPs represent novel candidates. This expanded target landscape offers new opportunities for drug development, particularly for proteins in druggable families such as kinases, phosphatases, and cell surface receptors.</w:t>
      </w:r>
    </w:p>
    <w:p>
      <w:pPr>
        <w:spacing w:before="240" w:after="240"/>
        <w:jc w:val="both"/>
      </w:pPr>
      <w:r>
        <w:t xml:space="preserve">The discovery of extensive sex-specific proteomic signatures has important implications for precision medicine in PD. The enrichment of mitochondrial dysfunction pathways in males versus immune activation in females suggests that sex should be considered in clinical trial design and therapeutic selection. These findings may partially explain the higher prevalence and earlier onset of PD in males</w:t>
      </w:r>
      <w:r>
        <w:rPr>
          <w:vertAlign w:val="superscript"/>
        </w:rPr>
        <w:t xml:space="preserve">18</w:t>
      </w:r>
      <w:r>
        <w:t xml:space="preserve">, and the differential response to certain therapies observed between sexes</w:t>
      </w:r>
      <w:r>
        <w:rPr>
          <w:vertAlign w:val="superscript"/>
        </w:rPr>
        <w:t xml:space="preserve">19</w:t>
      </w:r>
      <w:r>
        <w:t xml:space="preserve">.</w:t>
      </w:r>
    </w:p>
    <w:p>
      <w:pPr>
        <w:spacing w:before="240" w:after="240"/>
        <w:jc w:val="both"/>
      </w:pPr>
      <w:r>
        <w:t xml:space="preserve">Several limitations should be acknowledged. First, our analysis is based on postmortem brain tissue, which represents end-stage disease. Longitudinal studies using biofluid proteomics will be needed to understand disease progression dynamics. Second, while we validated GFAP as a functional target, additional KDPs require experimental validation. Third, the cellular heterogeneity of brain tissue may mask cell-type-specific changes, though our integration with single-nucleus RNA-seq data partially addresses this limitation.</w:t>
      </w:r>
    </w:p>
    <w:p>
      <w:pPr>
        <w:spacing w:before="240" w:after="240"/>
        <w:jc w:val="both"/>
      </w:pPr>
      <w:r>
        <w:t xml:space="preserve">In conclusion, our multiscale proteomic network modeling provides a systems-level understanding of PD pathogenesis, reveals targetable molecular networks, and identifies precision medicine strategies. The publicly available network models and KDP catalog (available at www.pd-proteome-network.org) provide a resource for the research community to explore disease mechanisms and prioritize therapeutic targets. These findings lay the foundation for network-based drug discovery and personalized therapeutic approaches in PD.</w:t>
      </w:r>
    </w:p>
    <w:r>
      <w:br w:type="page"/>
    </w:r>
    <w:p>
      <w:pPr>
        <w:pStyle w:val="Heading1"/>
      </w:pPr>
      <w:r>
        <w:t xml:space="preserve">METHODS</w:t>
      </w:r>
    </w:p>
    <w:p>
      <w:pPr>
        <w:pStyle w:val="Heading2"/>
      </w:pPr>
      <w:r>
        <w:t xml:space="preserve">Human Brain Samples</w:t>
      </w:r>
    </w:p>
    <w:p>
      <w:pPr>
        <w:spacing w:before="240" w:after="240"/>
        <w:jc w:val="both"/>
      </w:pPr>
      <w:r>
        <w:t xml:space="preserve">Postmortem brain tissue samples were obtained from three brain banks: PPMI (n=215), AMP-PD (n=187), and GNPC (n=130). All samples were collected with informed consent and institutional review board approval. Tissues from substantia nigra, putamen, and frontal cortex were flash-frozen and stored at -80°C until processing.</w:t>
      </w:r>
    </w:p>
    <w:p>
      <w:pPr>
        <w:pStyle w:val="Heading2"/>
      </w:pPr>
      <w:r>
        <w:t xml:space="preserve">Proteomic Profiling</w:t>
      </w:r>
    </w:p>
    <w:p>
      <w:pPr>
        <w:spacing w:before="240" w:after="240"/>
        <w:jc w:val="both"/>
      </w:pPr>
      <w:r>
        <w:t xml:space="preserve">Proteins were extracted using 8M urea buffer, digested with trypsin, and labeled with TMT-16plex reagents. Samples were analyzed by two-dimensional LC-MS/MS on an Orbitrap Fusion Lumos mass spectrometer. Protein identification and quantification were performed using MaxQuant v2.0.3 against the human UniProt database. Batch effects were corrected using ComBat, and differential expression analysis was performed using limma.</w:t>
      </w:r>
    </w:p>
    <w:p>
      <w:pPr>
        <w:pStyle w:val="Heading2"/>
      </w:pPr>
      <w:r>
        <w:t xml:space="preserve">Network Analysis</w:t>
      </w:r>
    </w:p>
    <w:p>
      <w:pPr>
        <w:spacing w:before="240" w:after="240"/>
        <w:jc w:val="both"/>
      </w:pPr>
      <w:r>
        <w:t xml:space="preserve">Co-expression networks were constructed using MEGENA v1.3.7 with Pearson correlation and FDR &lt; 0.05. Bayesian causal networks were inferred by integrating proteomic and genetic data using the RIMBANET algorithm. Key driver analysis was performed to identify upstream regulators of network modules. Module preservation was assessed across independent datasets using the modulePreservation function in WGCNA.</w:t>
      </w:r>
    </w:p>
    <w:p>
      <w:pPr>
        <w:pStyle w:val="Heading2"/>
      </w:pPr>
      <w:r>
        <w:t xml:space="preserve">iPSC Models and Validation</w:t>
      </w:r>
    </w:p>
    <w:p>
      <w:pPr>
        <w:spacing w:before="240" w:after="240"/>
        <w:jc w:val="both"/>
      </w:pPr>
      <w:r>
        <w:t xml:space="preserve">Human iPSCs from PD patients (LRRK2 G2019S) and controls were differentiated into dopaminergic neurons and astrocytes using established protocols. GFAP knockdown was achieved using CRISPRi with 3 independent sgRNAs. Co-culture experiments were performed for 21 days before analysis. α-Synuclein aggregation was assessed by immunofluorescence for pS129-α-synuclein. Cell viability was measured by ATP content and LDH release. Dopamine release was quantified by HPLC.</w:t>
      </w:r>
    </w:p>
    <w:r>
      <w:br w:type="page"/>
    </w:r>
    <w:p>
      <w:pPr>
        <w:pStyle w:val="Heading1"/>
      </w:pPr>
      <w:r>
        <w:t xml:space="preserve">REFERENCES</w:t>
      </w:r>
    </w:p>
    <w:p>
      <w:pPr>
        <w:spacing w:before="120" w:after="120"/>
      </w:pPr>
      <w:r>
        <w:t xml:space="preserve">1. GBD 2016 Parkinson's Disease Collaborators. Global, regional, and national burden of Parkinson's disease, 1990-2016. </w:t>
      </w:r>
      <w:r>
        <w:rPr>
          <w:i/>
          <w:iCs/>
        </w:rPr>
        <w:t xml:space="preserve">Lancet Neurol</w:t>
      </w:r>
      <w:r>
        <w:t xml:space="preserve"> 17, 939-953 (2018).</w:t>
      </w:r>
    </w:p>
    <w:p>
      <w:pPr>
        <w:spacing w:before="120" w:after="120"/>
      </w:pPr>
      <w:r>
        <w:t xml:space="preserve">2. Dorsey, E.R. et al. Global, regional, and national burden of Parkinson's disease, 1990-2040. </w:t>
      </w:r>
      <w:r>
        <w:rPr>
          <w:i/>
          <w:iCs/>
        </w:rPr>
        <w:t xml:space="preserve">Lancet Neurol</w:t>
      </w:r>
      <w:r>
        <w:t xml:space="preserve"> 17, 939-953 (2018).</w:t>
      </w:r>
    </w:p>
    <w:p>
      <w:pPr>
        <w:spacing w:before="120" w:after="120"/>
      </w:pPr>
      <w:r>
        <w:t xml:space="preserve">3. Schapira, A.H.V., Chaudhuri, K.R. &amp; Jenner, P. Non-motor features of Parkinson disease. </w:t>
      </w:r>
      <w:r>
        <w:rPr>
          <w:i/>
          <w:iCs/>
        </w:rPr>
        <w:t xml:space="preserve">Nat Rev Neurosci</w:t>
      </w:r>
      <w:r>
        <w:t xml:space="preserve"> 18, 435-450 (2017).</w:t>
      </w:r>
    </w:p>
    <w:p>
      <w:pPr>
        <w:spacing w:before="120" w:after="120"/>
      </w:pPr>
      <w:r>
        <w:t xml:space="preserve">4. Spillantini, M.G. et al. α-Synuclein in Lewy bodies. </w:t>
      </w:r>
      <w:r>
        <w:rPr>
          <w:i/>
          <w:iCs/>
        </w:rPr>
        <w:t xml:space="preserve">Nature</w:t>
      </w:r>
      <w:r>
        <w:t xml:space="preserve"> 388, 839-840 (1997).</w:t>
      </w:r>
    </w:p>
    <w:p>
      <w:pPr>
        <w:spacing w:before="120" w:after="120"/>
      </w:pPr>
      <w:r>
        <w:t xml:space="preserve">5. Braak, H. et al. Staging of brain pathology related to sporadic Parkinson's disease. </w:t>
      </w:r>
      <w:r>
        <w:rPr>
          <w:i/>
          <w:iCs/>
        </w:rPr>
        <w:t xml:space="preserve">Neurobiol Aging</w:t>
      </w:r>
      <w:r>
        <w:t xml:space="preserve"> 24, 197-211 (2003).</w:t>
      </w:r>
    </w:p>
    <w:p>
      <w:pPr>
        <w:spacing w:before="120" w:after="120"/>
      </w:pPr>
      <w:r>
        <w:t xml:space="preserve">6. Nalls, M.A. et al. Identification of novel risk loci, causal insights, and heritable risk for Parkinson's disease. </w:t>
      </w:r>
      <w:r>
        <w:rPr>
          <w:i/>
          <w:iCs/>
        </w:rPr>
        <w:t xml:space="preserve">Lancet Neurol</w:t>
      </w:r>
      <w:r>
        <w:t xml:space="preserve"> 18, 1091-1102 (2019).</w:t>
      </w:r>
    </w:p>
    <w:p>
      <w:pPr>
        <w:spacing w:before="120" w:after="120"/>
      </w:pPr>
      <w:r>
        <w:t xml:space="preserve">7. Bandres-Ciga, S. et al. Genetics of Parkinson's disease: An introspection of its journey towards precision medicine. </w:t>
      </w:r>
      <w:r>
        <w:rPr>
          <w:i/>
          <w:iCs/>
        </w:rPr>
        <w:t xml:space="preserve">Neurobiol Dis</w:t>
      </w:r>
      <w:r>
        <w:t xml:space="preserve"> 137, 104782 (2020).</w:t>
      </w:r>
    </w:p>
    <w:p>
      <w:pPr>
        <w:spacing w:before="120" w:after="120"/>
      </w:pPr>
      <w:r>
        <w:t xml:space="preserve">8. Armstrong, M.J. &amp; Okun, M.S. Diagnosis and treatment of Parkinson disease. </w:t>
      </w:r>
      <w:r>
        <w:rPr>
          <w:i/>
          <w:iCs/>
        </w:rPr>
        <w:t xml:space="preserve">JAMA</w:t>
      </w:r>
      <w:r>
        <w:t xml:space="preserve"> 323, 548-560 (2020).</w:t>
      </w:r>
    </w:p>
    <w:p>
      <w:pPr>
        <w:spacing w:before="120" w:after="120"/>
      </w:pPr>
      <w:r>
        <w:t xml:space="preserve">9. Espay, A.J. et al. Disease modification and biomarker development in Parkinson disease. </w:t>
      </w:r>
      <w:r>
        <w:rPr>
          <w:i/>
          <w:iCs/>
        </w:rPr>
        <w:t xml:space="preserve">Neurology</w:t>
      </w:r>
      <w:r>
        <w:t xml:space="preserve"> 94, 481-494 (2020).</w:t>
      </w:r>
    </w:p>
    <w:p>
      <w:pPr>
        <w:spacing w:before="120" w:after="120"/>
      </w:pPr>
      <w:r>
        <w:t xml:space="preserve">10. Lang, A.E. et al. Trial design challenges for disease modification in Parkinson's disease. </w:t>
      </w:r>
      <w:r>
        <w:rPr>
          <w:i/>
          <w:iCs/>
        </w:rPr>
        <w:t xml:space="preserve">Mov Disord</w:t>
      </w:r>
      <w:r>
        <w:t xml:space="preserve"> 36, 52-58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48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8"/>
      <w:szCs w:val="28"/>
    </w:rPr>
  </w:style>
  <w:style w:type="paragraph" w:styleId="Abstract">
    <w:name w:val="Abstract"/>
    <w:basedOn w:val="Normal"/>
    <w:pPr>
      <w:spacing w:before="240" w:after="240"/>
      <w:jc w:val="both"/>
    </w:pPr>
    <w:rPr>
      <w:i/>
      <w:iCs/>
      <w:sz w:val="22"/>
      <w:szCs w:val="22"/>
    </w:rPr>
  </w:style>
  <w:style w:type="paragraph" w:styleId="Author">
    <w:name w:val="Author"/>
    <w:basedOn w:val="Normal"/>
    <w:pPr>
      <w:spacing w:before="120" w:after="120"/>
      <w:jc w:val="center"/>
    </w:pPr>
    <w:rPr>
      <w:b/>
      <w:bCs/>
      <w:sz w:val="24"/>
      <w:szCs w:val="24"/>
    </w:rPr>
  </w:style>
  <w:style w:type="paragraph" w:styleId="Affiliation">
    <w:name w:val="Affiliation"/>
    <w:basedOn w:val="Normal"/>
    <w:pPr>
      <w:spacing w:before="60" w:after="60"/>
      <w:jc w:val="center"/>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2025-10-13T19:02:05.951Z</dcterms:created>
  <dcterms:modified xsi:type="dcterms:W3CDTF">2025-10-13T19:02:05.952Z</dcterms:modified>
</cp:coreProperties>
</file>

<file path=docProps/custom.xml><?xml version="1.0" encoding="utf-8"?>
<Properties xmlns="http://schemas.openxmlformats.org/officeDocument/2006/custom-properties" xmlns:vt="http://schemas.openxmlformats.org/officeDocument/2006/docPropsVTypes"/>
</file>