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9ED35" w14:textId="77777777" w:rsidR="00423635" w:rsidRDefault="004E20D6">
      <w:pPr>
        <w:pStyle w:val="Heading1"/>
        <w:numPr>
          <w:ilvl w:val="0"/>
          <w:numId w:val="0"/>
        </w:numPr>
        <w:ind w:left="59" w:right="2"/>
      </w:pPr>
      <w:r>
        <w:t xml:space="preserve">Official Notice </w:t>
      </w:r>
    </w:p>
    <w:p w14:paraId="2F9DFE3F" w14:textId="135451E9" w:rsidR="00423635" w:rsidRDefault="004E20D6">
      <w:pPr>
        <w:spacing w:after="0" w:line="259" w:lineRule="auto"/>
        <w:ind w:left="49" w:firstLine="0"/>
        <w:jc w:val="center"/>
      </w:pPr>
      <w:r>
        <w:rPr>
          <w:b/>
          <w:sz w:val="28"/>
        </w:rPr>
        <w:t>20</w:t>
      </w:r>
      <w:r w:rsidR="00812042">
        <w:rPr>
          <w:b/>
          <w:sz w:val="28"/>
        </w:rPr>
        <w:t>20</w:t>
      </w:r>
      <w:r>
        <w:rPr>
          <w:b/>
          <w:sz w:val="28"/>
        </w:rPr>
        <w:t xml:space="preserve"> Boston Region MPO Municipal Election Procedures</w:t>
      </w:r>
      <w:r>
        <w:rPr>
          <w:sz w:val="28"/>
        </w:rPr>
        <w:t xml:space="preserve"> </w:t>
      </w:r>
    </w:p>
    <w:p w14:paraId="5B2F7141" w14:textId="77777777" w:rsidR="00423635" w:rsidRDefault="004E20D6">
      <w:pPr>
        <w:spacing w:after="0" w:line="259" w:lineRule="auto"/>
        <w:ind w:left="0" w:firstLine="0"/>
      </w:pPr>
      <w:r>
        <w:t xml:space="preserve"> </w:t>
      </w:r>
    </w:p>
    <w:p w14:paraId="4618B78F" w14:textId="24A048F9" w:rsidR="00423635" w:rsidRDefault="00A43AC9">
      <w:pPr>
        <w:ind w:left="-5"/>
      </w:pPr>
      <w:r>
        <w:t>At</w:t>
      </w:r>
      <w:r w:rsidR="00676D0F">
        <w:t xml:space="preserve"> the</w:t>
      </w:r>
      <w:r>
        <w:t xml:space="preserve"> </w:t>
      </w:r>
      <w:r w:rsidR="006C4EB6">
        <w:t>Metropolitan Area Planning Council’s (</w:t>
      </w:r>
      <w:r>
        <w:t>MAPC</w:t>
      </w:r>
      <w:r w:rsidR="006C4EB6">
        <w:t>)</w:t>
      </w:r>
      <w:r>
        <w:t xml:space="preserve"> Fall Council meeting the </w:t>
      </w:r>
      <w:r w:rsidR="00736FD4">
        <w:t>e</w:t>
      </w:r>
      <w:r w:rsidR="004E20D6">
        <w:t xml:space="preserve">lections will be </w:t>
      </w:r>
      <w:r>
        <w:t>announced</w:t>
      </w:r>
      <w:r w:rsidR="004E20D6">
        <w:t xml:space="preserve"> for four (4) of the twelve (12) elected municipal seats on the Boston Region Metropolitan Planning Organization (MPO).   </w:t>
      </w:r>
    </w:p>
    <w:p w14:paraId="3D46C6D6" w14:textId="77777777" w:rsidR="00423635" w:rsidRDefault="004E20D6">
      <w:pPr>
        <w:spacing w:after="0" w:line="259" w:lineRule="auto"/>
        <w:ind w:left="0" w:firstLine="0"/>
      </w:pPr>
      <w:r>
        <w:t xml:space="preserve"> </w:t>
      </w:r>
    </w:p>
    <w:p w14:paraId="5F46CA12" w14:textId="30428EB6" w:rsidR="00423635" w:rsidRDefault="00736FD4">
      <w:pPr>
        <w:ind w:left="-5"/>
      </w:pPr>
      <w:r>
        <w:t xml:space="preserve">The </w:t>
      </w:r>
      <w:r w:rsidR="004E20D6">
        <w:t>municipalit</w:t>
      </w:r>
      <w:r>
        <w:t xml:space="preserve">ies running for these seats </w:t>
      </w:r>
      <w:r w:rsidR="004E20D6">
        <w:t>will be elected to the MPO by the chief elected officials of the 97 municipalities which constitute the Boston metropolitan region. Pursuant to the MPO Memorandum of Understanding, approved on July 7, 2011, MAPC and the MBTA Advisory Board (Advisory Board) administer the election of the municipal representatives to the MPO.</w:t>
      </w:r>
      <w:r w:rsidR="004E20D6">
        <w:rPr>
          <w:color w:val="282828"/>
          <w:sz w:val="23"/>
        </w:rPr>
        <w:t xml:space="preserve"> </w:t>
      </w:r>
    </w:p>
    <w:p w14:paraId="39C2F592" w14:textId="77777777" w:rsidR="00423635" w:rsidRDefault="004E20D6">
      <w:pPr>
        <w:spacing w:after="0" w:line="259" w:lineRule="auto"/>
        <w:ind w:left="0" w:firstLine="0"/>
      </w:pPr>
      <w:r>
        <w:t xml:space="preserve"> </w:t>
      </w:r>
    </w:p>
    <w:p w14:paraId="0753C480" w14:textId="7217F13D" w:rsidR="00423635" w:rsidRDefault="00676D0F">
      <w:pPr>
        <w:spacing w:after="0" w:line="259" w:lineRule="auto"/>
        <w:ind w:left="-5"/>
      </w:pPr>
      <w:r>
        <w:rPr>
          <w:b/>
          <w:i/>
        </w:rPr>
        <w:t xml:space="preserve">Boston </w:t>
      </w:r>
      <w:r w:rsidR="004E20D6">
        <w:rPr>
          <w:b/>
          <w:i/>
        </w:rPr>
        <w:t xml:space="preserve">MPO Seats Up </w:t>
      </w:r>
      <w:r w:rsidR="00736FD4">
        <w:rPr>
          <w:b/>
          <w:i/>
        </w:rPr>
        <w:t>for</w:t>
      </w:r>
      <w:r w:rsidR="004E20D6">
        <w:rPr>
          <w:b/>
          <w:i/>
        </w:rPr>
        <w:t xml:space="preserve"> Election in 20</w:t>
      </w:r>
      <w:r w:rsidR="00812042">
        <w:rPr>
          <w:b/>
          <w:i/>
        </w:rPr>
        <w:t>20</w:t>
      </w:r>
      <w:r w:rsidR="004E20D6">
        <w:rPr>
          <w:b/>
          <w:i/>
        </w:rPr>
        <w:t xml:space="preserve">: </w:t>
      </w:r>
    </w:p>
    <w:p w14:paraId="33A6098A" w14:textId="77777777" w:rsidR="00423635" w:rsidRDefault="004E20D6">
      <w:pPr>
        <w:spacing w:after="0" w:line="259" w:lineRule="auto"/>
        <w:ind w:left="0" w:firstLine="0"/>
      </w:pPr>
      <w:r>
        <w:t xml:space="preserve"> </w:t>
      </w:r>
    </w:p>
    <w:p w14:paraId="03C8BEF7" w14:textId="149F6F5F" w:rsidR="00423635" w:rsidRDefault="004E20D6">
      <w:pPr>
        <w:ind w:left="-5"/>
      </w:pPr>
      <w:r>
        <w:t xml:space="preserve">One (1) </w:t>
      </w:r>
      <w:r w:rsidR="001A568A">
        <w:t>city from the Boston MPO region.</w:t>
      </w:r>
    </w:p>
    <w:p w14:paraId="4752B650" w14:textId="2D3A3731" w:rsidR="00423635" w:rsidRDefault="004E20D6">
      <w:pPr>
        <w:ind w:left="-5"/>
      </w:pPr>
      <w:r>
        <w:t xml:space="preserve">One (1) </w:t>
      </w:r>
      <w:r w:rsidR="001A568A">
        <w:t>town the Boston MPO region.</w:t>
      </w:r>
    </w:p>
    <w:p w14:paraId="7C59F0DE" w14:textId="2D6422D3" w:rsidR="001A568A" w:rsidRDefault="004E20D6">
      <w:pPr>
        <w:ind w:left="-5" w:right="2692"/>
      </w:pPr>
      <w:r>
        <w:t xml:space="preserve">One (1) municipality from the </w:t>
      </w:r>
      <w:r w:rsidR="001A568A">
        <w:t>North Shore Task Force (NSTF) sub-region.</w:t>
      </w:r>
    </w:p>
    <w:p w14:paraId="4B28F7D3" w14:textId="287602B1" w:rsidR="00423635" w:rsidRDefault="004E20D6">
      <w:pPr>
        <w:ind w:left="-5" w:right="2692"/>
      </w:pPr>
      <w:r>
        <w:t xml:space="preserve">One (1) municipality from the </w:t>
      </w:r>
      <w:r w:rsidR="001A568A">
        <w:t>South West Advisory Planning Committee</w:t>
      </w:r>
      <w:r w:rsidR="00736FD4">
        <w:t xml:space="preserve"> </w:t>
      </w:r>
      <w:r w:rsidR="001A568A">
        <w:t>(SWAP)</w:t>
      </w:r>
      <w:r>
        <w:t xml:space="preserve"> sub-region. </w:t>
      </w:r>
    </w:p>
    <w:p w14:paraId="7DB82E8B" w14:textId="77777777" w:rsidR="00423635" w:rsidRDefault="004E20D6">
      <w:pPr>
        <w:spacing w:after="0" w:line="259" w:lineRule="auto"/>
        <w:ind w:left="0" w:firstLine="0"/>
      </w:pPr>
      <w:r>
        <w:t xml:space="preserve"> </w:t>
      </w:r>
    </w:p>
    <w:p w14:paraId="1DDE82FC" w14:textId="77777777" w:rsidR="00423635" w:rsidRDefault="004E20D6">
      <w:pPr>
        <w:ind w:left="-5"/>
      </w:pPr>
      <w:r>
        <w:t xml:space="preserve">Terms of election on the MPO are for three years. </w:t>
      </w:r>
    </w:p>
    <w:p w14:paraId="7C53B404" w14:textId="77777777" w:rsidR="00423635" w:rsidRDefault="004E20D6">
      <w:pPr>
        <w:spacing w:after="0" w:line="259" w:lineRule="auto"/>
        <w:ind w:left="0" w:firstLine="0"/>
      </w:pPr>
      <w:r>
        <w:rPr>
          <w:sz w:val="22"/>
        </w:rPr>
        <w:t xml:space="preserve"> </w:t>
      </w:r>
    </w:p>
    <w:p w14:paraId="322DFFAE" w14:textId="77777777" w:rsidR="00423635" w:rsidRDefault="004E20D6">
      <w:pPr>
        <w:pStyle w:val="Heading2"/>
        <w:ind w:left="-5"/>
      </w:pPr>
      <w:r>
        <w:t xml:space="preserve">Nomination Process </w:t>
      </w:r>
    </w:p>
    <w:p w14:paraId="29B6845D" w14:textId="6A957FA8" w:rsidR="00423635" w:rsidRDefault="004E20D6">
      <w:pPr>
        <w:ind w:left="-5"/>
      </w:pPr>
      <w:r>
        <w:t xml:space="preserve">Nominees for the elected municipal seats shall be the chief </w:t>
      </w:r>
      <w:r w:rsidR="00A014DC">
        <w:t>elected</w:t>
      </w:r>
      <w:r>
        <w:t xml:space="preserve"> official of the municipality. In cities this is the Mayor or, if the city does not have the office of Mayor, then the</w:t>
      </w:r>
      <w:r>
        <w:rPr>
          <w:b/>
        </w:rPr>
        <w:t xml:space="preserve"> </w:t>
      </w:r>
      <w:r>
        <w:t>Chair of the Council, with the exception of Plan E cities (</w:t>
      </w:r>
      <w:r w:rsidR="00F913DE">
        <w:t xml:space="preserve">ex: </w:t>
      </w:r>
      <w:r>
        <w:t>Cambridge) in which case it shall be the City Manager.  In towns, the chief elected official is the Chai</w:t>
      </w:r>
      <w:r w:rsidR="00A014DC">
        <w:t>r</w:t>
      </w:r>
      <w:r>
        <w:t xml:space="preserve"> of the</w:t>
      </w:r>
      <w:r w:rsidR="00A014DC">
        <w:t xml:space="preserve"> </w:t>
      </w:r>
      <w:r>
        <w:t>Selec</w:t>
      </w:r>
      <w:r w:rsidR="00A014DC">
        <w:t>t Board</w:t>
      </w:r>
      <w:r>
        <w:t xml:space="preserve">. The MPO will accept the Chair’s nomination of a candidate whether or not the full </w:t>
      </w:r>
      <w:r w:rsidR="00A014DC">
        <w:t xml:space="preserve">Select </w:t>
      </w:r>
      <w:r>
        <w:t xml:space="preserve">Board has voted it.   </w:t>
      </w:r>
    </w:p>
    <w:p w14:paraId="5A00A891" w14:textId="77777777" w:rsidR="00423635" w:rsidRDefault="004E20D6">
      <w:pPr>
        <w:spacing w:after="0" w:line="259" w:lineRule="auto"/>
        <w:ind w:left="0" w:firstLine="0"/>
      </w:pPr>
      <w:r>
        <w:t xml:space="preserve"> </w:t>
      </w:r>
    </w:p>
    <w:p w14:paraId="664FB923" w14:textId="4C6AE4E2" w:rsidR="00423635" w:rsidRDefault="004E20D6">
      <w:pPr>
        <w:ind w:left="-5"/>
      </w:pPr>
      <w:r>
        <w:t>A nominee for an open municipal seat must receive five nominations made by any chief elected official from the Boston region, regardless of which sub-region they are from. A chief elected official may nominate his or her municipality and that nomination shall count as one of the five nominations needed to place a municipality on the ballot. Each chief elected official may only nominat</w:t>
      </w:r>
      <w:r w:rsidR="00676D0F">
        <w:t>e</w:t>
      </w:r>
      <w:r>
        <w:t xml:space="preserve"> one municipality per open seat.</w:t>
      </w:r>
      <w:r>
        <w:rPr>
          <w:sz w:val="22"/>
        </w:rPr>
        <w:t xml:space="preserve"> </w:t>
      </w:r>
      <w:r>
        <w:t xml:space="preserve"> </w:t>
      </w:r>
    </w:p>
    <w:p w14:paraId="1B7E543A" w14:textId="77777777" w:rsidR="00423635" w:rsidRDefault="004E20D6">
      <w:pPr>
        <w:spacing w:after="11" w:line="259" w:lineRule="auto"/>
        <w:ind w:left="0" w:firstLine="0"/>
      </w:pPr>
      <w:r>
        <w:t xml:space="preserve"> </w:t>
      </w:r>
    </w:p>
    <w:p w14:paraId="40134583" w14:textId="77777777" w:rsidR="00F57590" w:rsidRDefault="004E20D6" w:rsidP="00F57590">
      <w:pPr>
        <w:rPr>
          <w:szCs w:val="24"/>
        </w:rPr>
      </w:pPr>
      <w:r>
        <w:rPr>
          <w:b/>
        </w:rPr>
        <w:t>Nominations</w:t>
      </w:r>
      <w:r w:rsidR="006C4EB6">
        <w:rPr>
          <w:b/>
        </w:rPr>
        <w:t xml:space="preserve"> </w:t>
      </w:r>
      <w:r>
        <w:rPr>
          <w:b/>
        </w:rPr>
        <w:t xml:space="preserve">are due on Friday, October </w:t>
      </w:r>
      <w:r w:rsidR="00EA5892">
        <w:rPr>
          <w:b/>
        </w:rPr>
        <w:t>16</w:t>
      </w:r>
      <w:r>
        <w:rPr>
          <w:b/>
          <w:vertAlign w:val="superscript"/>
        </w:rPr>
        <w:t>th</w:t>
      </w:r>
      <w:r>
        <w:rPr>
          <w:b/>
        </w:rPr>
        <w:t>, 20</w:t>
      </w:r>
      <w:r w:rsidR="001A568A">
        <w:rPr>
          <w:b/>
        </w:rPr>
        <w:t>20</w:t>
      </w:r>
      <w:r>
        <w:rPr>
          <w:b/>
        </w:rPr>
        <w:t xml:space="preserve"> to MAPC by 5:00 PM and must be </w:t>
      </w:r>
      <w:r w:rsidR="001A568A">
        <w:rPr>
          <w:b/>
        </w:rPr>
        <w:t xml:space="preserve">submitted </w:t>
      </w:r>
      <w:r w:rsidR="00A43AC9">
        <w:rPr>
          <w:b/>
        </w:rPr>
        <w:t xml:space="preserve">electronically </w:t>
      </w:r>
      <w:r w:rsidR="00F57590">
        <w:rPr>
          <w:b/>
        </w:rPr>
        <w:t xml:space="preserve">at </w:t>
      </w:r>
      <w:hyperlink r:id="rId7" w:history="1">
        <w:r w:rsidR="00F57590">
          <w:rPr>
            <w:rStyle w:val="Hyperlink"/>
            <w:szCs w:val="24"/>
          </w:rPr>
          <w:t>https://mapc.seamlessdocs.com/f/MPO2020Nomination</w:t>
        </w:r>
      </w:hyperlink>
    </w:p>
    <w:p w14:paraId="73F05915" w14:textId="5C8D8047" w:rsidR="001A568A" w:rsidRPr="009C0EB0" w:rsidRDefault="009C0EB0">
      <w:pPr>
        <w:spacing w:after="2" w:line="256" w:lineRule="auto"/>
        <w:ind w:left="-5"/>
        <w:rPr>
          <w:bCs/>
        </w:rPr>
      </w:pPr>
      <w:r>
        <w:rPr>
          <w:bCs/>
        </w:rPr>
        <w:t xml:space="preserve">MAPC will follow-up with the nominating municipal CEOs by phone or email to confirm their nomination. </w:t>
      </w:r>
    </w:p>
    <w:p w14:paraId="09A0A052" w14:textId="77777777" w:rsidR="00F913DE" w:rsidRDefault="00F913DE">
      <w:pPr>
        <w:spacing w:after="2" w:line="256" w:lineRule="auto"/>
        <w:ind w:left="-5"/>
      </w:pPr>
    </w:p>
    <w:p w14:paraId="5871E6BF" w14:textId="597F2FE8" w:rsidR="00423635" w:rsidRDefault="004E20D6">
      <w:pPr>
        <w:spacing w:after="2" w:line="256" w:lineRule="auto"/>
        <w:ind w:left="-5"/>
      </w:pPr>
      <w:r>
        <w:t xml:space="preserve">Nomination papers shall include a statement of candidacy (250 word limit) of the community, also due at this time. </w:t>
      </w:r>
    </w:p>
    <w:p w14:paraId="24AE17A3" w14:textId="77777777" w:rsidR="00423635" w:rsidRDefault="004E20D6">
      <w:pPr>
        <w:spacing w:after="0" w:line="259" w:lineRule="auto"/>
        <w:ind w:left="0" w:firstLine="0"/>
      </w:pPr>
      <w:r>
        <w:rPr>
          <w:b/>
        </w:rPr>
        <w:t xml:space="preserve"> </w:t>
      </w:r>
    </w:p>
    <w:p w14:paraId="45CD916B" w14:textId="77777777" w:rsidR="00423635" w:rsidRDefault="004E20D6">
      <w:pPr>
        <w:spacing w:after="0" w:line="259" w:lineRule="auto"/>
        <w:ind w:left="-5"/>
      </w:pPr>
      <w:r>
        <w:rPr>
          <w:b/>
          <w:i/>
        </w:rPr>
        <w:t xml:space="preserve">Voting Process </w:t>
      </w:r>
    </w:p>
    <w:p w14:paraId="7A50A177" w14:textId="77777777" w:rsidR="00423635" w:rsidRDefault="004E20D6">
      <w:pPr>
        <w:ind w:left="-5"/>
      </w:pPr>
      <w:r>
        <w:t xml:space="preserve">Each of the 97 municipalities may vote for one (1) municipality for each of the four (4) open seats. </w:t>
      </w:r>
    </w:p>
    <w:p w14:paraId="024F4C25" w14:textId="77777777" w:rsidR="00423635" w:rsidRDefault="004E20D6">
      <w:pPr>
        <w:spacing w:after="0" w:line="259" w:lineRule="auto"/>
        <w:ind w:left="0" w:firstLine="0"/>
      </w:pPr>
      <w:r>
        <w:rPr>
          <w:b/>
          <w:i/>
        </w:rPr>
        <w:t xml:space="preserve"> </w:t>
      </w:r>
    </w:p>
    <w:p w14:paraId="3728C8EF" w14:textId="77777777" w:rsidR="00423635" w:rsidRDefault="004E20D6">
      <w:pPr>
        <w:pStyle w:val="Heading2"/>
        <w:ind w:left="-5"/>
      </w:pPr>
      <w:r>
        <w:lastRenderedPageBreak/>
        <w:t>Ballot</w:t>
      </w:r>
      <w:r>
        <w:rPr>
          <w:b w:val="0"/>
          <w:i w:val="0"/>
        </w:rPr>
        <w:t xml:space="preserve"> </w:t>
      </w:r>
    </w:p>
    <w:p w14:paraId="32B15A16" w14:textId="5F9D21A4" w:rsidR="00423635" w:rsidRDefault="004E20D6">
      <w:pPr>
        <w:ind w:left="-5"/>
      </w:pPr>
      <w:r>
        <w:t>A ballot will be prepared by MAPC and the Advisory Board based on the certification of nomination</w:t>
      </w:r>
      <w:r w:rsidR="00676D0F">
        <w:t>s</w:t>
      </w:r>
      <w:r>
        <w:t xml:space="preserve">.  The ballot shall contain a list of the nominated municipalities.  Candidate communities shall appear on the ballot in an order drawn by lot by designated officers of MAPC and the Advisory Board. The subregion of each of the communities shall be identified on the ballot. </w:t>
      </w:r>
      <w:r w:rsidR="00783666">
        <w:t>The ballot will be submitted electronically to MAPC by the municipal CEO.</w:t>
      </w:r>
    </w:p>
    <w:p w14:paraId="58D9BFA1" w14:textId="77777777" w:rsidR="00423635" w:rsidRDefault="004E20D6">
      <w:pPr>
        <w:spacing w:after="0" w:line="259" w:lineRule="auto"/>
        <w:ind w:left="0" w:firstLine="0"/>
      </w:pPr>
      <w:r>
        <w:rPr>
          <w:b/>
          <w:i/>
        </w:rPr>
        <w:t xml:space="preserve"> </w:t>
      </w:r>
    </w:p>
    <w:p w14:paraId="349961D3" w14:textId="77777777" w:rsidR="00423635" w:rsidRDefault="004E20D6">
      <w:pPr>
        <w:pStyle w:val="Heading2"/>
        <w:ind w:left="-5"/>
      </w:pPr>
      <w:r>
        <w:t xml:space="preserve">Opportunities for Discussion with Representatives of the Candidate Communities </w:t>
      </w:r>
    </w:p>
    <w:p w14:paraId="7B4AA96D" w14:textId="6B134F5C" w:rsidR="00423635" w:rsidRDefault="004E20D6">
      <w:pPr>
        <w:ind w:left="-5"/>
      </w:pPr>
      <w:r>
        <w:t>The Metropolitan Area Planning Council and the MBTA Advisory Board shall provide appropriate opportunity for the electorate to meet representatives of candidate communities. In 2</w:t>
      </w:r>
      <w:r w:rsidR="00D4550E">
        <w:t>020</w:t>
      </w:r>
      <w:r>
        <w:t>, this may be accomplished by holding a</w:t>
      </w:r>
      <w:r w:rsidR="00D4550E">
        <w:t xml:space="preserve"> virtual</w:t>
      </w:r>
      <w:r>
        <w:t xml:space="preserve"> Candidates Forum </w:t>
      </w:r>
      <w:r w:rsidR="00D4550E">
        <w:t>if needed</w:t>
      </w:r>
      <w:r>
        <w:t>.</w:t>
      </w:r>
      <w:r>
        <w:rPr>
          <w:b/>
          <w:i/>
        </w:rPr>
        <w:t xml:space="preserve"> </w:t>
      </w:r>
    </w:p>
    <w:p w14:paraId="7A52A943" w14:textId="77777777" w:rsidR="00423635" w:rsidRDefault="004E20D6">
      <w:pPr>
        <w:spacing w:after="0" w:line="259" w:lineRule="auto"/>
        <w:ind w:left="720" w:firstLine="0"/>
      </w:pPr>
      <w:r>
        <w:rPr>
          <w:b/>
          <w:i/>
        </w:rPr>
        <w:t xml:space="preserve"> </w:t>
      </w:r>
    </w:p>
    <w:p w14:paraId="50347A7B" w14:textId="77777777" w:rsidR="00423635" w:rsidRDefault="004E20D6">
      <w:pPr>
        <w:pStyle w:val="Heading2"/>
        <w:ind w:left="-5"/>
      </w:pPr>
      <w:r>
        <w:t>Election</w:t>
      </w:r>
      <w:r>
        <w:rPr>
          <w:sz w:val="20"/>
        </w:rPr>
        <w:t xml:space="preserve"> </w:t>
      </w:r>
    </w:p>
    <w:p w14:paraId="084BA65D" w14:textId="3178A126" w:rsidR="00423635" w:rsidRDefault="00E0532F">
      <w:pPr>
        <w:ind w:left="-5"/>
      </w:pPr>
      <w:r>
        <w:t>Given the current restrictions on large gatherings due to the COVID-19 pandemic, t</w:t>
      </w:r>
      <w:r w:rsidR="004E20D6">
        <w:t>he election will be held</w:t>
      </w:r>
      <w:r>
        <w:t xml:space="preserve"> </w:t>
      </w:r>
      <w:r w:rsidR="00783666">
        <w:t>through the</w:t>
      </w:r>
      <w:r>
        <w:t xml:space="preserve"> submi</w:t>
      </w:r>
      <w:r w:rsidR="00783666">
        <w:t>ssion</w:t>
      </w:r>
      <w:r>
        <w:t xml:space="preserve"> of ballots </w:t>
      </w:r>
      <w:r w:rsidR="00783666">
        <w:t xml:space="preserve">electronically to MAPC. Electronic ballots </w:t>
      </w:r>
      <w:r>
        <w:t>will be emailed</w:t>
      </w:r>
      <w:r w:rsidR="00783666">
        <w:t xml:space="preserve"> from MAPC</w:t>
      </w:r>
      <w:r>
        <w:t xml:space="preserve"> to the </w:t>
      </w:r>
      <w:r w:rsidR="004E20D6">
        <w:t xml:space="preserve">chief elected official of </w:t>
      </w:r>
      <w:r>
        <w:t>each</w:t>
      </w:r>
      <w:r w:rsidR="004E20D6">
        <w:t xml:space="preserve"> municipality</w:t>
      </w:r>
      <w:r>
        <w:t xml:space="preserve"> in the Boston MPO region</w:t>
      </w:r>
      <w:r w:rsidR="00736FD4">
        <w:t>.</w:t>
      </w:r>
      <w:r w:rsidR="004E20D6">
        <w:t xml:space="preserve"> </w:t>
      </w:r>
      <w:r w:rsidR="00736FD4">
        <w:t xml:space="preserve"> </w:t>
      </w:r>
      <w:r>
        <w:t>Ballots will then be filled out and signed by the chief elected official and</w:t>
      </w:r>
      <w:r w:rsidR="00A43AC9">
        <w:t xml:space="preserve"> submitted to MAPC by the date of the MAPC Fall Council meeting (date TBD).</w:t>
      </w:r>
      <w:r w:rsidR="00676D0F">
        <w:t xml:space="preserve"> A forthcoming correspondence will explain the ballot submittal process in more detail and provide the deadline.</w:t>
      </w:r>
    </w:p>
    <w:p w14:paraId="3DEB7041" w14:textId="2DDCC613" w:rsidR="00423635" w:rsidRDefault="004E20D6">
      <w:pPr>
        <w:spacing w:after="0" w:line="259" w:lineRule="auto"/>
        <w:ind w:left="0" w:firstLine="0"/>
      </w:pPr>
      <w:r>
        <w:t xml:space="preserve"> </w:t>
      </w:r>
    </w:p>
    <w:p w14:paraId="0C3E4C67" w14:textId="77777777" w:rsidR="00423635" w:rsidRDefault="004E20D6">
      <w:pPr>
        <w:ind w:left="-5"/>
      </w:pPr>
      <w:r>
        <w:t xml:space="preserve">The MPO seat is held by the municipality. The chief elected official (or their official designee) shall represent the municipality throughout the municipality’s term of office. </w:t>
      </w:r>
      <w:r>
        <w:rPr>
          <w:b/>
        </w:rPr>
        <w:t xml:space="preserve"> </w:t>
      </w:r>
    </w:p>
    <w:p w14:paraId="4D05B647" w14:textId="77777777" w:rsidR="00423635" w:rsidRDefault="004E20D6">
      <w:pPr>
        <w:spacing w:after="0" w:line="259" w:lineRule="auto"/>
        <w:ind w:left="0" w:firstLine="0"/>
      </w:pPr>
      <w:r>
        <w:t xml:space="preserve"> </w:t>
      </w:r>
    </w:p>
    <w:p w14:paraId="697FEE3F" w14:textId="331541C9" w:rsidR="00763786" w:rsidRDefault="004E20D6">
      <w:pPr>
        <w:ind w:left="-5"/>
      </w:pPr>
      <w:r>
        <w:t xml:space="preserve">The designated officers of MAPC and of the Advisory Board shall certify the results of the election to the chairman of the MPO by 12 noon on the </w:t>
      </w:r>
      <w:r w:rsidR="00736FD4">
        <w:t>Monday</w:t>
      </w:r>
      <w:r>
        <w:t xml:space="preserve"> following the election.</w:t>
      </w:r>
    </w:p>
    <w:p w14:paraId="51897C88" w14:textId="227B564F" w:rsidR="00676D0F" w:rsidRDefault="00676D0F">
      <w:pPr>
        <w:ind w:left="-5"/>
      </w:pPr>
    </w:p>
    <w:p w14:paraId="70AAD390" w14:textId="6483245C" w:rsidR="00676D0F" w:rsidRDefault="00676D0F">
      <w:pPr>
        <w:ind w:left="-5"/>
      </w:pPr>
    </w:p>
    <w:p w14:paraId="1616D0BD" w14:textId="0452AB0B" w:rsidR="00676D0F" w:rsidRDefault="00676D0F">
      <w:pPr>
        <w:ind w:left="-5"/>
      </w:pPr>
    </w:p>
    <w:p w14:paraId="72788A4D" w14:textId="155EACDA" w:rsidR="00676D0F" w:rsidRDefault="00676D0F">
      <w:pPr>
        <w:ind w:left="-5"/>
      </w:pPr>
    </w:p>
    <w:p w14:paraId="6C19EADA" w14:textId="3953AE39" w:rsidR="00676D0F" w:rsidRDefault="00676D0F">
      <w:pPr>
        <w:ind w:left="-5"/>
      </w:pPr>
    </w:p>
    <w:p w14:paraId="5A4F9274" w14:textId="39B24C80" w:rsidR="00676D0F" w:rsidRDefault="00676D0F">
      <w:pPr>
        <w:ind w:left="-5"/>
      </w:pPr>
    </w:p>
    <w:p w14:paraId="082D949C" w14:textId="57AACA6F" w:rsidR="00676D0F" w:rsidRDefault="00676D0F">
      <w:pPr>
        <w:ind w:left="-5"/>
      </w:pPr>
    </w:p>
    <w:p w14:paraId="4E24F325" w14:textId="7A909EB7" w:rsidR="00676D0F" w:rsidRDefault="00676D0F">
      <w:pPr>
        <w:ind w:left="-5"/>
      </w:pPr>
    </w:p>
    <w:p w14:paraId="1925CF3D" w14:textId="5A8C1B45" w:rsidR="00676D0F" w:rsidRDefault="00676D0F">
      <w:pPr>
        <w:ind w:left="-5"/>
      </w:pPr>
    </w:p>
    <w:p w14:paraId="4BFF042D" w14:textId="11501196" w:rsidR="00676D0F" w:rsidRDefault="00676D0F">
      <w:pPr>
        <w:ind w:left="-5"/>
      </w:pPr>
    </w:p>
    <w:p w14:paraId="47BF55CC" w14:textId="124B56B1" w:rsidR="00676D0F" w:rsidRDefault="00676D0F">
      <w:pPr>
        <w:ind w:left="-5"/>
      </w:pPr>
    </w:p>
    <w:p w14:paraId="6F498722" w14:textId="72D22473" w:rsidR="00676D0F" w:rsidRDefault="00676D0F">
      <w:pPr>
        <w:ind w:left="-5"/>
      </w:pPr>
    </w:p>
    <w:p w14:paraId="02CD4EC9" w14:textId="19542401" w:rsidR="00676D0F" w:rsidRDefault="00676D0F">
      <w:pPr>
        <w:ind w:left="-5"/>
      </w:pPr>
    </w:p>
    <w:p w14:paraId="4BF5E992" w14:textId="340E6127" w:rsidR="00676D0F" w:rsidRDefault="00676D0F">
      <w:pPr>
        <w:ind w:left="-5"/>
      </w:pPr>
    </w:p>
    <w:p w14:paraId="26B1EA37" w14:textId="77777777" w:rsidR="00676D0F" w:rsidRDefault="00676D0F">
      <w:pPr>
        <w:ind w:left="-5"/>
      </w:pPr>
    </w:p>
    <w:p w14:paraId="6BE3D6E7" w14:textId="77777777" w:rsidR="00763786" w:rsidRDefault="00763786">
      <w:pPr>
        <w:ind w:left="-5"/>
      </w:pPr>
    </w:p>
    <w:p w14:paraId="1EB84AF7" w14:textId="77777777" w:rsidR="00763786" w:rsidRDefault="00763786">
      <w:pPr>
        <w:ind w:left="-5"/>
      </w:pPr>
    </w:p>
    <w:p w14:paraId="1F20A0B4" w14:textId="77777777" w:rsidR="00763786" w:rsidRDefault="00763786">
      <w:pPr>
        <w:ind w:left="-5"/>
      </w:pPr>
    </w:p>
    <w:p w14:paraId="41C1CAFE" w14:textId="77777777" w:rsidR="00763786" w:rsidRDefault="00763786">
      <w:pPr>
        <w:ind w:left="-5"/>
      </w:pPr>
    </w:p>
    <w:tbl>
      <w:tblPr>
        <w:tblStyle w:val="TableGrid"/>
        <w:tblW w:w="10135" w:type="dxa"/>
        <w:tblInd w:w="0" w:type="dxa"/>
        <w:tblLook w:val="04A0" w:firstRow="1" w:lastRow="0" w:firstColumn="1" w:lastColumn="0" w:noHBand="0" w:noVBand="1"/>
      </w:tblPr>
      <w:tblGrid>
        <w:gridCol w:w="3536"/>
        <w:gridCol w:w="6599"/>
      </w:tblGrid>
      <w:tr w:rsidR="00423635" w14:paraId="1B23FDD1" w14:textId="77777777">
        <w:trPr>
          <w:trHeight w:val="1046"/>
        </w:trPr>
        <w:tc>
          <w:tcPr>
            <w:tcW w:w="3536" w:type="dxa"/>
            <w:tcBorders>
              <w:top w:val="nil"/>
              <w:left w:val="nil"/>
              <w:bottom w:val="nil"/>
              <w:right w:val="nil"/>
            </w:tcBorders>
          </w:tcPr>
          <w:p w14:paraId="4295558E" w14:textId="77777777" w:rsidR="00423635" w:rsidRDefault="004E20D6">
            <w:pPr>
              <w:spacing w:after="364" w:line="259" w:lineRule="auto"/>
              <w:ind w:left="0" w:firstLine="0"/>
            </w:pPr>
            <w:r>
              <w:lastRenderedPageBreak/>
              <w:t xml:space="preserve"> </w:t>
            </w:r>
            <w:r>
              <w:tab/>
              <w:t xml:space="preserve"> </w:t>
            </w:r>
            <w:r>
              <w:tab/>
              <w:t xml:space="preserve"> </w:t>
            </w:r>
            <w:r>
              <w:tab/>
              <w:t xml:space="preserve"> </w:t>
            </w:r>
            <w:r>
              <w:tab/>
              <w:t xml:space="preserve"> </w:t>
            </w:r>
          </w:p>
          <w:p w14:paraId="75FFF5E9" w14:textId="77777777" w:rsidR="00423635" w:rsidRDefault="004E20D6">
            <w:pPr>
              <w:spacing w:after="0" w:line="259" w:lineRule="auto"/>
              <w:ind w:left="360" w:firstLine="0"/>
            </w:pPr>
            <w:r>
              <w:rPr>
                <w:b/>
                <w:sz w:val="20"/>
              </w:rPr>
              <w:t xml:space="preserve"> </w:t>
            </w:r>
          </w:p>
        </w:tc>
        <w:tc>
          <w:tcPr>
            <w:tcW w:w="6599" w:type="dxa"/>
            <w:tcBorders>
              <w:top w:val="nil"/>
              <w:left w:val="nil"/>
              <w:bottom w:val="nil"/>
              <w:right w:val="nil"/>
            </w:tcBorders>
          </w:tcPr>
          <w:p w14:paraId="7789D6DD" w14:textId="77777777" w:rsidR="00763786" w:rsidRDefault="004E20D6" w:rsidP="00763786">
            <w:pPr>
              <w:spacing w:after="0" w:line="259" w:lineRule="auto"/>
              <w:ind w:left="0" w:right="439" w:firstLine="65"/>
              <w:jc w:val="right"/>
            </w:pPr>
            <w:r>
              <w:t xml:space="preserve">     Attachment A </w:t>
            </w:r>
          </w:p>
          <w:p w14:paraId="7E04D9C9" w14:textId="77777777" w:rsidR="00423635" w:rsidRDefault="004E20D6">
            <w:pPr>
              <w:spacing w:after="0" w:line="259" w:lineRule="auto"/>
              <w:ind w:left="0" w:right="439" w:firstLine="65"/>
              <w:jc w:val="both"/>
            </w:pPr>
            <w:r>
              <w:rPr>
                <w:b/>
                <w:sz w:val="36"/>
              </w:rPr>
              <w:t>MAPC Sub-regions</w:t>
            </w:r>
            <w:r>
              <w:rPr>
                <w:b/>
                <w:sz w:val="20"/>
              </w:rPr>
              <w:t xml:space="preserve"> </w:t>
            </w:r>
          </w:p>
        </w:tc>
      </w:tr>
      <w:tr w:rsidR="00423635" w14:paraId="00170C90" w14:textId="77777777">
        <w:trPr>
          <w:trHeight w:val="538"/>
        </w:trPr>
        <w:tc>
          <w:tcPr>
            <w:tcW w:w="3536" w:type="dxa"/>
            <w:tcBorders>
              <w:top w:val="nil"/>
              <w:left w:val="nil"/>
              <w:bottom w:val="nil"/>
              <w:right w:val="nil"/>
            </w:tcBorders>
            <w:vAlign w:val="center"/>
          </w:tcPr>
          <w:p w14:paraId="4ECCEFE6" w14:textId="77777777" w:rsidR="00423635" w:rsidRDefault="004E20D6">
            <w:pPr>
              <w:spacing w:after="0" w:line="259" w:lineRule="auto"/>
              <w:ind w:left="360" w:firstLine="0"/>
            </w:pPr>
            <w:r>
              <w:rPr>
                <w:b/>
                <w:sz w:val="20"/>
              </w:rPr>
              <w:t xml:space="preserve">SUBREGION  </w:t>
            </w:r>
          </w:p>
        </w:tc>
        <w:tc>
          <w:tcPr>
            <w:tcW w:w="6599" w:type="dxa"/>
            <w:tcBorders>
              <w:top w:val="nil"/>
              <w:left w:val="nil"/>
              <w:bottom w:val="nil"/>
              <w:right w:val="nil"/>
            </w:tcBorders>
            <w:vAlign w:val="center"/>
          </w:tcPr>
          <w:p w14:paraId="271C3481" w14:textId="77777777" w:rsidR="00423635" w:rsidRDefault="004E20D6">
            <w:pPr>
              <w:spacing w:after="0" w:line="259" w:lineRule="auto"/>
              <w:ind w:left="785" w:firstLine="0"/>
            </w:pPr>
            <w:r>
              <w:rPr>
                <w:b/>
                <w:sz w:val="20"/>
              </w:rPr>
              <w:t>COMMUNITIES</w:t>
            </w:r>
            <w:r>
              <w:rPr>
                <w:b/>
              </w:rPr>
              <w:t xml:space="preserve"> </w:t>
            </w:r>
          </w:p>
        </w:tc>
      </w:tr>
      <w:tr w:rsidR="00423635" w14:paraId="1FABE9E0" w14:textId="77777777">
        <w:trPr>
          <w:trHeight w:val="1529"/>
        </w:trPr>
        <w:tc>
          <w:tcPr>
            <w:tcW w:w="3536" w:type="dxa"/>
            <w:tcBorders>
              <w:top w:val="nil"/>
              <w:left w:val="nil"/>
              <w:bottom w:val="nil"/>
              <w:right w:val="nil"/>
            </w:tcBorders>
          </w:tcPr>
          <w:p w14:paraId="0F499FAC" w14:textId="77777777" w:rsidR="00423635" w:rsidRDefault="004E20D6">
            <w:pPr>
              <w:spacing w:after="0" w:line="259" w:lineRule="auto"/>
              <w:ind w:left="360" w:firstLine="0"/>
            </w:pPr>
            <w:r>
              <w:rPr>
                <w:b/>
              </w:rPr>
              <w:t xml:space="preserve">North Shore Task Force </w:t>
            </w:r>
          </w:p>
        </w:tc>
        <w:tc>
          <w:tcPr>
            <w:tcW w:w="6599" w:type="dxa"/>
            <w:tcBorders>
              <w:top w:val="nil"/>
              <w:left w:val="nil"/>
              <w:bottom w:val="nil"/>
              <w:right w:val="nil"/>
            </w:tcBorders>
          </w:tcPr>
          <w:p w14:paraId="167F352C" w14:textId="77777777" w:rsidR="00423635" w:rsidRDefault="004E20D6">
            <w:pPr>
              <w:spacing w:after="0" w:line="259" w:lineRule="auto"/>
              <w:ind w:left="785" w:firstLine="0"/>
            </w:pPr>
            <w:r>
              <w:t xml:space="preserve">Beverly, Danvers, Essex, Gloucester, Hamilton, Ipswich, </w:t>
            </w:r>
          </w:p>
          <w:p w14:paraId="29279625" w14:textId="77777777" w:rsidR="00423635" w:rsidRDefault="004E20D6">
            <w:pPr>
              <w:spacing w:after="0" w:line="259" w:lineRule="auto"/>
              <w:ind w:left="785" w:firstLine="0"/>
            </w:pPr>
            <w:r>
              <w:t xml:space="preserve">Manchester-by-the-Sea, Marblehead, Middleton, Nahant, </w:t>
            </w:r>
          </w:p>
          <w:p w14:paraId="6EB7E3D2" w14:textId="77777777" w:rsidR="00423635" w:rsidRDefault="004E20D6">
            <w:pPr>
              <w:spacing w:after="0" w:line="259" w:lineRule="auto"/>
              <w:ind w:left="785" w:firstLine="0"/>
            </w:pPr>
            <w:r>
              <w:t xml:space="preserve">Peabody, Rockport, Salem, Swampscott, Topsfield, Wenham  </w:t>
            </w:r>
            <w:r>
              <w:rPr>
                <w:b/>
              </w:rPr>
              <w:t xml:space="preserve"> </w:t>
            </w:r>
          </w:p>
        </w:tc>
      </w:tr>
      <w:tr w:rsidR="00423635" w14:paraId="1D21D9DB" w14:textId="77777777">
        <w:trPr>
          <w:trHeight w:val="564"/>
        </w:trPr>
        <w:tc>
          <w:tcPr>
            <w:tcW w:w="3536" w:type="dxa"/>
            <w:tcBorders>
              <w:top w:val="nil"/>
              <w:left w:val="nil"/>
              <w:bottom w:val="nil"/>
              <w:right w:val="nil"/>
            </w:tcBorders>
            <w:vAlign w:val="bottom"/>
          </w:tcPr>
          <w:p w14:paraId="2137F026" w14:textId="77777777" w:rsidR="00423635" w:rsidRDefault="004E20D6">
            <w:pPr>
              <w:spacing w:after="0" w:line="259" w:lineRule="auto"/>
              <w:ind w:left="0" w:right="134" w:firstLine="0"/>
              <w:jc w:val="center"/>
            </w:pPr>
            <w:r>
              <w:rPr>
                <w:b/>
              </w:rPr>
              <w:t xml:space="preserve">North Suburban Planning </w:t>
            </w:r>
          </w:p>
        </w:tc>
        <w:tc>
          <w:tcPr>
            <w:tcW w:w="6599" w:type="dxa"/>
            <w:tcBorders>
              <w:top w:val="nil"/>
              <w:left w:val="nil"/>
              <w:bottom w:val="nil"/>
              <w:right w:val="nil"/>
            </w:tcBorders>
            <w:vAlign w:val="bottom"/>
          </w:tcPr>
          <w:p w14:paraId="7A049700" w14:textId="77777777" w:rsidR="00423635" w:rsidRDefault="004E20D6">
            <w:pPr>
              <w:spacing w:after="0" w:line="259" w:lineRule="auto"/>
              <w:ind w:left="785" w:firstLine="0"/>
            </w:pPr>
            <w:r>
              <w:t xml:space="preserve">Burlington, Lynnfield, North Reading, Reading, </w:t>
            </w:r>
          </w:p>
        </w:tc>
      </w:tr>
      <w:tr w:rsidR="00423635" w14:paraId="29DBE9DC" w14:textId="77777777">
        <w:trPr>
          <w:trHeight w:val="276"/>
        </w:trPr>
        <w:tc>
          <w:tcPr>
            <w:tcW w:w="3536" w:type="dxa"/>
            <w:tcBorders>
              <w:top w:val="nil"/>
              <w:left w:val="nil"/>
              <w:bottom w:val="nil"/>
              <w:right w:val="nil"/>
            </w:tcBorders>
          </w:tcPr>
          <w:p w14:paraId="36AF6DF7" w14:textId="77777777" w:rsidR="00423635" w:rsidRDefault="00C403C6">
            <w:pPr>
              <w:spacing w:after="0" w:line="259" w:lineRule="auto"/>
              <w:ind w:left="360" w:firstLine="0"/>
            </w:pPr>
            <w:r>
              <w:rPr>
                <w:b/>
              </w:rPr>
              <w:t xml:space="preserve"> </w:t>
            </w:r>
            <w:r w:rsidR="004E20D6">
              <w:rPr>
                <w:b/>
              </w:rPr>
              <w:t xml:space="preserve">Council </w:t>
            </w:r>
          </w:p>
        </w:tc>
        <w:tc>
          <w:tcPr>
            <w:tcW w:w="6599" w:type="dxa"/>
            <w:tcBorders>
              <w:top w:val="nil"/>
              <w:left w:val="nil"/>
              <w:bottom w:val="nil"/>
              <w:right w:val="nil"/>
            </w:tcBorders>
          </w:tcPr>
          <w:p w14:paraId="031A7A8B" w14:textId="77777777" w:rsidR="00423635" w:rsidRDefault="004E20D6">
            <w:pPr>
              <w:spacing w:after="0" w:line="259" w:lineRule="auto"/>
              <w:ind w:left="785" w:firstLine="0"/>
            </w:pPr>
            <w:r>
              <w:t xml:space="preserve">Stoneham, Wakefield, Wilmington, Winchester, </w:t>
            </w:r>
          </w:p>
        </w:tc>
      </w:tr>
      <w:tr w:rsidR="00423635" w14:paraId="7CA2E8BE" w14:textId="77777777">
        <w:trPr>
          <w:trHeight w:val="564"/>
        </w:trPr>
        <w:tc>
          <w:tcPr>
            <w:tcW w:w="3536" w:type="dxa"/>
            <w:tcBorders>
              <w:top w:val="nil"/>
              <w:left w:val="nil"/>
              <w:bottom w:val="nil"/>
              <w:right w:val="nil"/>
            </w:tcBorders>
          </w:tcPr>
          <w:p w14:paraId="74A75BB6" w14:textId="77777777" w:rsidR="00423635" w:rsidRDefault="004E20D6">
            <w:pPr>
              <w:spacing w:after="0" w:line="259" w:lineRule="auto"/>
              <w:ind w:left="360" w:firstLine="0"/>
            </w:pPr>
            <w:r>
              <w:t xml:space="preserve"> </w:t>
            </w:r>
          </w:p>
        </w:tc>
        <w:tc>
          <w:tcPr>
            <w:tcW w:w="6599" w:type="dxa"/>
            <w:tcBorders>
              <w:top w:val="nil"/>
              <w:left w:val="nil"/>
              <w:bottom w:val="nil"/>
              <w:right w:val="nil"/>
            </w:tcBorders>
          </w:tcPr>
          <w:p w14:paraId="53764E33" w14:textId="77777777" w:rsidR="00423635" w:rsidRDefault="004E20D6">
            <w:pPr>
              <w:spacing w:after="0" w:line="259" w:lineRule="auto"/>
              <w:ind w:left="785" w:firstLine="0"/>
            </w:pPr>
            <w:r>
              <w:t xml:space="preserve">Woburn  </w:t>
            </w:r>
            <w:r>
              <w:rPr>
                <w:b/>
              </w:rPr>
              <w:t xml:space="preserve"> </w:t>
            </w:r>
          </w:p>
        </w:tc>
      </w:tr>
      <w:tr w:rsidR="00423635" w14:paraId="6DD9C854" w14:textId="77777777">
        <w:trPr>
          <w:trHeight w:val="564"/>
        </w:trPr>
        <w:tc>
          <w:tcPr>
            <w:tcW w:w="3536" w:type="dxa"/>
            <w:tcBorders>
              <w:top w:val="nil"/>
              <w:left w:val="nil"/>
              <w:bottom w:val="nil"/>
              <w:right w:val="nil"/>
            </w:tcBorders>
            <w:vAlign w:val="bottom"/>
          </w:tcPr>
          <w:p w14:paraId="10C7C8A6" w14:textId="77777777" w:rsidR="00423635" w:rsidRDefault="004E20D6">
            <w:pPr>
              <w:spacing w:after="0" w:line="259" w:lineRule="auto"/>
              <w:ind w:left="360" w:firstLine="0"/>
            </w:pPr>
            <w:r>
              <w:rPr>
                <w:b/>
              </w:rPr>
              <w:t xml:space="preserve">Minuteman Advisory Group  </w:t>
            </w:r>
          </w:p>
        </w:tc>
        <w:tc>
          <w:tcPr>
            <w:tcW w:w="6599" w:type="dxa"/>
            <w:tcBorders>
              <w:top w:val="nil"/>
              <w:left w:val="nil"/>
              <w:bottom w:val="nil"/>
              <w:right w:val="nil"/>
            </w:tcBorders>
            <w:vAlign w:val="bottom"/>
          </w:tcPr>
          <w:p w14:paraId="5B693316" w14:textId="77777777" w:rsidR="00423635" w:rsidRDefault="004E20D6">
            <w:pPr>
              <w:spacing w:after="0" w:line="259" w:lineRule="auto"/>
              <w:ind w:left="785" w:firstLine="0"/>
            </w:pPr>
            <w:r>
              <w:t xml:space="preserve">Acton, Bedford, Bolton, Boxborough, Carlisle,  </w:t>
            </w:r>
          </w:p>
        </w:tc>
      </w:tr>
      <w:tr w:rsidR="00423635" w14:paraId="346CDE0C" w14:textId="77777777">
        <w:trPr>
          <w:trHeight w:val="276"/>
        </w:trPr>
        <w:tc>
          <w:tcPr>
            <w:tcW w:w="3536" w:type="dxa"/>
            <w:tcBorders>
              <w:top w:val="nil"/>
              <w:left w:val="nil"/>
              <w:bottom w:val="nil"/>
              <w:right w:val="nil"/>
            </w:tcBorders>
          </w:tcPr>
          <w:p w14:paraId="56E72996" w14:textId="77777777" w:rsidR="00423635" w:rsidRDefault="004E20D6">
            <w:pPr>
              <w:spacing w:after="0" w:line="259" w:lineRule="auto"/>
              <w:ind w:left="360" w:firstLine="0"/>
            </w:pPr>
            <w:r>
              <w:rPr>
                <w:b/>
              </w:rPr>
              <w:t>Interlocal Coordination</w:t>
            </w:r>
            <w:r>
              <w:t xml:space="preserve"> </w:t>
            </w:r>
          </w:p>
        </w:tc>
        <w:tc>
          <w:tcPr>
            <w:tcW w:w="6599" w:type="dxa"/>
            <w:tcBorders>
              <w:top w:val="nil"/>
              <w:left w:val="nil"/>
              <w:bottom w:val="nil"/>
              <w:right w:val="nil"/>
            </w:tcBorders>
          </w:tcPr>
          <w:p w14:paraId="7D334F0F" w14:textId="77777777" w:rsidR="00423635" w:rsidRDefault="004E20D6">
            <w:pPr>
              <w:spacing w:after="0" w:line="259" w:lineRule="auto"/>
              <w:ind w:left="785" w:firstLine="0"/>
            </w:pPr>
            <w:r>
              <w:t xml:space="preserve">Concord, Hudson, Lexington, Littleton, Lincoln, </w:t>
            </w:r>
          </w:p>
        </w:tc>
      </w:tr>
      <w:tr w:rsidR="00423635" w14:paraId="428B491A" w14:textId="77777777">
        <w:trPr>
          <w:trHeight w:val="564"/>
        </w:trPr>
        <w:tc>
          <w:tcPr>
            <w:tcW w:w="3536" w:type="dxa"/>
            <w:tcBorders>
              <w:top w:val="nil"/>
              <w:left w:val="nil"/>
              <w:bottom w:val="nil"/>
              <w:right w:val="nil"/>
            </w:tcBorders>
          </w:tcPr>
          <w:p w14:paraId="4F8F45E7" w14:textId="77777777" w:rsidR="00423635" w:rsidRDefault="004E20D6">
            <w:pPr>
              <w:spacing w:after="0" w:line="259" w:lineRule="auto"/>
              <w:ind w:left="360" w:firstLine="0"/>
            </w:pPr>
            <w:r>
              <w:rPr>
                <w:b/>
              </w:rPr>
              <w:t>(MAGIC)</w:t>
            </w:r>
            <w:r>
              <w:t xml:space="preserve"> </w:t>
            </w:r>
          </w:p>
        </w:tc>
        <w:tc>
          <w:tcPr>
            <w:tcW w:w="6599" w:type="dxa"/>
            <w:tcBorders>
              <w:top w:val="nil"/>
              <w:left w:val="nil"/>
              <w:bottom w:val="nil"/>
              <w:right w:val="nil"/>
            </w:tcBorders>
          </w:tcPr>
          <w:p w14:paraId="46799D10" w14:textId="77777777" w:rsidR="00423635" w:rsidRDefault="004E20D6">
            <w:pPr>
              <w:spacing w:after="0" w:line="259" w:lineRule="auto"/>
              <w:ind w:left="785" w:firstLine="0"/>
            </w:pPr>
            <w:r>
              <w:t xml:space="preserve">Maynard, Stow, Sudbury  </w:t>
            </w:r>
            <w:r>
              <w:rPr>
                <w:b/>
              </w:rPr>
              <w:t xml:space="preserve"> </w:t>
            </w:r>
          </w:p>
        </w:tc>
      </w:tr>
      <w:tr w:rsidR="00423635" w14:paraId="3D170027" w14:textId="77777777">
        <w:trPr>
          <w:trHeight w:val="564"/>
        </w:trPr>
        <w:tc>
          <w:tcPr>
            <w:tcW w:w="3536" w:type="dxa"/>
            <w:tcBorders>
              <w:top w:val="nil"/>
              <w:left w:val="nil"/>
              <w:bottom w:val="nil"/>
              <w:right w:val="nil"/>
            </w:tcBorders>
            <w:vAlign w:val="bottom"/>
          </w:tcPr>
          <w:p w14:paraId="74803F90" w14:textId="77777777" w:rsidR="00423635" w:rsidRDefault="004E20D6">
            <w:pPr>
              <w:spacing w:after="0" w:line="259" w:lineRule="auto"/>
              <w:ind w:left="360" w:firstLine="0"/>
            </w:pPr>
            <w:r>
              <w:rPr>
                <w:b/>
              </w:rPr>
              <w:t xml:space="preserve">MetroWest Regional </w:t>
            </w:r>
          </w:p>
        </w:tc>
        <w:tc>
          <w:tcPr>
            <w:tcW w:w="6599" w:type="dxa"/>
            <w:tcBorders>
              <w:top w:val="nil"/>
              <w:left w:val="nil"/>
              <w:bottom w:val="nil"/>
              <w:right w:val="nil"/>
            </w:tcBorders>
            <w:vAlign w:val="bottom"/>
          </w:tcPr>
          <w:p w14:paraId="77135E56" w14:textId="77777777" w:rsidR="00423635" w:rsidRDefault="004E20D6">
            <w:pPr>
              <w:spacing w:after="0" w:line="259" w:lineRule="auto"/>
              <w:ind w:left="785" w:firstLine="0"/>
            </w:pPr>
            <w:r>
              <w:t xml:space="preserve">Ashland, Framingham, Holliston, Marlborough, Natick, </w:t>
            </w:r>
          </w:p>
        </w:tc>
      </w:tr>
      <w:tr w:rsidR="00423635" w14:paraId="7D470B92" w14:textId="77777777">
        <w:trPr>
          <w:trHeight w:val="564"/>
        </w:trPr>
        <w:tc>
          <w:tcPr>
            <w:tcW w:w="3536" w:type="dxa"/>
            <w:tcBorders>
              <w:top w:val="nil"/>
              <w:left w:val="nil"/>
              <w:bottom w:val="nil"/>
              <w:right w:val="nil"/>
            </w:tcBorders>
          </w:tcPr>
          <w:p w14:paraId="366DBC33" w14:textId="77777777" w:rsidR="00423635" w:rsidRDefault="004E20D6">
            <w:pPr>
              <w:spacing w:after="0" w:line="259" w:lineRule="auto"/>
              <w:ind w:left="360" w:firstLine="0"/>
            </w:pPr>
            <w:r>
              <w:rPr>
                <w:b/>
              </w:rPr>
              <w:t xml:space="preserve">Collaborative  </w:t>
            </w:r>
          </w:p>
        </w:tc>
        <w:tc>
          <w:tcPr>
            <w:tcW w:w="6599" w:type="dxa"/>
            <w:tcBorders>
              <w:top w:val="nil"/>
              <w:left w:val="nil"/>
              <w:bottom w:val="nil"/>
              <w:right w:val="nil"/>
            </w:tcBorders>
          </w:tcPr>
          <w:p w14:paraId="2AD9B6D0" w14:textId="77777777" w:rsidR="00423635" w:rsidRDefault="004E20D6">
            <w:pPr>
              <w:spacing w:after="0" w:line="259" w:lineRule="auto"/>
              <w:ind w:left="785" w:firstLine="0"/>
            </w:pPr>
            <w:r>
              <w:t xml:space="preserve">Southborough, Wayland, Wellesley, Weston </w:t>
            </w:r>
          </w:p>
        </w:tc>
      </w:tr>
      <w:tr w:rsidR="00423635" w14:paraId="4552C422" w14:textId="77777777">
        <w:trPr>
          <w:trHeight w:val="564"/>
        </w:trPr>
        <w:tc>
          <w:tcPr>
            <w:tcW w:w="3536" w:type="dxa"/>
            <w:tcBorders>
              <w:top w:val="nil"/>
              <w:left w:val="nil"/>
              <w:bottom w:val="nil"/>
              <w:right w:val="nil"/>
            </w:tcBorders>
            <w:vAlign w:val="bottom"/>
          </w:tcPr>
          <w:p w14:paraId="2993E138" w14:textId="77777777" w:rsidR="00423635" w:rsidRDefault="004E20D6">
            <w:pPr>
              <w:spacing w:after="0" w:line="259" w:lineRule="auto"/>
              <w:ind w:left="360" w:firstLine="0"/>
            </w:pPr>
            <w:r>
              <w:rPr>
                <w:b/>
              </w:rPr>
              <w:t xml:space="preserve">South West Advisory  </w:t>
            </w:r>
          </w:p>
        </w:tc>
        <w:tc>
          <w:tcPr>
            <w:tcW w:w="6599" w:type="dxa"/>
            <w:tcBorders>
              <w:top w:val="nil"/>
              <w:left w:val="nil"/>
              <w:bottom w:val="nil"/>
              <w:right w:val="nil"/>
            </w:tcBorders>
            <w:vAlign w:val="bottom"/>
          </w:tcPr>
          <w:p w14:paraId="2933DA84" w14:textId="77777777" w:rsidR="00423635" w:rsidRDefault="004E20D6">
            <w:pPr>
              <w:spacing w:after="0" w:line="259" w:lineRule="auto"/>
              <w:ind w:left="0" w:right="94" w:firstLine="0"/>
              <w:jc w:val="center"/>
            </w:pPr>
            <w:r>
              <w:t>Bellingham, Dover, Franklin, Hopkinton,</w:t>
            </w:r>
            <w:r>
              <w:rPr>
                <w:b/>
              </w:rPr>
              <w:t xml:space="preserve"> </w:t>
            </w:r>
            <w:r>
              <w:t>Medway,</w:t>
            </w:r>
            <w:r>
              <w:rPr>
                <w:b/>
              </w:rPr>
              <w:t xml:space="preserve"> </w:t>
            </w:r>
          </w:p>
        </w:tc>
      </w:tr>
      <w:tr w:rsidR="00423635" w14:paraId="49457C30" w14:textId="77777777">
        <w:trPr>
          <w:trHeight w:val="564"/>
        </w:trPr>
        <w:tc>
          <w:tcPr>
            <w:tcW w:w="3536" w:type="dxa"/>
            <w:tcBorders>
              <w:top w:val="nil"/>
              <w:left w:val="nil"/>
              <w:bottom w:val="nil"/>
              <w:right w:val="nil"/>
            </w:tcBorders>
          </w:tcPr>
          <w:p w14:paraId="133B1F73" w14:textId="77777777" w:rsidR="00423635" w:rsidRDefault="00C403C6" w:rsidP="00C403C6">
            <w:pPr>
              <w:spacing w:after="0" w:line="259" w:lineRule="auto"/>
              <w:ind w:left="0" w:right="152" w:firstLine="0"/>
              <w:jc w:val="center"/>
            </w:pPr>
            <w:r>
              <w:rPr>
                <w:b/>
              </w:rPr>
              <w:t xml:space="preserve">  </w:t>
            </w:r>
            <w:r w:rsidR="004E20D6">
              <w:rPr>
                <w:b/>
              </w:rPr>
              <w:t xml:space="preserve">Planning Committee (SWAP)  </w:t>
            </w:r>
          </w:p>
        </w:tc>
        <w:tc>
          <w:tcPr>
            <w:tcW w:w="6599" w:type="dxa"/>
            <w:tcBorders>
              <w:top w:val="nil"/>
              <w:left w:val="nil"/>
              <w:bottom w:val="nil"/>
              <w:right w:val="nil"/>
            </w:tcBorders>
          </w:tcPr>
          <w:p w14:paraId="5E32431C" w14:textId="77777777" w:rsidR="00423635" w:rsidRDefault="004E20D6">
            <w:pPr>
              <w:spacing w:after="0" w:line="259" w:lineRule="auto"/>
              <w:ind w:left="785" w:firstLine="0"/>
            </w:pPr>
            <w:r>
              <w:t xml:space="preserve">Milford, Millis, Norfolk, Sherborn, Wrentham  </w:t>
            </w:r>
            <w:r>
              <w:rPr>
                <w:b/>
              </w:rPr>
              <w:t xml:space="preserve"> </w:t>
            </w:r>
          </w:p>
        </w:tc>
      </w:tr>
      <w:tr w:rsidR="00423635" w14:paraId="39CB0521" w14:textId="77777777">
        <w:trPr>
          <w:trHeight w:val="1404"/>
        </w:trPr>
        <w:tc>
          <w:tcPr>
            <w:tcW w:w="3536" w:type="dxa"/>
            <w:tcBorders>
              <w:top w:val="nil"/>
              <w:left w:val="nil"/>
              <w:bottom w:val="nil"/>
              <w:right w:val="nil"/>
            </w:tcBorders>
          </w:tcPr>
          <w:p w14:paraId="09BA1050" w14:textId="77777777" w:rsidR="00423635" w:rsidRDefault="004E20D6">
            <w:pPr>
              <w:spacing w:after="0" w:line="259" w:lineRule="auto"/>
              <w:ind w:left="360" w:firstLine="0"/>
            </w:pPr>
            <w:r>
              <w:rPr>
                <w:b/>
              </w:rPr>
              <w:t xml:space="preserve">Three Rivers (TRIC) </w:t>
            </w:r>
          </w:p>
        </w:tc>
        <w:tc>
          <w:tcPr>
            <w:tcW w:w="6599" w:type="dxa"/>
            <w:tcBorders>
              <w:top w:val="nil"/>
              <w:left w:val="nil"/>
              <w:bottom w:val="nil"/>
              <w:right w:val="nil"/>
            </w:tcBorders>
            <w:vAlign w:val="center"/>
          </w:tcPr>
          <w:p w14:paraId="42107C7E" w14:textId="77777777" w:rsidR="00423635" w:rsidRDefault="004E20D6">
            <w:pPr>
              <w:spacing w:after="0" w:line="259" w:lineRule="auto"/>
              <w:ind w:left="785" w:firstLine="0"/>
            </w:pPr>
            <w:r>
              <w:t xml:space="preserve">Canton, Dedham, Dover, Foxborough, Medfield, Milton, </w:t>
            </w:r>
          </w:p>
          <w:p w14:paraId="0D84C6CB" w14:textId="77777777" w:rsidR="00423635" w:rsidRDefault="004E20D6">
            <w:pPr>
              <w:spacing w:after="0" w:line="259" w:lineRule="auto"/>
              <w:ind w:left="785" w:firstLine="0"/>
            </w:pPr>
            <w:r>
              <w:t xml:space="preserve">Needham, Norwood, Randolph, Sharon, Walpole, Westwood  </w:t>
            </w:r>
            <w:r>
              <w:rPr>
                <w:b/>
              </w:rPr>
              <w:t xml:space="preserve"> </w:t>
            </w:r>
          </w:p>
        </w:tc>
      </w:tr>
      <w:tr w:rsidR="00423635" w14:paraId="47422FD1" w14:textId="77777777">
        <w:trPr>
          <w:trHeight w:val="1128"/>
        </w:trPr>
        <w:tc>
          <w:tcPr>
            <w:tcW w:w="3536" w:type="dxa"/>
            <w:tcBorders>
              <w:top w:val="nil"/>
              <w:left w:val="nil"/>
              <w:bottom w:val="nil"/>
              <w:right w:val="nil"/>
            </w:tcBorders>
          </w:tcPr>
          <w:p w14:paraId="3C90A359" w14:textId="77777777" w:rsidR="00423635" w:rsidRDefault="004E20D6">
            <w:pPr>
              <w:spacing w:after="0" w:line="259" w:lineRule="auto"/>
              <w:ind w:left="360" w:firstLine="0"/>
            </w:pPr>
            <w:r>
              <w:rPr>
                <w:b/>
              </w:rPr>
              <w:t xml:space="preserve">South Shore Coalition </w:t>
            </w:r>
          </w:p>
        </w:tc>
        <w:tc>
          <w:tcPr>
            <w:tcW w:w="6599" w:type="dxa"/>
            <w:tcBorders>
              <w:top w:val="nil"/>
              <w:left w:val="nil"/>
              <w:bottom w:val="nil"/>
              <w:right w:val="nil"/>
            </w:tcBorders>
            <w:vAlign w:val="center"/>
          </w:tcPr>
          <w:p w14:paraId="13D75770" w14:textId="77777777" w:rsidR="00423635" w:rsidRDefault="004E20D6">
            <w:pPr>
              <w:spacing w:after="0" w:line="259" w:lineRule="auto"/>
              <w:ind w:left="785" w:firstLine="0"/>
            </w:pPr>
            <w:r>
              <w:t>Braintree,</w:t>
            </w:r>
            <w:r>
              <w:rPr>
                <w:b/>
              </w:rPr>
              <w:t xml:space="preserve"> </w:t>
            </w:r>
            <w:r>
              <w:t xml:space="preserve">Cohasset, Hingham, Holbrook, Hull, Marshfield, Norwell, Rockland, Scituate, Weymouth  </w:t>
            </w:r>
            <w:r>
              <w:rPr>
                <w:b/>
              </w:rPr>
              <w:t xml:space="preserve"> </w:t>
            </w:r>
          </w:p>
        </w:tc>
      </w:tr>
      <w:tr w:rsidR="00423635" w14:paraId="52863B1B" w14:textId="77777777">
        <w:trPr>
          <w:trHeight w:val="1387"/>
        </w:trPr>
        <w:tc>
          <w:tcPr>
            <w:tcW w:w="3536" w:type="dxa"/>
            <w:tcBorders>
              <w:top w:val="nil"/>
              <w:left w:val="nil"/>
              <w:bottom w:val="nil"/>
              <w:right w:val="nil"/>
            </w:tcBorders>
          </w:tcPr>
          <w:p w14:paraId="51312D61" w14:textId="77777777" w:rsidR="00423635" w:rsidRDefault="004E20D6">
            <w:pPr>
              <w:spacing w:after="0" w:line="259" w:lineRule="auto"/>
              <w:ind w:left="360" w:firstLine="0"/>
            </w:pPr>
            <w:r>
              <w:rPr>
                <w:b/>
              </w:rPr>
              <w:t xml:space="preserve">Inner Core </w:t>
            </w:r>
          </w:p>
        </w:tc>
        <w:tc>
          <w:tcPr>
            <w:tcW w:w="6599" w:type="dxa"/>
            <w:tcBorders>
              <w:top w:val="nil"/>
              <w:left w:val="nil"/>
              <w:bottom w:val="nil"/>
              <w:right w:val="nil"/>
            </w:tcBorders>
            <w:vAlign w:val="bottom"/>
          </w:tcPr>
          <w:p w14:paraId="66A6D4E0" w14:textId="77777777" w:rsidR="00423635" w:rsidRDefault="00C403C6" w:rsidP="00C403C6">
            <w:pPr>
              <w:spacing w:after="0" w:line="259" w:lineRule="auto"/>
              <w:ind w:left="0" w:right="24" w:firstLine="0"/>
            </w:pPr>
            <w:r>
              <w:t xml:space="preserve">               </w:t>
            </w:r>
            <w:r w:rsidR="004E20D6">
              <w:t xml:space="preserve">Arlington, Belmont, Boston, Brookline, Cambridge, </w:t>
            </w:r>
          </w:p>
          <w:p w14:paraId="29419222" w14:textId="77777777" w:rsidR="00423635" w:rsidRDefault="00C403C6" w:rsidP="00C403C6">
            <w:pPr>
              <w:spacing w:after="0" w:line="259" w:lineRule="auto"/>
              <w:ind w:left="0" w:right="60" w:firstLine="0"/>
              <w:jc w:val="center"/>
            </w:pPr>
            <w:r>
              <w:t xml:space="preserve">           </w:t>
            </w:r>
            <w:r w:rsidR="004E20D6">
              <w:t xml:space="preserve">Chelsea, Everett, Lynn, Malden, Medford, Melrose, Milton, </w:t>
            </w:r>
          </w:p>
          <w:p w14:paraId="538FE663" w14:textId="77777777" w:rsidR="00423635" w:rsidRDefault="004E20D6">
            <w:pPr>
              <w:spacing w:after="0" w:line="259" w:lineRule="auto"/>
              <w:ind w:left="785" w:firstLine="0"/>
            </w:pPr>
            <w:r>
              <w:t xml:space="preserve">Newton, Quincy, Revere, Saugus, Somerville, Waltham, Watertown, Winthrop </w:t>
            </w:r>
          </w:p>
        </w:tc>
      </w:tr>
    </w:tbl>
    <w:p w14:paraId="02965E2B" w14:textId="77777777" w:rsidR="00423635" w:rsidRDefault="004E20D6">
      <w:pPr>
        <w:spacing w:after="0" w:line="259" w:lineRule="auto"/>
        <w:ind w:left="360" w:firstLine="0"/>
      </w:pPr>
      <w:r>
        <w:t xml:space="preserve"> </w:t>
      </w:r>
    </w:p>
    <w:p w14:paraId="5DA7458D" w14:textId="77777777" w:rsidR="00763786" w:rsidRDefault="004E20D6">
      <w:pPr>
        <w:tabs>
          <w:tab w:val="center" w:pos="771"/>
          <w:tab w:val="center" w:pos="1491"/>
          <w:tab w:val="center" w:pos="2211"/>
          <w:tab w:val="center" w:pos="2931"/>
          <w:tab w:val="center" w:pos="3651"/>
          <w:tab w:val="center" w:pos="4371"/>
          <w:tab w:val="center" w:pos="5092"/>
          <w:tab w:val="center" w:pos="5812"/>
          <w:tab w:val="center" w:pos="6532"/>
          <w:tab w:val="center" w:pos="7252"/>
          <w:tab w:val="center" w:pos="8642"/>
        </w:tabs>
        <w:ind w:left="0" w:firstLine="0"/>
        <w:rPr>
          <w:b/>
        </w:rPr>
      </w:pPr>
      <w:r>
        <w:rPr>
          <w:rFonts w:ascii="Calibri" w:eastAsia="Calibri" w:hAnsi="Calibri" w:cs="Calibri"/>
          <w:sz w:val="22"/>
        </w:rPr>
        <w:tab/>
      </w:r>
      <w:r>
        <w:rPr>
          <w:b/>
          <w:sz w:val="16"/>
        </w:rPr>
        <w:t xml:space="preserve"> </w:t>
      </w:r>
      <w:r>
        <w:rPr>
          <w:b/>
          <w:sz w:val="16"/>
        </w:rPr>
        <w:tab/>
      </w:r>
      <w:r>
        <w:rPr>
          <w:b/>
          <w:vertAlign w:val="subscript"/>
        </w:rPr>
        <w:t xml:space="preserve"> </w:t>
      </w:r>
      <w:r>
        <w:rPr>
          <w:b/>
          <w:vertAlign w:val="subscript"/>
        </w:rPr>
        <w:tab/>
        <w:t xml:space="preserve"> </w:t>
      </w:r>
      <w:r>
        <w:rPr>
          <w:b/>
          <w:vertAlign w:val="subscript"/>
        </w:rPr>
        <w:tab/>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p>
    <w:p w14:paraId="75241953" w14:textId="77777777" w:rsidR="00763786" w:rsidRDefault="00763786">
      <w:pPr>
        <w:tabs>
          <w:tab w:val="center" w:pos="771"/>
          <w:tab w:val="center" w:pos="1491"/>
          <w:tab w:val="center" w:pos="2211"/>
          <w:tab w:val="center" w:pos="2931"/>
          <w:tab w:val="center" w:pos="3651"/>
          <w:tab w:val="center" w:pos="4371"/>
          <w:tab w:val="center" w:pos="5092"/>
          <w:tab w:val="center" w:pos="5812"/>
          <w:tab w:val="center" w:pos="6532"/>
          <w:tab w:val="center" w:pos="7252"/>
          <w:tab w:val="center" w:pos="8642"/>
        </w:tabs>
        <w:ind w:left="0" w:firstLine="0"/>
        <w:rPr>
          <w:b/>
        </w:rPr>
      </w:pPr>
    </w:p>
    <w:p w14:paraId="04EC739A" w14:textId="77777777" w:rsidR="00763786" w:rsidRDefault="00763786">
      <w:pPr>
        <w:tabs>
          <w:tab w:val="center" w:pos="771"/>
          <w:tab w:val="center" w:pos="1491"/>
          <w:tab w:val="center" w:pos="2211"/>
          <w:tab w:val="center" w:pos="2931"/>
          <w:tab w:val="center" w:pos="3651"/>
          <w:tab w:val="center" w:pos="4371"/>
          <w:tab w:val="center" w:pos="5092"/>
          <w:tab w:val="center" w:pos="5812"/>
          <w:tab w:val="center" w:pos="6532"/>
          <w:tab w:val="center" w:pos="7252"/>
          <w:tab w:val="center" w:pos="8642"/>
        </w:tabs>
        <w:ind w:left="0" w:firstLine="0"/>
        <w:rPr>
          <w:b/>
        </w:rPr>
      </w:pPr>
    </w:p>
    <w:p w14:paraId="7E1B8487" w14:textId="77777777" w:rsidR="00763786" w:rsidRDefault="00763786">
      <w:pPr>
        <w:tabs>
          <w:tab w:val="center" w:pos="771"/>
          <w:tab w:val="center" w:pos="1491"/>
          <w:tab w:val="center" w:pos="2211"/>
          <w:tab w:val="center" w:pos="2931"/>
          <w:tab w:val="center" w:pos="3651"/>
          <w:tab w:val="center" w:pos="4371"/>
          <w:tab w:val="center" w:pos="5092"/>
          <w:tab w:val="center" w:pos="5812"/>
          <w:tab w:val="center" w:pos="6532"/>
          <w:tab w:val="center" w:pos="7252"/>
          <w:tab w:val="center" w:pos="8642"/>
        </w:tabs>
        <w:ind w:left="0" w:firstLine="0"/>
        <w:rPr>
          <w:b/>
        </w:rPr>
      </w:pPr>
    </w:p>
    <w:p w14:paraId="00B827FB" w14:textId="77777777" w:rsidR="00423635" w:rsidRDefault="004E20D6" w:rsidP="0002276E">
      <w:pPr>
        <w:tabs>
          <w:tab w:val="center" w:pos="771"/>
          <w:tab w:val="center" w:pos="1491"/>
          <w:tab w:val="center" w:pos="2211"/>
          <w:tab w:val="center" w:pos="2931"/>
          <w:tab w:val="center" w:pos="3651"/>
          <w:tab w:val="center" w:pos="4371"/>
          <w:tab w:val="center" w:pos="5092"/>
          <w:tab w:val="center" w:pos="5812"/>
          <w:tab w:val="center" w:pos="6532"/>
          <w:tab w:val="center" w:pos="7252"/>
          <w:tab w:val="center" w:pos="8642"/>
        </w:tabs>
        <w:ind w:left="0" w:firstLine="0"/>
        <w:jc w:val="right"/>
      </w:pPr>
      <w:r>
        <w:lastRenderedPageBreak/>
        <w:t xml:space="preserve">Attachment B </w:t>
      </w:r>
      <w:r>
        <w:rPr>
          <w:b/>
          <w:sz w:val="16"/>
        </w:rPr>
        <w:t xml:space="preserve"> </w:t>
      </w:r>
    </w:p>
    <w:p w14:paraId="33E28241" w14:textId="77777777" w:rsidR="00423635" w:rsidRPr="0002276E" w:rsidRDefault="0002276E" w:rsidP="0002276E">
      <w:pPr>
        <w:spacing w:after="0" w:line="259" w:lineRule="auto"/>
        <w:jc w:val="center"/>
        <w:rPr>
          <w:b/>
          <w:sz w:val="36"/>
          <w:szCs w:val="36"/>
        </w:rPr>
      </w:pPr>
      <w:r w:rsidRPr="0002276E">
        <w:rPr>
          <w:b/>
          <w:sz w:val="36"/>
          <w:szCs w:val="36"/>
        </w:rPr>
        <w:t xml:space="preserve">Boston MPO 97 </w:t>
      </w:r>
      <w:r w:rsidR="004E20D6" w:rsidRPr="0002276E">
        <w:rPr>
          <w:b/>
          <w:sz w:val="36"/>
          <w:szCs w:val="36"/>
        </w:rPr>
        <w:t>Cities and Towns</w:t>
      </w:r>
    </w:p>
    <w:p w14:paraId="13ABC8B1" w14:textId="77777777" w:rsidR="00423635" w:rsidRDefault="004E20D6">
      <w:pPr>
        <w:spacing w:after="0" w:line="259" w:lineRule="auto"/>
        <w:ind w:left="0" w:firstLine="0"/>
      </w:pPr>
      <w:r>
        <w:t xml:space="preserve"> </w:t>
      </w:r>
    </w:p>
    <w:p w14:paraId="403EDB72" w14:textId="77777777" w:rsidR="00423635" w:rsidRDefault="004E20D6">
      <w:pPr>
        <w:pStyle w:val="Heading2"/>
        <w:ind w:left="-5"/>
      </w:pPr>
      <w:r>
        <w:t xml:space="preserve">Cities </w:t>
      </w:r>
    </w:p>
    <w:p w14:paraId="46757BE5" w14:textId="77777777" w:rsidR="00423635" w:rsidRDefault="004E20D6">
      <w:pPr>
        <w:spacing w:after="0" w:line="259" w:lineRule="auto"/>
        <w:ind w:left="0" w:firstLine="0"/>
      </w:pPr>
      <w:r>
        <w:t xml:space="preserve"> </w:t>
      </w:r>
    </w:p>
    <w:tbl>
      <w:tblPr>
        <w:tblStyle w:val="TableGrid"/>
        <w:tblW w:w="8448" w:type="dxa"/>
        <w:tblInd w:w="0" w:type="dxa"/>
        <w:tblLook w:val="04A0" w:firstRow="1" w:lastRow="0" w:firstColumn="1" w:lastColumn="0" w:noHBand="0" w:noVBand="1"/>
      </w:tblPr>
      <w:tblGrid>
        <w:gridCol w:w="2211"/>
        <w:gridCol w:w="4991"/>
        <w:gridCol w:w="1246"/>
      </w:tblGrid>
      <w:tr w:rsidR="00423635" w14:paraId="0F7121D7" w14:textId="77777777">
        <w:trPr>
          <w:trHeight w:val="2198"/>
        </w:trPr>
        <w:tc>
          <w:tcPr>
            <w:tcW w:w="2211" w:type="dxa"/>
            <w:tcBorders>
              <w:top w:val="nil"/>
              <w:left w:val="nil"/>
              <w:bottom w:val="nil"/>
              <w:right w:val="nil"/>
            </w:tcBorders>
          </w:tcPr>
          <w:p w14:paraId="241EC953" w14:textId="77777777" w:rsidR="00423635" w:rsidRDefault="004E20D6">
            <w:pPr>
              <w:spacing w:after="0" w:line="259" w:lineRule="auto"/>
              <w:ind w:left="0" w:firstLine="0"/>
            </w:pPr>
            <w:r>
              <w:t xml:space="preserve">Beverly </w:t>
            </w:r>
          </w:p>
          <w:p w14:paraId="4C1E336B" w14:textId="77777777" w:rsidR="00423635" w:rsidRDefault="004E20D6">
            <w:pPr>
              <w:spacing w:after="0" w:line="259" w:lineRule="auto"/>
              <w:ind w:left="0" w:firstLine="0"/>
            </w:pPr>
            <w:r>
              <w:t xml:space="preserve">Boston </w:t>
            </w:r>
          </w:p>
          <w:p w14:paraId="3DA7678A" w14:textId="77777777" w:rsidR="00423635" w:rsidRDefault="004E20D6">
            <w:pPr>
              <w:spacing w:after="0" w:line="259" w:lineRule="auto"/>
              <w:ind w:left="0" w:firstLine="0"/>
            </w:pPr>
            <w:r>
              <w:t xml:space="preserve">Braintree </w:t>
            </w:r>
          </w:p>
          <w:p w14:paraId="5A3BE08A" w14:textId="77777777" w:rsidR="00423635" w:rsidRDefault="004E20D6">
            <w:pPr>
              <w:spacing w:after="0" w:line="259" w:lineRule="auto"/>
              <w:ind w:left="0" w:firstLine="0"/>
            </w:pPr>
            <w:r>
              <w:t xml:space="preserve">Cambridge </w:t>
            </w:r>
          </w:p>
          <w:p w14:paraId="4621EBF1" w14:textId="77777777" w:rsidR="00423635" w:rsidRDefault="004E20D6">
            <w:pPr>
              <w:spacing w:after="0" w:line="259" w:lineRule="auto"/>
              <w:ind w:left="0" w:firstLine="0"/>
            </w:pPr>
            <w:r>
              <w:t xml:space="preserve">Chelsea </w:t>
            </w:r>
          </w:p>
          <w:p w14:paraId="1E656647" w14:textId="77777777" w:rsidR="00423635" w:rsidRDefault="004E20D6">
            <w:pPr>
              <w:spacing w:after="0" w:line="259" w:lineRule="auto"/>
              <w:ind w:left="0" w:firstLine="0"/>
            </w:pPr>
            <w:r>
              <w:t xml:space="preserve">Everett </w:t>
            </w:r>
          </w:p>
          <w:p w14:paraId="33117096" w14:textId="77777777" w:rsidR="00423635" w:rsidRDefault="004E20D6">
            <w:pPr>
              <w:spacing w:after="0" w:line="259" w:lineRule="auto"/>
              <w:ind w:left="0" w:firstLine="0"/>
            </w:pPr>
            <w:r>
              <w:t xml:space="preserve">Franklin* </w:t>
            </w:r>
          </w:p>
          <w:p w14:paraId="3F18E636" w14:textId="77777777" w:rsidR="00423635" w:rsidRDefault="004E20D6">
            <w:pPr>
              <w:spacing w:after="0" w:line="259" w:lineRule="auto"/>
              <w:ind w:left="0" w:firstLine="0"/>
            </w:pPr>
            <w:r>
              <w:t xml:space="preserve">Gloucester </w:t>
            </w:r>
          </w:p>
        </w:tc>
        <w:tc>
          <w:tcPr>
            <w:tcW w:w="4991" w:type="dxa"/>
            <w:tcBorders>
              <w:top w:val="nil"/>
              <w:left w:val="nil"/>
              <w:bottom w:val="nil"/>
              <w:right w:val="nil"/>
            </w:tcBorders>
          </w:tcPr>
          <w:p w14:paraId="3944768A" w14:textId="77777777" w:rsidR="00423635" w:rsidRDefault="004E20D6">
            <w:pPr>
              <w:spacing w:after="0" w:line="259" w:lineRule="auto"/>
              <w:ind w:left="1390" w:firstLine="0"/>
            </w:pPr>
            <w:r>
              <w:t xml:space="preserve">Lynn </w:t>
            </w:r>
          </w:p>
          <w:p w14:paraId="12846C92" w14:textId="77777777" w:rsidR="00423635" w:rsidRDefault="004E20D6">
            <w:pPr>
              <w:spacing w:after="0" w:line="259" w:lineRule="auto"/>
              <w:ind w:left="1390" w:firstLine="0"/>
            </w:pPr>
            <w:r>
              <w:t xml:space="preserve">Malden </w:t>
            </w:r>
          </w:p>
          <w:p w14:paraId="7D45C7BF" w14:textId="77777777" w:rsidR="00423635" w:rsidRDefault="004E20D6">
            <w:pPr>
              <w:spacing w:after="0" w:line="259" w:lineRule="auto"/>
              <w:ind w:left="1390" w:firstLine="0"/>
            </w:pPr>
            <w:r>
              <w:t xml:space="preserve">Marlborough </w:t>
            </w:r>
          </w:p>
          <w:p w14:paraId="790CD8C1" w14:textId="77777777" w:rsidR="00423635" w:rsidRDefault="004E20D6">
            <w:pPr>
              <w:spacing w:after="0" w:line="259" w:lineRule="auto"/>
              <w:ind w:left="1390" w:firstLine="0"/>
            </w:pPr>
            <w:r>
              <w:t xml:space="preserve">Medford </w:t>
            </w:r>
          </w:p>
          <w:p w14:paraId="7CE45361" w14:textId="77777777" w:rsidR="00423635" w:rsidRDefault="004E20D6">
            <w:pPr>
              <w:spacing w:after="0" w:line="259" w:lineRule="auto"/>
              <w:ind w:left="1390" w:firstLine="0"/>
            </w:pPr>
            <w:r>
              <w:t xml:space="preserve">Melrose </w:t>
            </w:r>
          </w:p>
          <w:p w14:paraId="5E5FA666" w14:textId="77777777" w:rsidR="00423635" w:rsidRDefault="004E20D6">
            <w:pPr>
              <w:spacing w:after="0" w:line="259" w:lineRule="auto"/>
              <w:ind w:left="1390" w:firstLine="0"/>
            </w:pPr>
            <w:r>
              <w:t xml:space="preserve">Newton </w:t>
            </w:r>
          </w:p>
          <w:p w14:paraId="167F8221" w14:textId="77777777" w:rsidR="00423635" w:rsidRDefault="004E20D6">
            <w:pPr>
              <w:spacing w:after="0" w:line="259" w:lineRule="auto"/>
              <w:ind w:left="1390" w:firstLine="0"/>
            </w:pPr>
            <w:r>
              <w:t xml:space="preserve">Peabody </w:t>
            </w:r>
          </w:p>
          <w:p w14:paraId="34AFF51F" w14:textId="77777777" w:rsidR="00423635" w:rsidRDefault="004E20D6">
            <w:pPr>
              <w:spacing w:after="0" w:line="259" w:lineRule="auto"/>
              <w:ind w:left="1390" w:firstLine="0"/>
            </w:pPr>
            <w:r>
              <w:t xml:space="preserve">Quincy </w:t>
            </w:r>
          </w:p>
        </w:tc>
        <w:tc>
          <w:tcPr>
            <w:tcW w:w="1246" w:type="dxa"/>
            <w:tcBorders>
              <w:top w:val="nil"/>
              <w:left w:val="nil"/>
              <w:bottom w:val="nil"/>
              <w:right w:val="nil"/>
            </w:tcBorders>
          </w:tcPr>
          <w:p w14:paraId="5D5B6487" w14:textId="77777777" w:rsidR="00423635" w:rsidRDefault="004E20D6">
            <w:pPr>
              <w:spacing w:after="0" w:line="259" w:lineRule="auto"/>
              <w:ind w:left="0" w:firstLine="0"/>
            </w:pPr>
            <w:r>
              <w:t xml:space="preserve">Revere </w:t>
            </w:r>
          </w:p>
          <w:p w14:paraId="162C66B6" w14:textId="77777777" w:rsidR="00423635" w:rsidRDefault="004E20D6">
            <w:pPr>
              <w:spacing w:after="0" w:line="259" w:lineRule="auto"/>
              <w:ind w:left="0" w:firstLine="0"/>
            </w:pPr>
            <w:r>
              <w:t xml:space="preserve">Salem </w:t>
            </w:r>
          </w:p>
          <w:p w14:paraId="406D1B86" w14:textId="77777777" w:rsidR="00423635" w:rsidRDefault="004E20D6">
            <w:pPr>
              <w:spacing w:after="0" w:line="259" w:lineRule="auto"/>
              <w:ind w:left="0" w:firstLine="0"/>
            </w:pPr>
            <w:r>
              <w:t xml:space="preserve">Somerville </w:t>
            </w:r>
          </w:p>
          <w:p w14:paraId="34C5C17E" w14:textId="77777777" w:rsidR="00423635" w:rsidRDefault="004E20D6">
            <w:pPr>
              <w:spacing w:after="0" w:line="259" w:lineRule="auto"/>
              <w:ind w:left="0" w:firstLine="0"/>
            </w:pPr>
            <w:r>
              <w:t xml:space="preserve">Waltham </w:t>
            </w:r>
          </w:p>
          <w:p w14:paraId="219CC223" w14:textId="77777777" w:rsidR="00423635" w:rsidRDefault="004E20D6">
            <w:pPr>
              <w:spacing w:after="0" w:line="259" w:lineRule="auto"/>
              <w:ind w:left="0" w:firstLine="0"/>
              <w:jc w:val="both"/>
            </w:pPr>
            <w:r>
              <w:t xml:space="preserve">Watertown* </w:t>
            </w:r>
          </w:p>
          <w:p w14:paraId="15D07782" w14:textId="77777777" w:rsidR="00423635" w:rsidRDefault="004E20D6">
            <w:pPr>
              <w:spacing w:after="0" w:line="259" w:lineRule="auto"/>
              <w:ind w:left="0" w:firstLine="0"/>
              <w:jc w:val="both"/>
            </w:pPr>
            <w:r>
              <w:t xml:space="preserve">Weymouth </w:t>
            </w:r>
          </w:p>
          <w:p w14:paraId="798571F1" w14:textId="77777777" w:rsidR="00423635" w:rsidRDefault="004E20D6">
            <w:pPr>
              <w:spacing w:after="0" w:line="259" w:lineRule="auto"/>
              <w:ind w:left="0" w:firstLine="0"/>
            </w:pPr>
            <w:r>
              <w:t xml:space="preserve">Woburn </w:t>
            </w:r>
          </w:p>
        </w:tc>
      </w:tr>
    </w:tbl>
    <w:p w14:paraId="022BEF2E" w14:textId="77777777" w:rsidR="00763786" w:rsidRDefault="00763786" w:rsidP="00763786">
      <w:pPr>
        <w:spacing w:after="0" w:line="259" w:lineRule="auto"/>
        <w:ind w:left="0" w:firstLine="0"/>
      </w:pPr>
      <w:r>
        <w:t xml:space="preserve">Framingham </w:t>
      </w:r>
    </w:p>
    <w:p w14:paraId="6A83626B" w14:textId="77777777" w:rsidR="00423635" w:rsidRDefault="00423635">
      <w:pPr>
        <w:spacing w:after="0" w:line="259" w:lineRule="auto"/>
        <w:ind w:left="0" w:firstLine="0"/>
      </w:pPr>
    </w:p>
    <w:p w14:paraId="4D63913E" w14:textId="77777777" w:rsidR="00423635" w:rsidRDefault="004E20D6">
      <w:pPr>
        <w:spacing w:after="0" w:line="236" w:lineRule="auto"/>
        <w:ind w:left="135" w:hanging="135"/>
      </w:pPr>
      <w:r>
        <w:rPr>
          <w:i/>
        </w:rPr>
        <w:t>* MAPC Legal Counsel has rendered an opinion that Franklin and Watertown are defined as cities for the purpose of the MPO Election.</w:t>
      </w:r>
      <w:r>
        <w:t xml:space="preserve"> </w:t>
      </w:r>
    </w:p>
    <w:p w14:paraId="7FC7D75A" w14:textId="77777777" w:rsidR="00423635" w:rsidRDefault="004E20D6">
      <w:pPr>
        <w:spacing w:after="151" w:line="259" w:lineRule="auto"/>
        <w:ind w:left="0" w:firstLine="0"/>
      </w:pPr>
      <w:r>
        <w:rPr>
          <w:b/>
          <w:i/>
          <w:sz w:val="22"/>
        </w:rPr>
        <w:t xml:space="preserve"> </w:t>
      </w:r>
    </w:p>
    <w:p w14:paraId="309DA41D" w14:textId="77777777" w:rsidR="00423635" w:rsidRDefault="004E20D6">
      <w:pPr>
        <w:pStyle w:val="Heading2"/>
        <w:ind w:left="0" w:firstLine="0"/>
      </w:pPr>
      <w:r>
        <w:rPr>
          <w:sz w:val="28"/>
        </w:rPr>
        <w:t xml:space="preserve">Towns </w:t>
      </w:r>
    </w:p>
    <w:tbl>
      <w:tblPr>
        <w:tblStyle w:val="TableGrid"/>
        <w:tblW w:w="8623" w:type="dxa"/>
        <w:tblInd w:w="0" w:type="dxa"/>
        <w:tblLook w:val="04A0" w:firstRow="1" w:lastRow="0" w:firstColumn="1" w:lastColumn="0" w:noHBand="0" w:noVBand="1"/>
      </w:tblPr>
      <w:tblGrid>
        <w:gridCol w:w="3602"/>
        <w:gridCol w:w="3600"/>
        <w:gridCol w:w="1421"/>
      </w:tblGrid>
      <w:tr w:rsidR="00423635" w14:paraId="12946462" w14:textId="77777777">
        <w:trPr>
          <w:trHeight w:val="6891"/>
        </w:trPr>
        <w:tc>
          <w:tcPr>
            <w:tcW w:w="3601" w:type="dxa"/>
            <w:tcBorders>
              <w:top w:val="nil"/>
              <w:left w:val="nil"/>
              <w:bottom w:val="nil"/>
              <w:right w:val="nil"/>
            </w:tcBorders>
          </w:tcPr>
          <w:p w14:paraId="2AADAF4C" w14:textId="77777777" w:rsidR="00423635" w:rsidRDefault="004E20D6">
            <w:pPr>
              <w:spacing w:after="0" w:line="259" w:lineRule="auto"/>
              <w:ind w:left="0" w:firstLine="0"/>
            </w:pPr>
            <w:r>
              <w:t xml:space="preserve">Acton </w:t>
            </w:r>
          </w:p>
          <w:p w14:paraId="642ACA61" w14:textId="77777777" w:rsidR="00423635" w:rsidRDefault="004E20D6">
            <w:pPr>
              <w:spacing w:after="0" w:line="259" w:lineRule="auto"/>
              <w:ind w:left="0" w:firstLine="0"/>
            </w:pPr>
            <w:r>
              <w:t xml:space="preserve">Arlington </w:t>
            </w:r>
          </w:p>
          <w:p w14:paraId="58A2C7EC" w14:textId="77777777" w:rsidR="00423635" w:rsidRDefault="004E20D6">
            <w:pPr>
              <w:spacing w:after="0" w:line="259" w:lineRule="auto"/>
              <w:ind w:left="0" w:firstLine="0"/>
            </w:pPr>
            <w:r>
              <w:t xml:space="preserve">Ashland </w:t>
            </w:r>
          </w:p>
          <w:p w14:paraId="77DC9D05" w14:textId="77777777" w:rsidR="00423635" w:rsidRDefault="004E20D6">
            <w:pPr>
              <w:spacing w:after="0" w:line="259" w:lineRule="auto"/>
              <w:ind w:left="0" w:firstLine="0"/>
            </w:pPr>
            <w:r>
              <w:t xml:space="preserve">Bedford </w:t>
            </w:r>
          </w:p>
          <w:p w14:paraId="6580C56C" w14:textId="77777777" w:rsidR="00423635" w:rsidRDefault="004E20D6">
            <w:pPr>
              <w:spacing w:after="0" w:line="259" w:lineRule="auto"/>
              <w:ind w:left="0" w:firstLine="0"/>
            </w:pPr>
            <w:r>
              <w:t xml:space="preserve">Bellingham </w:t>
            </w:r>
          </w:p>
          <w:p w14:paraId="18229CC6" w14:textId="77777777" w:rsidR="00423635" w:rsidRDefault="004E20D6">
            <w:pPr>
              <w:spacing w:after="0" w:line="259" w:lineRule="auto"/>
              <w:ind w:left="0" w:firstLine="0"/>
            </w:pPr>
            <w:r>
              <w:t xml:space="preserve">Belmont </w:t>
            </w:r>
          </w:p>
          <w:p w14:paraId="02E517EC" w14:textId="77777777" w:rsidR="00423635" w:rsidRDefault="004E20D6">
            <w:pPr>
              <w:spacing w:after="0" w:line="259" w:lineRule="auto"/>
              <w:ind w:left="0" w:firstLine="0"/>
            </w:pPr>
            <w:r>
              <w:t xml:space="preserve">Bolton </w:t>
            </w:r>
          </w:p>
          <w:p w14:paraId="29D370DB" w14:textId="77777777" w:rsidR="00423635" w:rsidRDefault="004E20D6">
            <w:pPr>
              <w:spacing w:after="0" w:line="259" w:lineRule="auto"/>
              <w:ind w:left="0" w:firstLine="0"/>
            </w:pPr>
            <w:r>
              <w:t xml:space="preserve">Boxborough </w:t>
            </w:r>
          </w:p>
          <w:p w14:paraId="2F9D5D46" w14:textId="77777777" w:rsidR="00423635" w:rsidRDefault="004E20D6">
            <w:pPr>
              <w:spacing w:after="0" w:line="259" w:lineRule="auto"/>
              <w:ind w:left="0" w:firstLine="0"/>
            </w:pPr>
            <w:r>
              <w:t xml:space="preserve">Brookline </w:t>
            </w:r>
          </w:p>
          <w:p w14:paraId="43101D7F" w14:textId="77777777" w:rsidR="00423635" w:rsidRDefault="004E20D6">
            <w:pPr>
              <w:spacing w:after="0" w:line="259" w:lineRule="auto"/>
              <w:ind w:left="0" w:firstLine="0"/>
            </w:pPr>
            <w:r>
              <w:t xml:space="preserve">Burlington </w:t>
            </w:r>
          </w:p>
          <w:p w14:paraId="5C486D86" w14:textId="77777777" w:rsidR="00423635" w:rsidRDefault="004E20D6">
            <w:pPr>
              <w:spacing w:after="0" w:line="259" w:lineRule="auto"/>
              <w:ind w:left="0" w:firstLine="0"/>
            </w:pPr>
            <w:r>
              <w:t xml:space="preserve">Canton </w:t>
            </w:r>
          </w:p>
          <w:p w14:paraId="619E8618" w14:textId="77777777" w:rsidR="00423635" w:rsidRDefault="004E20D6">
            <w:pPr>
              <w:spacing w:after="0" w:line="259" w:lineRule="auto"/>
              <w:ind w:left="0" w:firstLine="0"/>
            </w:pPr>
            <w:r>
              <w:t xml:space="preserve">Carlisle </w:t>
            </w:r>
          </w:p>
          <w:p w14:paraId="198B2D73" w14:textId="77777777" w:rsidR="00423635" w:rsidRDefault="004E20D6">
            <w:pPr>
              <w:spacing w:after="0" w:line="238" w:lineRule="auto"/>
              <w:ind w:left="0" w:right="1849" w:firstLine="0"/>
            </w:pPr>
            <w:r>
              <w:t xml:space="preserve">Cohasset Concord </w:t>
            </w:r>
          </w:p>
          <w:p w14:paraId="0B5B4961" w14:textId="77777777" w:rsidR="00423635" w:rsidRDefault="004E20D6">
            <w:pPr>
              <w:spacing w:after="0" w:line="259" w:lineRule="auto"/>
              <w:ind w:left="0" w:firstLine="0"/>
            </w:pPr>
            <w:r>
              <w:t xml:space="preserve">Danvers </w:t>
            </w:r>
          </w:p>
          <w:p w14:paraId="481AD558" w14:textId="77777777" w:rsidR="00423635" w:rsidRDefault="004E20D6">
            <w:pPr>
              <w:spacing w:after="0" w:line="259" w:lineRule="auto"/>
              <w:ind w:left="0" w:firstLine="0"/>
            </w:pPr>
            <w:r>
              <w:t xml:space="preserve">Dedham </w:t>
            </w:r>
          </w:p>
          <w:p w14:paraId="48777945" w14:textId="77777777" w:rsidR="00423635" w:rsidRDefault="004E20D6">
            <w:pPr>
              <w:spacing w:after="0" w:line="259" w:lineRule="auto"/>
              <w:ind w:left="0" w:firstLine="0"/>
            </w:pPr>
            <w:r>
              <w:t xml:space="preserve">Dover </w:t>
            </w:r>
          </w:p>
          <w:p w14:paraId="2A741FEA" w14:textId="77777777" w:rsidR="00423635" w:rsidRDefault="004E20D6">
            <w:pPr>
              <w:spacing w:after="0" w:line="259" w:lineRule="auto"/>
              <w:ind w:left="0" w:firstLine="0"/>
            </w:pPr>
            <w:r>
              <w:t xml:space="preserve">Essex </w:t>
            </w:r>
          </w:p>
          <w:p w14:paraId="43F9114D" w14:textId="77777777" w:rsidR="00423635" w:rsidRDefault="004E20D6">
            <w:pPr>
              <w:spacing w:after="0" w:line="259" w:lineRule="auto"/>
              <w:ind w:left="0" w:firstLine="0"/>
            </w:pPr>
            <w:r>
              <w:t xml:space="preserve">Foxborough </w:t>
            </w:r>
          </w:p>
          <w:p w14:paraId="451980C7" w14:textId="77777777" w:rsidR="00423635" w:rsidRDefault="004E20D6">
            <w:pPr>
              <w:spacing w:after="0" w:line="259" w:lineRule="auto"/>
              <w:ind w:left="0" w:firstLine="0"/>
            </w:pPr>
            <w:r>
              <w:t xml:space="preserve">Hamilton </w:t>
            </w:r>
          </w:p>
          <w:p w14:paraId="7E6E28E8" w14:textId="77777777" w:rsidR="00423635" w:rsidRDefault="004E20D6">
            <w:pPr>
              <w:spacing w:after="0" w:line="259" w:lineRule="auto"/>
              <w:ind w:left="0" w:firstLine="0"/>
            </w:pPr>
            <w:r>
              <w:t xml:space="preserve">Hingham </w:t>
            </w:r>
          </w:p>
          <w:p w14:paraId="63244B95" w14:textId="77777777" w:rsidR="00423635" w:rsidRDefault="004E20D6">
            <w:pPr>
              <w:spacing w:after="0" w:line="259" w:lineRule="auto"/>
              <w:ind w:left="0" w:firstLine="0"/>
            </w:pPr>
            <w:r>
              <w:t xml:space="preserve">Holbrook </w:t>
            </w:r>
          </w:p>
          <w:p w14:paraId="0274845A" w14:textId="77777777" w:rsidR="00423635" w:rsidRDefault="004E20D6">
            <w:pPr>
              <w:spacing w:after="0" w:line="259" w:lineRule="auto"/>
              <w:ind w:left="0" w:firstLine="0"/>
            </w:pPr>
            <w:r>
              <w:t xml:space="preserve">Holliston </w:t>
            </w:r>
          </w:p>
        </w:tc>
        <w:tc>
          <w:tcPr>
            <w:tcW w:w="3600" w:type="dxa"/>
            <w:tcBorders>
              <w:top w:val="nil"/>
              <w:left w:val="nil"/>
              <w:bottom w:val="nil"/>
              <w:right w:val="nil"/>
            </w:tcBorders>
          </w:tcPr>
          <w:p w14:paraId="4B060F6A" w14:textId="77777777" w:rsidR="00423635" w:rsidRDefault="004E20D6">
            <w:pPr>
              <w:spacing w:after="0" w:line="259" w:lineRule="auto"/>
              <w:ind w:left="0" w:firstLine="0"/>
            </w:pPr>
            <w:r>
              <w:t xml:space="preserve">Hopkinton </w:t>
            </w:r>
          </w:p>
          <w:p w14:paraId="428A417B" w14:textId="77777777" w:rsidR="00423635" w:rsidRDefault="004E20D6">
            <w:pPr>
              <w:spacing w:after="0" w:line="259" w:lineRule="auto"/>
              <w:ind w:left="0" w:firstLine="0"/>
            </w:pPr>
            <w:r>
              <w:t xml:space="preserve">Hudson </w:t>
            </w:r>
          </w:p>
          <w:p w14:paraId="4CFEF2B6" w14:textId="77777777" w:rsidR="00423635" w:rsidRDefault="004E20D6">
            <w:pPr>
              <w:spacing w:after="0" w:line="259" w:lineRule="auto"/>
              <w:ind w:left="0" w:firstLine="0"/>
            </w:pPr>
            <w:r>
              <w:t xml:space="preserve">Hull </w:t>
            </w:r>
          </w:p>
          <w:p w14:paraId="6BB20096" w14:textId="77777777" w:rsidR="00423635" w:rsidRDefault="004E20D6">
            <w:pPr>
              <w:spacing w:after="0" w:line="259" w:lineRule="auto"/>
              <w:ind w:left="0" w:firstLine="0"/>
            </w:pPr>
            <w:r>
              <w:t xml:space="preserve">Ipswich </w:t>
            </w:r>
          </w:p>
          <w:p w14:paraId="26CD7DD8" w14:textId="77777777" w:rsidR="00423635" w:rsidRDefault="004E20D6">
            <w:pPr>
              <w:spacing w:after="0" w:line="259" w:lineRule="auto"/>
              <w:ind w:left="0" w:firstLine="0"/>
            </w:pPr>
            <w:r>
              <w:t xml:space="preserve">Lexington </w:t>
            </w:r>
          </w:p>
          <w:p w14:paraId="34618AFB" w14:textId="77777777" w:rsidR="00423635" w:rsidRDefault="004E20D6">
            <w:pPr>
              <w:spacing w:after="0" w:line="259" w:lineRule="auto"/>
              <w:ind w:left="0" w:firstLine="0"/>
            </w:pPr>
            <w:r>
              <w:t xml:space="preserve">Lincoln </w:t>
            </w:r>
          </w:p>
          <w:p w14:paraId="1D1D8BEA" w14:textId="77777777" w:rsidR="00423635" w:rsidRDefault="004E20D6">
            <w:pPr>
              <w:spacing w:after="0" w:line="259" w:lineRule="auto"/>
              <w:ind w:left="0" w:firstLine="0"/>
            </w:pPr>
            <w:r>
              <w:t xml:space="preserve">Littleton </w:t>
            </w:r>
          </w:p>
          <w:p w14:paraId="118D437D" w14:textId="77777777" w:rsidR="00423635" w:rsidRDefault="004E20D6">
            <w:pPr>
              <w:spacing w:after="0" w:line="259" w:lineRule="auto"/>
              <w:ind w:left="0" w:firstLine="0"/>
            </w:pPr>
            <w:r>
              <w:t xml:space="preserve">Lynnfield </w:t>
            </w:r>
          </w:p>
          <w:p w14:paraId="7362BDB7" w14:textId="77777777" w:rsidR="00423635" w:rsidRDefault="004E20D6">
            <w:pPr>
              <w:spacing w:after="0" w:line="259" w:lineRule="auto"/>
              <w:ind w:left="0" w:firstLine="0"/>
            </w:pPr>
            <w:r>
              <w:t xml:space="preserve">Manchester </w:t>
            </w:r>
          </w:p>
          <w:p w14:paraId="2E15153C" w14:textId="77777777" w:rsidR="00423635" w:rsidRDefault="004E20D6">
            <w:pPr>
              <w:spacing w:after="0" w:line="259" w:lineRule="auto"/>
              <w:ind w:left="0" w:firstLine="0"/>
            </w:pPr>
            <w:r>
              <w:t xml:space="preserve">Marblehead </w:t>
            </w:r>
          </w:p>
          <w:p w14:paraId="79DC6D18" w14:textId="77777777" w:rsidR="00423635" w:rsidRDefault="004E20D6">
            <w:pPr>
              <w:spacing w:after="0" w:line="259" w:lineRule="auto"/>
              <w:ind w:left="0" w:firstLine="0"/>
            </w:pPr>
            <w:r>
              <w:t xml:space="preserve">Marshfield </w:t>
            </w:r>
          </w:p>
          <w:p w14:paraId="18522ACE" w14:textId="77777777" w:rsidR="00423635" w:rsidRDefault="004E20D6">
            <w:pPr>
              <w:spacing w:after="0" w:line="259" w:lineRule="auto"/>
              <w:ind w:left="0" w:firstLine="0"/>
            </w:pPr>
            <w:r>
              <w:t xml:space="preserve">Maynard </w:t>
            </w:r>
          </w:p>
          <w:p w14:paraId="2340E8B2" w14:textId="77777777" w:rsidR="00423635" w:rsidRDefault="004E20D6">
            <w:pPr>
              <w:spacing w:after="0" w:line="259" w:lineRule="auto"/>
              <w:ind w:left="0" w:firstLine="0"/>
            </w:pPr>
            <w:r>
              <w:t xml:space="preserve">Medfield </w:t>
            </w:r>
          </w:p>
          <w:p w14:paraId="0C2BAF90" w14:textId="77777777" w:rsidR="00423635" w:rsidRDefault="004E20D6">
            <w:pPr>
              <w:spacing w:after="0" w:line="259" w:lineRule="auto"/>
              <w:ind w:left="0" w:firstLine="0"/>
            </w:pPr>
            <w:r>
              <w:t xml:space="preserve">Medway </w:t>
            </w:r>
          </w:p>
          <w:p w14:paraId="02FAD1F3" w14:textId="77777777" w:rsidR="00423635" w:rsidRDefault="004E20D6">
            <w:pPr>
              <w:spacing w:after="0" w:line="259" w:lineRule="auto"/>
              <w:ind w:left="0" w:firstLine="0"/>
            </w:pPr>
            <w:r>
              <w:t xml:space="preserve">Middleton </w:t>
            </w:r>
          </w:p>
          <w:p w14:paraId="6B551850" w14:textId="77777777" w:rsidR="00423635" w:rsidRDefault="004E20D6">
            <w:pPr>
              <w:spacing w:after="0" w:line="259" w:lineRule="auto"/>
              <w:ind w:left="0" w:firstLine="0"/>
            </w:pPr>
            <w:r>
              <w:t xml:space="preserve">Milford </w:t>
            </w:r>
          </w:p>
          <w:p w14:paraId="3A92A861" w14:textId="77777777" w:rsidR="00423635" w:rsidRDefault="004E20D6">
            <w:pPr>
              <w:spacing w:after="0" w:line="259" w:lineRule="auto"/>
              <w:ind w:left="0" w:firstLine="0"/>
            </w:pPr>
            <w:r>
              <w:t xml:space="preserve">Millis </w:t>
            </w:r>
          </w:p>
          <w:p w14:paraId="275270A0" w14:textId="77777777" w:rsidR="00423635" w:rsidRDefault="004E20D6">
            <w:pPr>
              <w:spacing w:after="0" w:line="259" w:lineRule="auto"/>
              <w:ind w:left="0" w:firstLine="0"/>
            </w:pPr>
            <w:r>
              <w:t xml:space="preserve">Milton </w:t>
            </w:r>
          </w:p>
          <w:p w14:paraId="20B7665F" w14:textId="77777777" w:rsidR="00423635" w:rsidRDefault="004E20D6">
            <w:pPr>
              <w:spacing w:after="0" w:line="259" w:lineRule="auto"/>
              <w:ind w:left="0" w:firstLine="0"/>
            </w:pPr>
            <w:r>
              <w:t xml:space="preserve">Nahant </w:t>
            </w:r>
          </w:p>
          <w:p w14:paraId="36DEFF7D" w14:textId="77777777" w:rsidR="00423635" w:rsidRDefault="004E20D6">
            <w:pPr>
              <w:spacing w:after="0" w:line="259" w:lineRule="auto"/>
              <w:ind w:left="0" w:firstLine="0"/>
            </w:pPr>
            <w:r>
              <w:t xml:space="preserve">Natick </w:t>
            </w:r>
          </w:p>
          <w:p w14:paraId="23FC21FF" w14:textId="77777777" w:rsidR="00423635" w:rsidRDefault="004E20D6">
            <w:pPr>
              <w:spacing w:after="0" w:line="259" w:lineRule="auto"/>
              <w:ind w:left="0" w:firstLine="0"/>
            </w:pPr>
            <w:r>
              <w:t xml:space="preserve">Needham </w:t>
            </w:r>
          </w:p>
          <w:p w14:paraId="1AB10756" w14:textId="77777777" w:rsidR="00423635" w:rsidRDefault="004E20D6">
            <w:pPr>
              <w:spacing w:after="0" w:line="259" w:lineRule="auto"/>
              <w:ind w:left="0" w:firstLine="0"/>
            </w:pPr>
            <w:r>
              <w:t xml:space="preserve">Norfolk </w:t>
            </w:r>
          </w:p>
          <w:p w14:paraId="14731D9A" w14:textId="77777777" w:rsidR="00423635" w:rsidRDefault="004E20D6">
            <w:pPr>
              <w:spacing w:after="0" w:line="259" w:lineRule="auto"/>
              <w:ind w:left="0" w:firstLine="0"/>
            </w:pPr>
            <w:r>
              <w:t xml:space="preserve">North Reading </w:t>
            </w:r>
          </w:p>
          <w:p w14:paraId="1F4348A1" w14:textId="77777777" w:rsidR="00423635" w:rsidRDefault="004E20D6">
            <w:pPr>
              <w:spacing w:after="0" w:line="259" w:lineRule="auto"/>
              <w:ind w:left="0" w:firstLine="0"/>
            </w:pPr>
            <w:r>
              <w:t xml:space="preserve">Norwell </w:t>
            </w:r>
          </w:p>
          <w:p w14:paraId="73461E5A" w14:textId="77777777" w:rsidR="00423635" w:rsidRDefault="004E20D6">
            <w:pPr>
              <w:spacing w:after="0" w:line="259" w:lineRule="auto"/>
              <w:ind w:left="0" w:firstLine="0"/>
            </w:pPr>
            <w:r>
              <w:t xml:space="preserve">Norwood </w:t>
            </w:r>
          </w:p>
        </w:tc>
        <w:tc>
          <w:tcPr>
            <w:tcW w:w="1421" w:type="dxa"/>
            <w:tcBorders>
              <w:top w:val="nil"/>
              <w:left w:val="nil"/>
              <w:bottom w:val="nil"/>
              <w:right w:val="nil"/>
            </w:tcBorders>
          </w:tcPr>
          <w:p w14:paraId="6407690A" w14:textId="77777777" w:rsidR="00423635" w:rsidRDefault="004E20D6">
            <w:pPr>
              <w:spacing w:after="0" w:line="259" w:lineRule="auto"/>
              <w:ind w:left="0" w:firstLine="0"/>
            </w:pPr>
            <w:r>
              <w:t xml:space="preserve">Randolph </w:t>
            </w:r>
          </w:p>
          <w:p w14:paraId="0B5598B3" w14:textId="77777777" w:rsidR="00423635" w:rsidRDefault="004E20D6">
            <w:pPr>
              <w:spacing w:after="0" w:line="259" w:lineRule="auto"/>
              <w:ind w:left="0" w:firstLine="0"/>
            </w:pPr>
            <w:r>
              <w:t xml:space="preserve">Reading </w:t>
            </w:r>
          </w:p>
          <w:p w14:paraId="6DCFCC5D" w14:textId="77777777" w:rsidR="00423635" w:rsidRDefault="004E20D6">
            <w:pPr>
              <w:spacing w:after="0" w:line="259" w:lineRule="auto"/>
              <w:ind w:left="0" w:firstLine="0"/>
            </w:pPr>
            <w:r>
              <w:t xml:space="preserve">Rockport </w:t>
            </w:r>
          </w:p>
          <w:p w14:paraId="57DFF49C" w14:textId="77777777" w:rsidR="00423635" w:rsidRDefault="004E20D6">
            <w:pPr>
              <w:spacing w:after="0" w:line="259" w:lineRule="auto"/>
              <w:ind w:left="0" w:firstLine="0"/>
            </w:pPr>
            <w:r>
              <w:t xml:space="preserve">Rockland </w:t>
            </w:r>
          </w:p>
          <w:p w14:paraId="45B7E302" w14:textId="77777777" w:rsidR="00423635" w:rsidRDefault="004E20D6">
            <w:pPr>
              <w:spacing w:after="0" w:line="259" w:lineRule="auto"/>
              <w:ind w:left="0" w:firstLine="0"/>
            </w:pPr>
            <w:r>
              <w:t xml:space="preserve">Saugus </w:t>
            </w:r>
          </w:p>
          <w:p w14:paraId="3A8C9181" w14:textId="77777777" w:rsidR="00423635" w:rsidRDefault="004E20D6">
            <w:pPr>
              <w:spacing w:after="0" w:line="259" w:lineRule="auto"/>
              <w:ind w:left="0" w:firstLine="0"/>
            </w:pPr>
            <w:r>
              <w:t xml:space="preserve">Scituate </w:t>
            </w:r>
          </w:p>
          <w:p w14:paraId="3DB6CA2B" w14:textId="77777777" w:rsidR="00423635" w:rsidRDefault="004E20D6">
            <w:pPr>
              <w:spacing w:after="0" w:line="259" w:lineRule="auto"/>
              <w:ind w:left="0" w:firstLine="0"/>
            </w:pPr>
            <w:r>
              <w:t xml:space="preserve">Sharon </w:t>
            </w:r>
          </w:p>
          <w:p w14:paraId="2876B854" w14:textId="77777777" w:rsidR="00423635" w:rsidRDefault="004E20D6">
            <w:pPr>
              <w:spacing w:after="0" w:line="259" w:lineRule="auto"/>
              <w:ind w:left="0" w:firstLine="0"/>
            </w:pPr>
            <w:r>
              <w:t xml:space="preserve">Sherborn </w:t>
            </w:r>
          </w:p>
          <w:p w14:paraId="6D8A26C9" w14:textId="77777777" w:rsidR="00423635" w:rsidRDefault="004E20D6">
            <w:pPr>
              <w:spacing w:after="0" w:line="259" w:lineRule="auto"/>
              <w:ind w:left="0" w:firstLine="0"/>
              <w:jc w:val="both"/>
            </w:pPr>
            <w:r>
              <w:t xml:space="preserve">Southborough </w:t>
            </w:r>
          </w:p>
          <w:p w14:paraId="67FED6AB" w14:textId="77777777" w:rsidR="00423635" w:rsidRDefault="004E20D6">
            <w:pPr>
              <w:spacing w:after="0" w:line="259" w:lineRule="auto"/>
              <w:ind w:left="0" w:firstLine="0"/>
            </w:pPr>
            <w:r>
              <w:t xml:space="preserve">Stoneham </w:t>
            </w:r>
          </w:p>
          <w:p w14:paraId="367E3C75" w14:textId="77777777" w:rsidR="00423635" w:rsidRDefault="004E20D6">
            <w:pPr>
              <w:spacing w:after="0" w:line="259" w:lineRule="auto"/>
              <w:ind w:left="0" w:firstLine="0"/>
            </w:pPr>
            <w:r>
              <w:t xml:space="preserve">Stow </w:t>
            </w:r>
          </w:p>
          <w:p w14:paraId="23E22248" w14:textId="77777777" w:rsidR="00423635" w:rsidRDefault="004E20D6">
            <w:pPr>
              <w:spacing w:after="0" w:line="259" w:lineRule="auto"/>
              <w:ind w:left="0" w:firstLine="0"/>
            </w:pPr>
            <w:r>
              <w:t xml:space="preserve">Sudbury </w:t>
            </w:r>
          </w:p>
          <w:p w14:paraId="3549EC77" w14:textId="77777777" w:rsidR="00423635" w:rsidRDefault="004E20D6">
            <w:pPr>
              <w:spacing w:after="0" w:line="259" w:lineRule="auto"/>
              <w:ind w:left="0" w:firstLine="0"/>
            </w:pPr>
            <w:r>
              <w:t xml:space="preserve">Swampscott </w:t>
            </w:r>
          </w:p>
          <w:p w14:paraId="70014F91" w14:textId="77777777" w:rsidR="00423635" w:rsidRDefault="004E20D6">
            <w:pPr>
              <w:spacing w:after="0" w:line="259" w:lineRule="auto"/>
              <w:ind w:left="0" w:firstLine="0"/>
            </w:pPr>
            <w:r>
              <w:t xml:space="preserve">Topsfield </w:t>
            </w:r>
          </w:p>
          <w:p w14:paraId="7D5672AC" w14:textId="77777777" w:rsidR="00423635" w:rsidRDefault="004E20D6">
            <w:pPr>
              <w:spacing w:after="0" w:line="259" w:lineRule="auto"/>
              <w:ind w:left="0" w:firstLine="0"/>
            </w:pPr>
            <w:r>
              <w:t xml:space="preserve">Wakefield </w:t>
            </w:r>
          </w:p>
          <w:p w14:paraId="787A1A35" w14:textId="77777777" w:rsidR="00423635" w:rsidRDefault="004E20D6">
            <w:pPr>
              <w:spacing w:after="0" w:line="259" w:lineRule="auto"/>
              <w:ind w:left="0" w:firstLine="0"/>
            </w:pPr>
            <w:r>
              <w:t xml:space="preserve">Walpole </w:t>
            </w:r>
          </w:p>
          <w:p w14:paraId="7F4C487A" w14:textId="77777777" w:rsidR="00423635" w:rsidRDefault="004E20D6">
            <w:pPr>
              <w:spacing w:after="0" w:line="259" w:lineRule="auto"/>
              <w:ind w:left="0" w:firstLine="0"/>
            </w:pPr>
            <w:r>
              <w:t xml:space="preserve">Wayland </w:t>
            </w:r>
          </w:p>
          <w:p w14:paraId="2C857FCF" w14:textId="77777777" w:rsidR="00423635" w:rsidRDefault="004E20D6">
            <w:pPr>
              <w:spacing w:after="0" w:line="259" w:lineRule="auto"/>
              <w:ind w:left="0" w:firstLine="0"/>
            </w:pPr>
            <w:r>
              <w:t xml:space="preserve">Wellesley </w:t>
            </w:r>
          </w:p>
          <w:p w14:paraId="1884FC0C" w14:textId="77777777" w:rsidR="00423635" w:rsidRDefault="004E20D6">
            <w:pPr>
              <w:spacing w:after="0" w:line="259" w:lineRule="auto"/>
              <w:ind w:left="0" w:firstLine="0"/>
            </w:pPr>
            <w:r>
              <w:t xml:space="preserve">Wenham </w:t>
            </w:r>
          </w:p>
          <w:p w14:paraId="40C615A7" w14:textId="77777777" w:rsidR="00423635" w:rsidRDefault="004E20D6">
            <w:pPr>
              <w:spacing w:after="0" w:line="259" w:lineRule="auto"/>
              <w:ind w:left="0" w:firstLine="0"/>
            </w:pPr>
            <w:r>
              <w:t xml:space="preserve">Weston </w:t>
            </w:r>
          </w:p>
          <w:p w14:paraId="0A39717A" w14:textId="77777777" w:rsidR="00423635" w:rsidRDefault="004E20D6">
            <w:pPr>
              <w:spacing w:after="0" w:line="259" w:lineRule="auto"/>
              <w:ind w:left="0" w:firstLine="0"/>
            </w:pPr>
            <w:r>
              <w:t xml:space="preserve">Westwood </w:t>
            </w:r>
          </w:p>
          <w:p w14:paraId="58C30593" w14:textId="77777777" w:rsidR="00423635" w:rsidRDefault="004E20D6">
            <w:pPr>
              <w:spacing w:after="0" w:line="259" w:lineRule="auto"/>
              <w:ind w:left="0" w:firstLine="0"/>
            </w:pPr>
            <w:r>
              <w:t xml:space="preserve">Wilmington </w:t>
            </w:r>
          </w:p>
          <w:p w14:paraId="4CB9B157" w14:textId="77777777" w:rsidR="00423635" w:rsidRDefault="004E20D6">
            <w:pPr>
              <w:spacing w:after="0" w:line="259" w:lineRule="auto"/>
              <w:ind w:left="0" w:firstLine="0"/>
            </w:pPr>
            <w:r>
              <w:t xml:space="preserve">Winchester </w:t>
            </w:r>
          </w:p>
          <w:p w14:paraId="0AD547C0" w14:textId="77777777" w:rsidR="00423635" w:rsidRDefault="004E20D6">
            <w:pPr>
              <w:spacing w:after="0" w:line="259" w:lineRule="auto"/>
              <w:ind w:left="0" w:firstLine="0"/>
            </w:pPr>
            <w:r>
              <w:t xml:space="preserve">Winthrop </w:t>
            </w:r>
          </w:p>
          <w:p w14:paraId="332E4EDE" w14:textId="77777777" w:rsidR="00423635" w:rsidRDefault="004E20D6">
            <w:pPr>
              <w:spacing w:after="0" w:line="259" w:lineRule="auto"/>
              <w:ind w:left="0" w:firstLine="0"/>
            </w:pPr>
            <w:r>
              <w:t xml:space="preserve">Wrentham </w:t>
            </w:r>
          </w:p>
        </w:tc>
      </w:tr>
    </w:tbl>
    <w:p w14:paraId="61DBACE3" w14:textId="77777777" w:rsidR="00555D3D" w:rsidRDefault="004E20D6">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591"/>
        </w:tabs>
        <w:ind w:left="-15" w:firstLine="0"/>
      </w:pPr>
      <w:r>
        <w:t xml:space="preserve"> </w:t>
      </w:r>
      <w:r>
        <w:tab/>
      </w:r>
      <w:r w:rsidR="00196F02">
        <w:t xml:space="preserve">  </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43845D87" w14:textId="77777777" w:rsidR="00555D3D" w:rsidRDefault="00555D3D">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591"/>
        </w:tabs>
        <w:ind w:left="-15" w:firstLine="0"/>
      </w:pPr>
    </w:p>
    <w:p w14:paraId="4804CE72" w14:textId="77777777" w:rsidR="00555D3D" w:rsidRDefault="00555D3D">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591"/>
        </w:tabs>
        <w:ind w:left="-15" w:firstLine="0"/>
      </w:pPr>
    </w:p>
    <w:p w14:paraId="7B70D369" w14:textId="77777777" w:rsidR="00423635" w:rsidRDefault="004E20D6" w:rsidP="00555D3D">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591"/>
        </w:tabs>
        <w:ind w:left="-15" w:firstLine="0"/>
        <w:jc w:val="right"/>
      </w:pPr>
      <w:r>
        <w:lastRenderedPageBreak/>
        <w:t xml:space="preserve">Attachment C </w:t>
      </w:r>
    </w:p>
    <w:p w14:paraId="326B67D8" w14:textId="77777777" w:rsidR="00423635" w:rsidRDefault="004E20D6">
      <w:pPr>
        <w:spacing w:after="0" w:line="259" w:lineRule="auto"/>
        <w:ind w:left="0" w:firstLine="0"/>
      </w:pPr>
      <w:r>
        <w:t xml:space="preserve"> </w:t>
      </w:r>
    </w:p>
    <w:p w14:paraId="5D7B9751" w14:textId="77777777" w:rsidR="00423635" w:rsidRDefault="004E20D6">
      <w:pPr>
        <w:spacing w:after="94" w:line="259" w:lineRule="auto"/>
        <w:ind w:left="0" w:firstLine="0"/>
      </w:pPr>
      <w:r>
        <w:t xml:space="preserve"> </w:t>
      </w:r>
    </w:p>
    <w:p w14:paraId="6968F410" w14:textId="77777777" w:rsidR="00423635" w:rsidRDefault="004E20D6">
      <w:pPr>
        <w:pStyle w:val="Heading1"/>
        <w:numPr>
          <w:ilvl w:val="0"/>
          <w:numId w:val="0"/>
        </w:numPr>
        <w:ind w:left="59" w:right="4"/>
      </w:pPr>
      <w:r>
        <w:t>Overview of MPO Member Responsibilities</w:t>
      </w:r>
      <w:r>
        <w:rPr>
          <w:vertAlign w:val="subscript"/>
        </w:rPr>
        <w:t xml:space="preserve"> </w:t>
      </w:r>
    </w:p>
    <w:p w14:paraId="7A67EA64" w14:textId="77777777" w:rsidR="00423635" w:rsidRDefault="004E20D6">
      <w:pPr>
        <w:spacing w:after="0" w:line="259" w:lineRule="auto"/>
        <w:ind w:left="111" w:firstLine="0"/>
        <w:jc w:val="center"/>
      </w:pPr>
      <w:r>
        <w:rPr>
          <w:b/>
        </w:rPr>
        <w:t xml:space="preserve"> </w:t>
      </w:r>
    </w:p>
    <w:p w14:paraId="7F9803B2" w14:textId="77777777" w:rsidR="00423635" w:rsidRDefault="004E20D6">
      <w:pPr>
        <w:spacing w:after="2" w:line="256" w:lineRule="auto"/>
        <w:ind w:left="-5"/>
      </w:pPr>
      <w:r>
        <w:rPr>
          <w:b/>
        </w:rPr>
        <w:t xml:space="preserve">Background: </w:t>
      </w:r>
    </w:p>
    <w:p w14:paraId="05D2D029" w14:textId="77777777" w:rsidR="00423635" w:rsidRDefault="004E20D6">
      <w:pPr>
        <w:spacing w:after="0" w:line="259" w:lineRule="auto"/>
        <w:ind w:left="0" w:firstLine="0"/>
      </w:pPr>
      <w:r>
        <w:rPr>
          <w:b/>
        </w:rPr>
        <w:t xml:space="preserve"> </w:t>
      </w:r>
    </w:p>
    <w:p w14:paraId="03885831" w14:textId="77777777" w:rsidR="00423635" w:rsidRDefault="004E20D6">
      <w:pPr>
        <w:ind w:left="-5"/>
      </w:pPr>
      <w:r>
        <w:t xml:space="preserve">The Metropolitan Planning Organization is established as a required part of the transportation planning process under federal law.  It is responsible for planning and programming financial resources for a multi-modal transportation system for the Boston region.  The MPO was established in 1973.  </w:t>
      </w:r>
    </w:p>
    <w:p w14:paraId="20ABF21F" w14:textId="77777777" w:rsidR="00423635" w:rsidRDefault="004E20D6">
      <w:pPr>
        <w:spacing w:after="0" w:line="259" w:lineRule="auto"/>
        <w:ind w:left="0" w:firstLine="0"/>
      </w:pPr>
      <w:r>
        <w:t xml:space="preserve"> </w:t>
      </w:r>
    </w:p>
    <w:p w14:paraId="7F744A14" w14:textId="77777777" w:rsidR="00423635" w:rsidRDefault="004E20D6">
      <w:pPr>
        <w:ind w:left="-5"/>
      </w:pPr>
      <w:r>
        <w:t xml:space="preserve">The Boston MPO Memorandum of Understanding (MOU) that details the governing structure and process of the MPO can be viewed at </w:t>
      </w:r>
      <w:hyperlink r:id="rId8">
        <w:r>
          <w:rPr>
            <w:color w:val="0000FF"/>
            <w:u w:val="single" w:color="0000FF"/>
          </w:rPr>
          <w:t>www.bostonmpo.org/mou</w:t>
        </w:r>
      </w:hyperlink>
      <w:hyperlink r:id="rId9">
        <w:r>
          <w:t xml:space="preserve"> </w:t>
        </w:r>
      </w:hyperlink>
    </w:p>
    <w:p w14:paraId="2B4AD1A9" w14:textId="77777777" w:rsidR="00423635" w:rsidRDefault="004E20D6">
      <w:pPr>
        <w:spacing w:after="0" w:line="259" w:lineRule="auto"/>
        <w:ind w:left="0" w:firstLine="0"/>
      </w:pPr>
      <w:r>
        <w:t xml:space="preserve"> </w:t>
      </w:r>
    </w:p>
    <w:p w14:paraId="705A058D" w14:textId="77777777" w:rsidR="00423635" w:rsidRDefault="004E20D6">
      <w:pPr>
        <w:spacing w:after="0" w:line="259" w:lineRule="auto"/>
        <w:ind w:left="0" w:firstLine="0"/>
      </w:pPr>
      <w:r>
        <w:t xml:space="preserve"> </w:t>
      </w:r>
    </w:p>
    <w:p w14:paraId="4893E52A" w14:textId="77777777" w:rsidR="00423635" w:rsidRDefault="004E20D6">
      <w:pPr>
        <w:spacing w:after="2" w:line="256" w:lineRule="auto"/>
        <w:ind w:left="-5"/>
      </w:pPr>
      <w:r>
        <w:rPr>
          <w:b/>
        </w:rPr>
        <w:t xml:space="preserve">Specific Responsibilities: </w:t>
      </w:r>
    </w:p>
    <w:p w14:paraId="6CCB484F" w14:textId="77777777" w:rsidR="00423635" w:rsidRDefault="004E20D6">
      <w:pPr>
        <w:spacing w:after="0" w:line="259" w:lineRule="auto"/>
        <w:ind w:left="0" w:firstLine="0"/>
      </w:pPr>
      <w:r>
        <w:rPr>
          <w:b/>
        </w:rPr>
        <w:t xml:space="preserve"> </w:t>
      </w:r>
    </w:p>
    <w:p w14:paraId="4DA1E68D" w14:textId="77777777" w:rsidR="00423635" w:rsidRDefault="004E20D6">
      <w:pPr>
        <w:ind w:left="-5"/>
      </w:pPr>
      <w:r>
        <w:t xml:space="preserve">The MPO must prepare and approve several plans and programs on an annual basis.  These include: </w:t>
      </w:r>
    </w:p>
    <w:p w14:paraId="57167FC5" w14:textId="77777777" w:rsidR="00423635" w:rsidRDefault="004E20D6">
      <w:pPr>
        <w:spacing w:after="0" w:line="259" w:lineRule="auto"/>
        <w:ind w:left="0" w:firstLine="0"/>
      </w:pPr>
      <w:r>
        <w:t xml:space="preserve"> </w:t>
      </w:r>
    </w:p>
    <w:p w14:paraId="15308C86" w14:textId="77777777" w:rsidR="00423635" w:rsidRDefault="004E20D6">
      <w:pPr>
        <w:numPr>
          <w:ilvl w:val="0"/>
          <w:numId w:val="1"/>
        </w:numPr>
        <w:ind w:hanging="360"/>
      </w:pPr>
      <w:r>
        <w:t xml:space="preserve">The Unified Planning Work Program (UPWP), which programs funds for transportation planning programs in the region; </w:t>
      </w:r>
    </w:p>
    <w:p w14:paraId="028BB000" w14:textId="77777777" w:rsidR="00423635" w:rsidRDefault="004E20D6">
      <w:pPr>
        <w:numPr>
          <w:ilvl w:val="0"/>
          <w:numId w:val="1"/>
        </w:numPr>
        <w:ind w:hanging="360"/>
      </w:pPr>
      <w:r>
        <w:t xml:space="preserve">The Transportation Improvement Program (TIP), which programs federal, state, and local funding for surface transportation projects (highway and transit). </w:t>
      </w:r>
    </w:p>
    <w:p w14:paraId="43EB8FC5" w14:textId="77777777" w:rsidR="00423635" w:rsidRDefault="004E20D6">
      <w:pPr>
        <w:spacing w:after="0" w:line="259" w:lineRule="auto"/>
        <w:ind w:left="720" w:firstLine="0"/>
      </w:pPr>
      <w:r>
        <w:t xml:space="preserve"> </w:t>
      </w:r>
    </w:p>
    <w:p w14:paraId="3EF75302" w14:textId="77777777" w:rsidR="00423635" w:rsidRDefault="004E20D6">
      <w:pPr>
        <w:ind w:left="-5"/>
      </w:pPr>
      <w:r>
        <w:t xml:space="preserve">The MPO also prepares and approves several other plans and programs as necessary.  These include: </w:t>
      </w:r>
    </w:p>
    <w:p w14:paraId="3138476C" w14:textId="77777777" w:rsidR="00423635" w:rsidRDefault="004E20D6">
      <w:pPr>
        <w:spacing w:after="10" w:line="259" w:lineRule="auto"/>
        <w:ind w:left="0" w:firstLine="0"/>
      </w:pPr>
      <w:r>
        <w:t xml:space="preserve"> </w:t>
      </w:r>
    </w:p>
    <w:p w14:paraId="5718CFF4" w14:textId="77777777" w:rsidR="00423635" w:rsidRDefault="004E20D6">
      <w:pPr>
        <w:numPr>
          <w:ilvl w:val="0"/>
          <w:numId w:val="1"/>
        </w:numPr>
        <w:ind w:hanging="360"/>
      </w:pPr>
      <w:r>
        <w:t xml:space="preserve">The Regional Transportation Plan (RTP), which provides a 25-year plan for the Region’s transportation needs and priorities and; </w:t>
      </w:r>
    </w:p>
    <w:p w14:paraId="6DEE95AF" w14:textId="77777777" w:rsidR="00423635" w:rsidRDefault="004E20D6">
      <w:pPr>
        <w:numPr>
          <w:ilvl w:val="0"/>
          <w:numId w:val="1"/>
        </w:numPr>
        <w:ind w:hanging="360"/>
      </w:pPr>
      <w:r>
        <w:t xml:space="preserve">The conformity of all surface transportation plans and programs with applicable federal laws (including air quality, and the Americans with Disabilities Act). </w:t>
      </w:r>
    </w:p>
    <w:p w14:paraId="74F156CD" w14:textId="77777777" w:rsidR="00423635" w:rsidRDefault="004E20D6">
      <w:pPr>
        <w:spacing w:after="0" w:line="259" w:lineRule="auto"/>
        <w:ind w:left="0" w:firstLine="0"/>
      </w:pPr>
      <w:r>
        <w:t xml:space="preserve"> </w:t>
      </w:r>
    </w:p>
    <w:p w14:paraId="699BFCF7" w14:textId="77777777" w:rsidR="00423635" w:rsidRDefault="004E20D6">
      <w:pPr>
        <w:spacing w:after="2" w:line="256" w:lineRule="auto"/>
        <w:ind w:left="-5"/>
      </w:pPr>
      <w:r>
        <w:rPr>
          <w:b/>
        </w:rPr>
        <w:t xml:space="preserve">MPO Meetings: </w:t>
      </w:r>
    </w:p>
    <w:p w14:paraId="204491BC" w14:textId="77777777" w:rsidR="00423635" w:rsidRDefault="004E20D6">
      <w:pPr>
        <w:spacing w:after="13" w:line="259" w:lineRule="auto"/>
        <w:ind w:left="0" w:firstLine="0"/>
      </w:pPr>
      <w:r>
        <w:rPr>
          <w:b/>
        </w:rPr>
        <w:t xml:space="preserve"> </w:t>
      </w:r>
    </w:p>
    <w:p w14:paraId="01979265" w14:textId="77777777" w:rsidR="00423635" w:rsidRDefault="004E20D6">
      <w:pPr>
        <w:ind w:left="-5"/>
      </w:pPr>
      <w:r>
        <w:t xml:space="preserve">Meetings are held as needed to accomplish the MPO’s business.  There are approximately two MPO meetings a month and all but four are held in Boston, during the day, at the state transportation building. Four MPO meetings will be held (one per quarter) outside of Boston. MPO meetings typically begin at 10 AM on the first and third Thursday of the month, and last approximately three hours. The MPO has the authority to establish necessary committees to accomplish its responsibilities.  Recent experience suggests that the municipal members of the MPO or their designees attend at least two meetings per month to accomplish the work of the MPO. </w:t>
      </w:r>
    </w:p>
    <w:p w14:paraId="2ED7EFE7" w14:textId="77777777" w:rsidR="00423635" w:rsidRDefault="004E20D6">
      <w:pPr>
        <w:spacing w:after="53" w:line="259" w:lineRule="auto"/>
        <w:ind w:left="91" w:firstLine="0"/>
        <w:jc w:val="center"/>
      </w:pPr>
      <w:r>
        <w:rPr>
          <w:b/>
          <w:sz w:val="16"/>
        </w:rPr>
        <w:t xml:space="preserve"> </w:t>
      </w:r>
    </w:p>
    <w:p w14:paraId="2D1B4823" w14:textId="77777777" w:rsidR="00423635" w:rsidRDefault="004E20D6">
      <w:pPr>
        <w:spacing w:after="0" w:line="259" w:lineRule="auto"/>
        <w:ind w:left="0" w:firstLine="0"/>
      </w:pPr>
      <w:r>
        <w:t xml:space="preserve"> </w:t>
      </w:r>
    </w:p>
    <w:sectPr w:rsidR="00423635" w:rsidSect="00C60949">
      <w:footerReference w:type="even" r:id="rId10"/>
      <w:footerReference w:type="default" r:id="rId11"/>
      <w:footerReference w:type="first" r:id="rId12"/>
      <w:pgSz w:w="12240" w:h="15840"/>
      <w:pgMar w:top="1082" w:right="1128" w:bottom="1081" w:left="1080"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8B2BF" w14:textId="77777777" w:rsidR="00FA0288" w:rsidRDefault="00FA0288">
      <w:pPr>
        <w:spacing w:after="0" w:line="240" w:lineRule="auto"/>
      </w:pPr>
      <w:r>
        <w:separator/>
      </w:r>
    </w:p>
  </w:endnote>
  <w:endnote w:type="continuationSeparator" w:id="0">
    <w:p w14:paraId="554B3CE7" w14:textId="77777777" w:rsidR="00FA0288" w:rsidRDefault="00FA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7DC0E" w14:textId="77777777" w:rsidR="00423635" w:rsidRDefault="004E20D6">
    <w:pPr>
      <w:tabs>
        <w:tab w:val="right" w:pos="10032"/>
      </w:tabs>
      <w:spacing w:after="0" w:line="259" w:lineRule="auto"/>
      <w:ind w:left="0" w:right="-50" w:firstLine="0"/>
    </w:pPr>
    <w:r>
      <w:t xml:space="preserve"> </w:t>
    </w:r>
    <w:r>
      <w:tab/>
    </w:r>
    <w:r w:rsidR="00002EB7">
      <w:fldChar w:fldCharType="begin"/>
    </w:r>
    <w:r>
      <w:instrText xml:space="preserve"> PAGE   \* MERGEFORMAT </w:instrText>
    </w:r>
    <w:r w:rsidR="00002EB7">
      <w:fldChar w:fldCharType="separate"/>
    </w:r>
    <w:r>
      <w:t>1</w:t>
    </w:r>
    <w:r w:rsidR="00002EB7">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40E64" w14:textId="77777777" w:rsidR="00423635" w:rsidRDefault="004E20D6">
    <w:pPr>
      <w:tabs>
        <w:tab w:val="right" w:pos="10032"/>
      </w:tabs>
      <w:spacing w:after="0" w:line="259" w:lineRule="auto"/>
      <w:ind w:left="0" w:right="-50" w:firstLine="0"/>
    </w:pPr>
    <w:r>
      <w:t xml:space="preserve"> </w:t>
    </w:r>
    <w:r>
      <w:tab/>
    </w:r>
    <w:r w:rsidR="00002EB7">
      <w:fldChar w:fldCharType="begin"/>
    </w:r>
    <w:r>
      <w:instrText xml:space="preserve"> PAGE   \* MERGEFORMAT </w:instrText>
    </w:r>
    <w:r w:rsidR="00002EB7">
      <w:fldChar w:fldCharType="separate"/>
    </w:r>
    <w:r w:rsidR="00555D3D">
      <w:rPr>
        <w:noProof/>
      </w:rPr>
      <w:t>2</w:t>
    </w:r>
    <w:r w:rsidR="00002EB7">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9A108" w14:textId="77777777" w:rsidR="00423635" w:rsidRDefault="004E20D6">
    <w:pPr>
      <w:tabs>
        <w:tab w:val="right" w:pos="10032"/>
      </w:tabs>
      <w:spacing w:after="0" w:line="259" w:lineRule="auto"/>
      <w:ind w:left="0" w:right="-50" w:firstLine="0"/>
    </w:pPr>
    <w:r>
      <w:t xml:space="preserve"> </w:t>
    </w:r>
    <w:r>
      <w:tab/>
    </w:r>
    <w:r w:rsidR="00002EB7">
      <w:fldChar w:fldCharType="begin"/>
    </w:r>
    <w:r>
      <w:instrText xml:space="preserve"> PAGE   \* MERGEFORMAT </w:instrText>
    </w:r>
    <w:r w:rsidR="00002EB7">
      <w:fldChar w:fldCharType="separate"/>
    </w:r>
    <w:r>
      <w:t>1</w:t>
    </w:r>
    <w:r w:rsidR="00002EB7">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5A868" w14:textId="77777777" w:rsidR="00FA0288" w:rsidRDefault="00FA0288">
      <w:pPr>
        <w:spacing w:after="0" w:line="240" w:lineRule="auto"/>
      </w:pPr>
      <w:r>
        <w:separator/>
      </w:r>
    </w:p>
  </w:footnote>
  <w:footnote w:type="continuationSeparator" w:id="0">
    <w:p w14:paraId="60A45AFC" w14:textId="77777777" w:rsidR="00FA0288" w:rsidRDefault="00FA02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0572"/>
    <w:multiLevelType w:val="hybridMultilevel"/>
    <w:tmpl w:val="16FC490A"/>
    <w:lvl w:ilvl="0" w:tplc="79C8564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76EDC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FE25E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22BF4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5C77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D86EA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4AD60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840C8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EE649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4E47210"/>
    <w:multiLevelType w:val="hybridMultilevel"/>
    <w:tmpl w:val="2452B308"/>
    <w:lvl w:ilvl="0" w:tplc="DB62B836">
      <w:start w:val="10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7D242FFC">
      <w:start w:val="1"/>
      <w:numFmt w:val="lowerLetter"/>
      <w:lvlText w:val="%2"/>
      <w:lvlJc w:val="left"/>
      <w:pPr>
        <w:ind w:left="447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323A3684">
      <w:start w:val="1"/>
      <w:numFmt w:val="lowerRoman"/>
      <w:lvlText w:val="%3"/>
      <w:lvlJc w:val="left"/>
      <w:pPr>
        <w:ind w:left="519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AE1AA3F4">
      <w:start w:val="1"/>
      <w:numFmt w:val="decimal"/>
      <w:lvlText w:val="%4"/>
      <w:lvlJc w:val="left"/>
      <w:pPr>
        <w:ind w:left="591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4760B334">
      <w:start w:val="1"/>
      <w:numFmt w:val="lowerLetter"/>
      <w:lvlText w:val="%5"/>
      <w:lvlJc w:val="left"/>
      <w:pPr>
        <w:ind w:left="663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6D9EAD12">
      <w:start w:val="1"/>
      <w:numFmt w:val="lowerRoman"/>
      <w:lvlText w:val="%6"/>
      <w:lvlJc w:val="left"/>
      <w:pPr>
        <w:ind w:left="735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367CAA16">
      <w:start w:val="1"/>
      <w:numFmt w:val="decimal"/>
      <w:lvlText w:val="%7"/>
      <w:lvlJc w:val="left"/>
      <w:pPr>
        <w:ind w:left="807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7730F818">
      <w:start w:val="1"/>
      <w:numFmt w:val="lowerLetter"/>
      <w:lvlText w:val="%8"/>
      <w:lvlJc w:val="left"/>
      <w:pPr>
        <w:ind w:left="879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7ACA09AA">
      <w:start w:val="1"/>
      <w:numFmt w:val="lowerRoman"/>
      <w:lvlText w:val="%9"/>
      <w:lvlJc w:val="left"/>
      <w:pPr>
        <w:ind w:left="9515"/>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3635"/>
    <w:rsid w:val="00002EB7"/>
    <w:rsid w:val="0002276E"/>
    <w:rsid w:val="00196F02"/>
    <w:rsid w:val="001A568A"/>
    <w:rsid w:val="00222DD4"/>
    <w:rsid w:val="00423635"/>
    <w:rsid w:val="004E20D6"/>
    <w:rsid w:val="00555D3D"/>
    <w:rsid w:val="0066043E"/>
    <w:rsid w:val="00676D0F"/>
    <w:rsid w:val="006C4EB6"/>
    <w:rsid w:val="00736FD4"/>
    <w:rsid w:val="00763786"/>
    <w:rsid w:val="00783666"/>
    <w:rsid w:val="00812042"/>
    <w:rsid w:val="009C0EB0"/>
    <w:rsid w:val="00A014DC"/>
    <w:rsid w:val="00A22334"/>
    <w:rsid w:val="00A43AC9"/>
    <w:rsid w:val="00A86E73"/>
    <w:rsid w:val="00BF5F0A"/>
    <w:rsid w:val="00C403C6"/>
    <w:rsid w:val="00C60949"/>
    <w:rsid w:val="00D4550E"/>
    <w:rsid w:val="00E0532F"/>
    <w:rsid w:val="00E81FED"/>
    <w:rsid w:val="00EA5892"/>
    <w:rsid w:val="00F57590"/>
    <w:rsid w:val="00F913DE"/>
    <w:rsid w:val="00FA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14BC"/>
  <w15:docId w15:val="{01C4FF23-F85E-40D4-8A33-BB2D90AD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49"/>
    <w:pPr>
      <w:spacing w:after="4"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C60949"/>
    <w:pPr>
      <w:keepNext/>
      <w:keepLines/>
      <w:numPr>
        <w:numId w:val="2"/>
      </w:numPr>
      <w:spacing w:after="0"/>
      <w:ind w:left="57"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C60949"/>
    <w:pPr>
      <w:keepNext/>
      <w:keepLines/>
      <w:spacing w:after="0"/>
      <w:ind w:left="10" w:hanging="10"/>
      <w:outlineLvl w:val="1"/>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60949"/>
    <w:rPr>
      <w:rFonts w:ascii="Times New Roman" w:eastAsia="Times New Roman" w:hAnsi="Times New Roman" w:cs="Times New Roman"/>
      <w:b/>
      <w:i/>
      <w:color w:val="000000"/>
      <w:sz w:val="24"/>
    </w:rPr>
  </w:style>
  <w:style w:type="character" w:customStyle="1" w:styleId="Heading1Char">
    <w:name w:val="Heading 1 Char"/>
    <w:link w:val="Heading1"/>
    <w:rsid w:val="00C60949"/>
    <w:rPr>
      <w:rFonts w:ascii="Times New Roman" w:eastAsia="Times New Roman" w:hAnsi="Times New Roman" w:cs="Times New Roman"/>
      <w:b/>
      <w:color w:val="000000"/>
      <w:sz w:val="36"/>
    </w:rPr>
  </w:style>
  <w:style w:type="table" w:customStyle="1" w:styleId="TableGrid">
    <w:name w:val="TableGrid"/>
    <w:rsid w:val="00C6094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96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6F02"/>
    <w:rPr>
      <w:rFonts w:ascii="Segoe UI" w:eastAsia="Times New Roman" w:hAnsi="Segoe UI" w:cs="Segoe UI"/>
      <w:color w:val="000000"/>
      <w:sz w:val="18"/>
      <w:szCs w:val="18"/>
    </w:rPr>
  </w:style>
  <w:style w:type="character" w:styleId="Hyperlink">
    <w:name w:val="Hyperlink"/>
    <w:basedOn w:val="DefaultParagraphFont"/>
    <w:uiPriority w:val="99"/>
    <w:unhideWhenUsed/>
    <w:rsid w:val="00F913DE"/>
    <w:rPr>
      <w:color w:val="0563C1" w:themeColor="hyperlink"/>
      <w:u w:val="single"/>
    </w:rPr>
  </w:style>
  <w:style w:type="character" w:styleId="UnresolvedMention">
    <w:name w:val="Unresolved Mention"/>
    <w:basedOn w:val="DefaultParagraphFont"/>
    <w:uiPriority w:val="99"/>
    <w:semiHidden/>
    <w:unhideWhenUsed/>
    <w:rsid w:val="00F91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73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ostonmpo.org/mo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pc.seamlessdocs.com/f/MPO2020Nominatio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bostonmpo.org/mo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5</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Official Notice</vt:lpstr>
    </vt:vector>
  </TitlesOfParts>
  <Company>Metropolitan Area Planning Council</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Notice</dc:title>
  <dc:subject/>
  <dc:creator>Lois Baxter</dc:creator>
  <cp:keywords/>
  <cp:lastModifiedBy>Bourassa, Eric</cp:lastModifiedBy>
  <cp:revision>16</cp:revision>
  <cp:lastPrinted>2019-07-17T17:36:00Z</cp:lastPrinted>
  <dcterms:created xsi:type="dcterms:W3CDTF">2020-08-17T13:38:00Z</dcterms:created>
  <dcterms:modified xsi:type="dcterms:W3CDTF">2020-08-27T16:00:00Z</dcterms:modified>
</cp:coreProperties>
</file>