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Simple Housing Needs Assessment for #{@report.muni}</w:t>
      </w:r>
    </w:p>
    <w:p>
      <w:pPr>
        <w:pStyle w:val="style56"/>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Introduction</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communities across the state to implement new plans and policies that usher in a new era of housing production. </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both local environmental damage, increased emissions, and higher transportation costs.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This report provides an overview of the current demographics of #{@report.muni}, the projected changes in housing demand over the coming decades, and the types of new housing that are needed to meet that need.  </w:t>
      </w:r>
    </w:p>
    <w:p>
      <w:pPr>
        <w:pStyle w:val="style56"/>
        <w:spacing w:after="240" w:before="480"/>
        <w:contextualSpacing w:val="false"/>
        <w:jc w:val="left"/>
        <w:rPr/>
      </w:pPr>
      <w:r>
        <w:rPr/>
      </w:r>
    </w:p>
    <w:p>
      <w:pPr>
        <w:pStyle w:val="style56"/>
        <w:spacing w:after="240" w:before="480"/>
        <w:contextualSpacing w:val="false"/>
        <w:jc w:val="left"/>
        <w:rPr/>
      </w:pPr>
      <w:r>
        <w:rPr/>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The Legal Context for Housing Production Planning</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production has been an important goal of the Commonwealth for decades.  The Comprehensive Permit Act 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communities of the Commonwealth.</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municipalities that fail to meet their affordable housing obligations under Chapter 40B, a developer can apply for a “Comprehensive Permit” that enables them to build more densely than municipal zoning bylaws would permit, if at least 25% (or 20% in certain cases) of the new units are affordable.  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For the purposes of this statute, affordable housing is defined as a unit that could be purchased or rented by a household making up to 80% of the area median income (AMI). </w:t>
      </w:r>
    </w:p>
    <w:p>
      <w:pPr>
        <w:pStyle w:val="style56"/>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Demographics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#{@report.muni} by age and how it is projected to change.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#{@report.muni} is home to #{@report.pop_2010} residents, #{ Calc.new(@report.pop_2000, @report.pop_2010).percent_change_increase(context: :of) } from 2000. In 2010, working-age adults between 20 and 65 made up #{ Calc.new(@report.working_age_adults_20_65, @report.pop_2010).percent_text } of the population and seniors over 65 made up #{ Calc.new(@report.pop10_65p, @report.pop_2010).percent_text } School-age children, between 5 and 19, make up #{ Calc.new(@report.pop10_5_19, @report.pop_2010).percent_text } of current residents. Between 2005 and 2012, school enrollment #{ Calc.new(@report.enroll_chg).number_increase(tense: :past) }, or #{ Calc.new(@report.enroll_chg, (@report.enrolled - @report.enroll_chg)).percent_text }.</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MAPC, the regional planning agency for Metro Boston, has prepared population and housing demand projections for 164 cities and towns in Metropolitan Boston1, and the University of Massachusetts Donahue Institute has prepared population projections for the balance of the cities and towns in the state2.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With the aging of the Baby Boomers, Massachusetts is growing older. The senior population is expected to #{ Calc.new(@report.pop10_65p, @report.pop30_65p).percent_change_increase } over the next two decades, an increase mirrored in almost every city and town.</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the aging of the Baby Boomers will cause the senior population to #{ Calc.new(@report.pop10_65p, @report.pop30_65p).number_increase } people, or #{ Calc.new(@report.pop10_65p, @report.pop30_65p).percent_change_text }, through 2030, as seen in Figure 1. The total population is projected to #{ Calc.new(@report.pop_2010, @report.pop_30sr).number_increase }, or #{ Calc.new(@report.pop_2010, @report.pop_30sr).percent_change_text }, over the same period.</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[[Figure 1: Bar chart of population projections by age variable. Bars are filled by year. Age  variable mapped to x-axis. See ”Total Population by Age, 1990 - 2030”  in municipal projections. report. </w:t>
      </w:r>
    </w:p>
    <w:p>
      <w:pPr>
        <w:pStyle w:val="style56"/>
        <w:spacing w:after="240" w:before="480"/>
        <w:contextualSpacing w:val="false"/>
        <w:jc w:val="left"/>
        <w:rPr/>
      </w:pPr>
      <w:r>
        <w:rPr/>
      </w:r>
    </w:p>
    <w:p>
      <w:pPr>
        <w:pStyle w:val="style56"/>
        <w:spacing w:after="240" w:before="480"/>
        <w:contextualSpacing w:val="false"/>
        <w:jc w:val="left"/>
        <w:rPr/>
      </w:pPr>
      <w:r>
        <w:rPr/>
      </w:r>
    </w:p>
    <w:p>
      <w:pPr>
        <w:pStyle w:val="style56"/>
        <w:spacing w:after="240" w:before="480"/>
        <w:contextualSpacing w:val="false"/>
        <w:jc w:val="left"/>
        <w:rPr/>
      </w:pPr>
      <w:r>
        <w:rPr/>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Population</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Population by Race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Massachusetts has grown more diverse since 2000. Between 2000 and 2010, the non-white population #{ Calc.new(@report.minor_00, @report.minor_10).percent_change_increase(tense: :past) }. Meanwhile, the white, non-Hispanic population #{ Calc.new(@report.whi_00, @report.nhwhi).percent_change_increase(tense: :past) }. Figure {figNum} shows the distribution of population by race in #{@report.muni} and its ten nearest neighbors.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[[Stacked bar chart that adds up to 100%. Bars are shaded by percent of population that is White, Black, Asian, Native American, Pacific Islander, Other, Two or More, and Hispanic. Bars correspond to #{@report.muni} and its nearest neighbors.]]</w:t>
      </w:r>
    </w:p>
    <w:p>
      <w:pPr>
        <w:pStyle w:val="style56"/>
        <w:spacing w:after="240" w:before="480"/>
        <w:contextualSpacing w:val="false"/>
        <w:jc w:val="left"/>
        <w:rPr/>
      </w:pPr>
      <w:r>
        <w:rPr/>
      </w:r>
    </w:p>
    <w:p>
      <w:pPr>
        <w:pStyle w:val="style56"/>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Demand</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 This section looks at the current distribution of household types in #{@report.muni}, projected household changes, and net housing unit demand through 2030.</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Key findings:</w:t>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total households in #{@report.muni} #{ Calc.new(@report.hh_00, @report.hh_10).percent_change_increase(tense: :past) } between 2000 and 2010, from #{@report.hh_00} to #{@report.hh_10},4</w:t>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average household size #{ Calc.new(@report.hh_avg00, @report.hh_avg10).increase(context: :none, tense: :past) } from #{@report.hh_avg00(round: false)} in 2000 to #{@report.hh_avg10(round: false)} in 2010, and is projected to be #{@report.hhs_30sr(round: false)} by 2030,</w:t>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family households with children make up #{@report.hhf_c_p}% of #{@report.muni} households,</w:t>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single person households and elderly5 single person households make up #{@report.hh1_p}% and #{@report.hh1_65o_p}% of #{@report.muni} households, respectively,</w:t>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total households in #{@report.muni} are projected to #{ Calc.new(@report.hh_10, @report.hh_30sr).number_increase(context: :by) } through 2030, #{ Calc.new(@report.hh_10, @report.hh_30sr).percent_change_increase(context: :of) } from 2010,</w:t>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householders between 30 and 60 are projected to #{ Calc.new(@report.househld_30_60_2010, @report.househld_30_60_2030).number_increase(context: :by) }, or #{ Calc.new(@report.househld_30_60_2010, @report.househld_30_60_2030).percent_change_text },</w:t>
      </w:r>
    </w:p>
    <w:p>
      <w:pPr>
        <w:pStyle w:val="style56"/>
        <w:spacing w:after="240" w:before="480"/>
        <w:contextualSpacing w:val="false"/>
        <w:jc w:val="left"/>
        <w:rPr/>
      </w:pPr>
      <w:r>
        <w:rPr/>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As the Baby Boomer generation ages, the number of householders over 60 will #{ Calc.new(@report.househld_60_pl_2010, @report.househld_60_pl_2030).number_increase }, from #{ Calc.new(@report.househld_60_pl_2010, @report.hh_10).percent_text } to #{ Calc.new(@report.househld_60_pl_2030, @report.hh_30sr).percent_text } of the total households in #{@report.muni}.</w:t>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Net housing unit demand will be #{@report.net_housing_demand_2020} through 2020, or #{@report.net_housing_demand_2020_ann} annually,</w:t>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Net housing unit demand for householders currently between the ages of 15 and 35 will be #{@report.hu1534_20}, or #{@report.net_annual_demand} annually,</w:t>
      </w:r>
    </w:p>
    <w:p>
      <w:pPr>
        <w:pStyle w:val="style56"/>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Over the next ten years, householders currently older than 55 will need #{ Calc.new(@report.net_housing_demand_55_pl_2020).more } units than they do today.</w:t>
      </w:r>
    </w:p>
    <w:p>
      <w:pPr>
        <w:pStyle w:val="style56"/>
        <w:spacing w:after="240" w:before="480"/>
        <w:contextualSpacing w:val="false"/>
        <w:jc w:val="left"/>
        <w:rPr/>
      </w:pPr>
      <w:r>
        <w:rPr/>
      </w:r>
    </w:p>
    <w:p>
      <w:pPr>
        <w:pStyle w:val="style56"/>
        <w:spacing w:after="240" w:before="480"/>
        <w:contextualSpacing w:val="false"/>
        <w:jc w:val="left"/>
        <w:rPr/>
      </w:pPr>
      <w:r>
        <w:rPr/>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Households</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Total Households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Total population and average household size determine the number of households in a community.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Despite these overall trends, household size did increase in 48 Massachusetts municipalities between 2000 and 2010. Several factors may contribute to this, including “doubling up” in the face of rising housing costs, and concentrations of certain demographic groups with higher fertility rates.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total households #{ Calc.new(@report.hh_00, @report.hh_10).number_increase(tense: :past) }, or #{ Calc.new(@report.hh_00, @report.hh_10).percent_change_text }, between 2000 and 2010. At the same time, average household size #{ Calc.new(@report.hh_avg00, @report.hh_avg10).increase(tense: :past, context: :none) } from #{ @report.hh_avg00(round: false) } to #{ @report.hh_avg10(round: false) }.</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Households by Age Cohort</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Just as aging Baby Boomers (those born between 1945 and 1970, for our purposes) will dominate the overall population dynamics of the state, they will also have a substantial influence on household changes and housing needs in #{@report.muni}. As this large generation ages, it will increase the number of householders over 60 by #{ Calc.new(@report.househld_60_pl_2010, @report.househld_60_pl_2030).percent_change_text } statewide through 2030, and their share of all households will increase from #{ Calc.new(@report.househld_60_pl_2010, @report.hh_10).percent_text(percent: nil.to_s) } to #{ Calc.new(@report.househld_60_pl_2030, @report.hh_30sr).percent_text } over the same period. Meanwhile, the total number of under-60 householders will change only slightly from one decade to the next, and most age groups under 60 will see a decline in the number of households between 2010 and 2030.</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householders over 60 will  #{ Calc.new(@report.househld_60_pl_2010_p, @report.househld_60_pl_2030_p).increase(context: :none) } from #{ Calc.new(@report.househld_60_pl_2010, @report.hh_10).percent_text } of the population in 2010 to #{ Calc.new(@report.househld_60_pl_2030, @report.hh_30sr).percent_text } in 2030, #{ Calc.new(@report.househld_60_pl_2010, @report.househld_60_pl_2030).percent_change_increase(context: :of, percent: nil.to_s) } percent. Meanwhile, under-60 householders will #{ Calc.new(@report.under_60_househld_2010, @report.under_60_househld_2030).number_increase }, or #{ Calc.new(@report.under_60_househld_2010, @report.under_60_househld_2030).percent_change_text }, as seen in Figure 2.</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[[Figure 2: Bar chart of household projections by age variable. Essentially identical to Figure 1.]]</w:t>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Housing Units</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Housing Unit Demand Change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Changes in housing unit demand result from household formation, dissolution, and mortality. Young adults currently between the ages of 15 and 30 are poised to form households after they leave home, dorm, or roommates. 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decline in demand from older householders will partly offset increased demand from their younger counterparts. In Metro Boston, for example, the decline in demand for single-family homes among householders over 55 and over will accommodate #{ Calc.new(@report.sf_homes_over_55_2020, @report.sf_homes_under_55_2020).percent_text } of demand for such units from younger households between 2010 and 2020, and an even greater share in the decade thereafter. However, shifts in preferences among younger households towards multifamily units means that only #{ Calc.new(@report.mf_homes_over_55_2020, @report.mf_homes_under_55_2020).percent_text } percent of new multifamily demand will be met through existing units freed up by householder over 55.</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Through 2020, new households headed by someone currently under the age of 35 will need an additional #{@report.hu1534_20} housing units.  Households headed by someone currently between the ages of 35 and 55 will demand #{ Calc.new(@report.hu3554_20).more } units. Householders currently over the age of 55 will need #{ Calc.new(@report.househld_55_pl_will_need).more } units than they do today. After accounting for the units freed up by departing seniors and the units needed to maintain a healthy vacancy rate, this translates into net demand for #{@report.net_demand_sf_2020} single family and #{@report.net_demand_mf_2020} multi-family units. Figure {figNum} breaks projected demand down by householder cohort, unit type, and tenure.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[[Figure {figNum}: Bar chart of housing unit demand by cohort: 2010 through 2030. Age breaks on the x-axis: 15 - 34, 35-54, 55 - 74, and 75+. Bars are stacked and colored by unit type and tenure (single family rental and owner, and multifamily rental and owner. See figure Housing Unit Demand by Cohort, 2010 - 2020 in Abington HPP report.]]</w:t>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Supply</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Supply is measured by the number and type of housing units in a community. It is the part of the housing market that municipalities can directly control through zoning and other land use policies. In this section, we look at the current supply of housing units in #{@report.muni}, as well as its distribution by unit type, building age, size, and cost. We also look at housing permitting in #{@report.muni} since 2000 and compare it to projected future demand. These numbers can help your community to determine what policies are needed to ensure an adequate supply of housing to meet current and future demand.</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Housing Units by Age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distribution of housing units by age is important for at least three reasons. First, a housing stock with few units built since 2000 indicates that housing supply is growing slowly.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#{@report.h_39_p}% of housing units are in buildings built before 1939, compared to #{@report.h_39_p}% statewide. Another #{@report.h4059_p}% and #{@report.h6079_p}% of #{@report.muni} units are in buildings that date from 1940-1959 and 1960-1979, respectively. Construction since 2000 accounts for #{@report.h_00_p}% of units, compared to #{@report.state.average_h_00_p}% statewide.</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Housing Units by Type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preferences are projected to change, as both younger householders and seniors opt for smaller, multifamily units, as seen above. It is important to compare these projections to the current distribution of units in order to calibrate supply to future demand. In #{@report.muni}, #{@report.u1_p}% of units are in single family homes, compared to #{@report.state.average_u1_p}% statewide and #{@report.community_type.average_u1_p}% for #{@report.community_type}-type municipalities; #{@report.u2_4_p}% of all units are in two- to four-family buildings; and #{@report.u5_9_p + @report.u10_19_p + @report.u20ov_p}% are in multifamily buildings with five or more units. The remainder are in non-permanent structures, such as mobile homes.</w:t>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Housing Permits</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Subtopic: 2000 – 2012</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future.1 From 2000 to 2012, #{@report.muni} permitted #{@report.sf_units12} single family and #{@report.mf_units12} multifamily housing units annually, as seen in {figNum}.  By comparison, #{@report.muni} faces an annual projected demand of #{@report.sf_demand_2020_ann} single family units and #{@report.mf_demand_2020_ann} multifamily units.</w:t>
      </w:r>
    </w:p>
    <w:p>
      <w:pPr>
        <w:pStyle w:val="style56"/>
        <w:spacing w:after="240" w:before="480"/>
        <w:contextualSpacing w:val="false"/>
        <w:jc w:val="left"/>
        <w:rPr/>
      </w:pPr>
      <w:r>
        <w:rPr/>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[[Line graph with permitted single family and multifamily units per year from 2000 to 2013. Overall horizontal lines to indicate the average annual demand for new single family and multifamily units. These may also work better as separate graphs, especially in communities with historically low multifamily permitting.]]</w:t>
      </w:r>
    </w:p>
    <w:p>
      <w:pPr>
        <w:pStyle w:val="style56"/>
        <w:spacing w:after="240" w:before="480"/>
        <w:contextualSpacing w:val="false"/>
        <w:jc w:val="left"/>
        <w:rPr/>
      </w:pPr>
      <w:r>
        <w:rPr/>
      </w:r>
    </w:p>
    <w:p>
      <w:pPr>
        <w:pStyle w:val="style56"/>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Affordability</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prices are determined by the demand for and supply of housing units. If supply does not keep up with demand, higher prices result. Affordability is determined by the distribution of housing prices and household incomes. If prices rise but incomes remain flat - a familiar dynamic in many communities in recent years - affordability declines.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Affordability is measured in several ways. In this section, we will measure affordability according to:</w:t>
      </w:r>
    </w:p>
    <w:p>
      <w:pPr>
        <w:pStyle w:val="style56"/>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percent of households that pay more than 30% and 50% of income on housing costs (“cost burdened” and “severely cost burdened,” respectively), by household tenure, income, and type;</w:t>
      </w:r>
    </w:p>
    <w:p>
      <w:pPr>
        <w:pStyle w:val="style56"/>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percent of housing units listed on the Massachusetts Subsidized Housing Inventory (SHI),</w:t>
      </w:r>
    </w:p>
    <w:p>
      <w:pPr>
        <w:pStyle w:val="style56"/>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percent of recent home sales affordable to low and median income households, and</w:t>
      </w:r>
    </w:p>
    <w:p>
      <w:pPr>
        <w:pStyle w:val="style56"/>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gap between the number of households by income level, and the number of housing units affordable by income level.</w:t>
      </w:r>
    </w:p>
    <w:p>
      <w:pPr>
        <w:pStyle w:val="style56"/>
        <w:spacing w:after="240" w:before="480"/>
        <w:contextualSpacing w:val="false"/>
        <w:jc w:val="left"/>
        <w:rPr/>
      </w:pPr>
      <w:r>
        <w:rPr/>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Households by Income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Affordability is of particular concern to low income households. Many federal and state housing programs define low income households according to household size and household income, measured as a percent of Area Median Income. The breakdown for extremely low, very low, and low income households by household size is shown in Table tableNum below.</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[[Table modeled after Table 11 in Everett HPP, page 23.]]</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In #{@report.muni}, #{@report.amiu30p}%, #{@report.ami3050p}%, and #{@report.ami5080p}% of households are extremely low, very low, and low income, respectively. This means that </w:t>
      </w:r>
      <w:r>
        <w:rPr>
          <w:rFonts w:ascii="Avenir Next" w:hAnsi="Avenir Next"/>
          <w:b w:val="false"/>
          <w:bCs w:val="false"/>
          <w:color w:val="000000"/>
          <w:sz w:val="24"/>
          <w:szCs w:val="24"/>
        </w:rPr>
        <w:t xml:space="preserve">#{@report.amiu30p+@report.ami3050p+@report.ami5080p} </w:t>
      </w:r>
      <w:r>
        <w:rPr>
          <w:rFonts w:ascii="Avenir Next" w:hAnsi="Avenir Next"/>
          <w:b w:val="false"/>
          <w:bCs w:val="false"/>
          <w:color w:val="000000"/>
          <w:sz w:val="24"/>
          <w:szCs w:val="24"/>
        </w:rPr>
        <w:t>percent of all households qualify for federal and state affordable housing programs based on household income.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[[Bar graph of household projections by household income. Similar to household by age, expect bars will be filed in according to income.]]</w:t>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Housing Cost Burden</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#{@report.muni}, #{ Calc.new(@report.cost_burdened_units, @report.occupied_units).percent_text } and #{ Calc.new(@report.sev_cost_burdened_units, @report.occupied_units).percent_text } of households are cost burdened and severely cost burdened, respectively, compared to #{ Calc.new(@report.state.average_cost_burdened_units, @report.state.average_occupied_units).percent_text } and #{ Calc.new(@report.state.average_sev_cost_burdened_units, @report.state.average_occupied_units).percent_text } of households statewide.</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Cost Burden by Tenure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Cost burden rates are typically higher among renter households. Statewide, #{@report.state.r_cb_p}% of renter and #{@report.state.o_cb_p}% of owners are cost burdened, respectively. In #{@report.muni}, #{@report.r_cb_p}% of renters are cost burdened, versus #{@report.o_cb_p}% of owners.</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Cost Burden by Income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As expected, cost burden is also more common among low income households. Statewide, #{@report.state.eli_cbp}% of all extremely low income households, #{@report.state.vli_cbp}% of very low income households, and #{@report.state.li_cbp}% of low income households are cost burdened, versus #{@report.hi_cbp}% of households with incomes above 100% AMI. Figure {figNum} shows the percent of #{@report.muni} households that are cost burdened and severely cost burdened by income level.</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[[cost burden by income graph. Colors correspond to income category, y-axis corresponds to percent of total households, x-axis corresponds to municipality.]]</w:t>
      </w:r>
    </w:p>
    <w:p>
      <w:pPr>
        <w:pStyle w:val="style56"/>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Cost Burden by Household Type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Younger households, non-family households, and elderly households typically have lower incomes, and are more likely to rent. They are also more likely to to be cost burdened. Statewide, #{@report.ef_cbp}% of elderly family households and #{@report.oth_cbp}% of non-elderly, non-family households are cost burdened, respectively. As the number of elderly households increases, the number of cost-burdened elderly households is likely to increase. In #{@report.muni}, cost burden among elderly family households and non-elderly, non-family households is #{@report.ef_cbp}% and #{@report.oth_cbp}%, respectively.</w:t>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Subsidized Housing Inventory</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Massachusetts maintains a subsidized housing inventory (SHI) that tracks each municipality’s affordable housing stock, including deed restricted and subsidized units.  Under General Law Chapter 40B, in any municipality where less than 10% of units are included on the SHI, a developer can build more densely than the municipal zoning bylaws would permit, if at least 25% (or 20% in certain cases) of the new units are affordable.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Statewide, #{@report.state.average_shi_p}% of housing units are on the SHI, and 12 percent of municipalities meet their 10% requirement under Chapter 40B. Figure {figNum} shows the percent of SHI unit within #{@report.muni} and its nearest neighbors.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[[Bar chart of percent SHI units for #{@report.muni} and nearest neighborhoods.]]</w:t>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Affordability of Recent Home Sales</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{figNum} shows the percent of single family home sales since 2000 that are affordable by household income.</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[Note: If a graph does not appear below, then #{@report.muni} either does not have data on sale price or sale date in the Massachusetts parcel file, or the data is in a non-standard format.]</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[[Line graph. y-axis is percent of home sales/condo sales since 2000 that are affordable to households at each income level. Vertical lines show low income household cutoff and median households income.]]</w:t>
      </w:r>
    </w:p>
    <w:p>
      <w:pPr>
        <w:pStyle w:val="style56"/>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Affordability Gap</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 Table tableNum shows the gap #{@report.muni} renter and owner households face at 50% AMI, 50 to 80% AMI, and above 80% AMI.</w:t>
      </w:r>
    </w:p>
    <w:p>
      <w:pPr>
        <w:pStyle w:val="style56"/>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[[Table based on Table 17 in Everett Housing Production Plan.]]</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Avenir Next">
    <w:charset w:val="01"/>
    <w:family w:val="roman"/>
    <w:pitch w:val="variable"/>
  </w:font>
  <w:font w:name="Symbol">
    <w:charset w:val="01"/>
    <w:family w:val="auto"/>
    <w:pitch w:val="variable"/>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85" w:val="num"/>
        </w:tabs>
        <w:ind w:hanging="360" w:left="785"/>
      </w:pPr>
      <w:rPr>
        <w:rFonts w:ascii="Symbol" w:cs="Symbol" w:hAnsi="Symbol" w:hint="default"/>
      </w:rPr>
    </w:lvl>
    <w:lvl w:ilvl="1">
      <w:start w:val="1"/>
      <w:numFmt w:val="bullet"/>
      <w:lvlText w:val="◦"/>
      <w:lvlJc w:val="left"/>
      <w:pPr>
        <w:tabs>
          <w:tab w:pos="1145" w:val="num"/>
        </w:tabs>
        <w:ind w:hanging="360" w:left="1145"/>
      </w:pPr>
      <w:rPr>
        <w:rFonts w:ascii="OpenSymbol" w:cs="OpenSymbol" w:hAnsi="OpenSymbol" w:hint="default"/>
      </w:rPr>
    </w:lvl>
    <w:lvl w:ilvl="2">
      <w:start w:val="1"/>
      <w:numFmt w:val="bullet"/>
      <w:lvlText w:val="▪"/>
      <w:lvlJc w:val="left"/>
      <w:pPr>
        <w:tabs>
          <w:tab w:pos="1505" w:val="num"/>
        </w:tabs>
        <w:ind w:hanging="360" w:left="1505"/>
      </w:pPr>
      <w:rPr>
        <w:rFonts w:ascii="OpenSymbol" w:cs="OpenSymbol" w:hAnsi="OpenSymbol" w:hint="default"/>
      </w:rPr>
    </w:lvl>
    <w:lvl w:ilvl="3">
      <w:start w:val="1"/>
      <w:numFmt w:val="bullet"/>
      <w:lvlText w:val=""/>
      <w:lvlJc w:val="left"/>
      <w:pPr>
        <w:tabs>
          <w:tab w:pos="1865" w:val="num"/>
        </w:tabs>
        <w:ind w:hanging="360" w:left="1865"/>
      </w:pPr>
      <w:rPr>
        <w:rFonts w:ascii="Symbol" w:cs="Symbol" w:hAnsi="Symbol" w:hint="default"/>
      </w:rPr>
    </w:lvl>
    <w:lvl w:ilvl="4">
      <w:start w:val="1"/>
      <w:numFmt w:val="bullet"/>
      <w:lvlText w:val="◦"/>
      <w:lvlJc w:val="left"/>
      <w:pPr>
        <w:tabs>
          <w:tab w:pos="2225" w:val="num"/>
        </w:tabs>
        <w:ind w:hanging="360" w:left="2225"/>
      </w:pPr>
      <w:rPr>
        <w:rFonts w:ascii="OpenSymbol" w:cs="OpenSymbol" w:hAnsi="OpenSymbol" w:hint="default"/>
      </w:rPr>
    </w:lvl>
    <w:lvl w:ilvl="5">
      <w:start w:val="1"/>
      <w:numFmt w:val="bullet"/>
      <w:lvlText w:val="▪"/>
      <w:lvlJc w:val="left"/>
      <w:pPr>
        <w:tabs>
          <w:tab w:pos="2585" w:val="num"/>
        </w:tabs>
        <w:ind w:hanging="360" w:left="2585"/>
      </w:pPr>
      <w:rPr>
        <w:rFonts w:ascii="OpenSymbol" w:cs="OpenSymbol" w:hAnsi="OpenSymbol" w:hint="default"/>
      </w:rPr>
    </w:lvl>
    <w:lvl w:ilvl="6">
      <w:start w:val="1"/>
      <w:numFmt w:val="bullet"/>
      <w:lvlText w:val=""/>
      <w:lvlJc w:val="left"/>
      <w:pPr>
        <w:tabs>
          <w:tab w:pos="2945" w:val="num"/>
        </w:tabs>
        <w:ind w:hanging="360" w:left="2945"/>
      </w:pPr>
      <w:rPr>
        <w:rFonts w:ascii="Symbol" w:cs="Symbol" w:hAnsi="Symbol" w:hint="default"/>
      </w:rPr>
    </w:lvl>
    <w:lvl w:ilvl="7">
      <w:start w:val="1"/>
      <w:numFmt w:val="bullet"/>
      <w:lvlText w:val="◦"/>
      <w:lvlJc w:val="left"/>
      <w:pPr>
        <w:tabs>
          <w:tab w:pos="3305" w:val="num"/>
        </w:tabs>
        <w:ind w:hanging="360" w:left="3305"/>
      </w:pPr>
      <w:rPr>
        <w:rFonts w:ascii="OpenSymbol" w:cs="OpenSymbol" w:hAnsi="OpenSymbol" w:hint="default"/>
      </w:rPr>
    </w:lvl>
    <w:lvl w:ilvl="8">
      <w:start w:val="1"/>
      <w:numFmt w:val="bullet"/>
      <w:lvlText w:val="▪"/>
      <w:lvlJc w:val="left"/>
      <w:pPr>
        <w:tabs>
          <w:tab w:pos="3665" w:val="num"/>
        </w:tabs>
        <w:ind w:hanging="360" w:left="3665"/>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Normal"/>
    <w:next w:val="style0"/>
    <w:pPr>
      <w:widowControl/>
      <w:suppressAutoHyphens w:val="true"/>
      <w:overflowPunct w:val="false"/>
      <w:spacing w:after="180" w:before="180" w:line="276" w:lineRule="auto"/>
      <w:contextualSpacing w:val="false"/>
    </w:pPr>
    <w:rPr>
      <w:rFonts w:ascii="Cambria" w:cs="Cambria" w:eastAsia="Arial Unicode MS" w:hAnsi="Cambria"/>
      <w:color w:val="00000A"/>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hAnsi="Calibri"/>
      <w:b/>
      <w:bCs/>
      <w:color w:val="4F81BD"/>
    </w:rPr>
  </w:style>
  <w:style w:styleId="style5" w:type="paragraph">
    <w:name w:val="Heading 5"/>
    <w:basedOn w:val="style0"/>
    <w:next w:val="style5"/>
    <w:pPr>
      <w:keepNext/>
      <w:keepLines/>
      <w:spacing w:after="0" w:before="200"/>
      <w:contextualSpacing w:val="false"/>
    </w:pPr>
    <w:rPr>
      <w:rFonts w:ascii="Calibri" w:hAnsi="Calibri"/>
      <w:i/>
      <w:iCs/>
      <w:color w:val="4F81BD"/>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Footnote Anchor"/>
    <w:next w:val="style34"/>
    <w:rPr>
      <w:vertAlign w:val="superscript"/>
    </w:rPr>
  </w:style>
  <w:style w:styleId="style35" w:type="character">
    <w:name w:val="Endnote Anchor"/>
    <w:next w:val="style35"/>
    <w:rPr>
      <w:vertAlign w:val="superscript"/>
    </w:rPr>
  </w:style>
  <w:style w:styleId="style36" w:type="character">
    <w:name w:val="annotation reference"/>
    <w:basedOn w:val="style15"/>
    <w:next w:val="style36"/>
    <w:rPr>
      <w:sz w:val="16"/>
      <w:szCs w:val="16"/>
    </w:rPr>
  </w:style>
  <w:style w:styleId="style37" w:type="character">
    <w:name w:val="Comment Text Char"/>
    <w:basedOn w:val="style15"/>
    <w:next w:val="style37"/>
    <w:rPr>
      <w:rFonts w:ascii="Cambria" w:cs="Cambria" w:eastAsia="Arial Unicode MS" w:hAnsi="Cambria"/>
      <w:sz w:val="20"/>
      <w:szCs w:val="20"/>
    </w:rPr>
  </w:style>
  <w:style w:styleId="style38" w:type="character">
    <w:name w:val="Comment Subject Char"/>
    <w:basedOn w:val="style37"/>
    <w:next w:val="style38"/>
    <w:rPr>
      <w:b/>
      <w:bCs/>
    </w:rPr>
  </w:style>
  <w:style w:styleId="style39" w:type="character">
    <w:name w:val="Balloon Text Char"/>
    <w:basedOn w:val="style15"/>
    <w:next w:val="style39"/>
    <w:rPr>
      <w:rFonts w:ascii="Tahoma" w:cs="Tahoma" w:eastAsia="Arial Unicode MS" w:hAnsi="Tahoma"/>
      <w:sz w:val="16"/>
      <w:szCs w:val="16"/>
    </w:rPr>
  </w:style>
  <w:style w:styleId="style40" w:type="character">
    <w:name w:val="Footnote Text Char"/>
    <w:basedOn w:val="style15"/>
    <w:next w:val="style40"/>
    <w:rPr>
      <w:rFonts w:ascii="Cambria" w:cs="Cambria" w:eastAsia="Arial Unicode MS" w:hAnsi="Cambria"/>
      <w:sz w:val="20"/>
      <w:szCs w:val="20"/>
    </w:rPr>
  </w:style>
  <w:style w:styleId="style41" w:type="character">
    <w:name w:val="footnote reference"/>
    <w:basedOn w:val="style15"/>
    <w:next w:val="style41"/>
    <w:rPr>
      <w:vertAlign w:val="superscript"/>
    </w:rPr>
  </w:style>
  <w:style w:styleId="style42" w:type="character">
    <w:name w:val="Internet Link"/>
    <w:basedOn w:val="style15"/>
    <w:next w:val="style42"/>
    <w:rPr>
      <w:color w:val="0000FF"/>
      <w:u w:val="single"/>
      <w:lang w:bidi="zxx-" w:eastAsia="zxx-" w:val="zxx-"/>
    </w:rPr>
  </w:style>
  <w:style w:styleId="style43" w:type="character">
    <w:name w:val="ListLabel 1"/>
    <w:next w:val="style43"/>
    <w:rPr>
      <w:rFonts w:cs="Symbol"/>
    </w:rPr>
  </w:style>
  <w:style w:styleId="style44" w:type="character">
    <w:name w:val="ListLabel 2"/>
    <w:next w:val="style44"/>
    <w:rPr>
      <w:rFonts w:cs="Symbol"/>
    </w:rPr>
  </w:style>
  <w:style w:styleId="style45" w:type="character">
    <w:name w:val="ListLabel 3"/>
    <w:next w:val="style45"/>
    <w:rPr>
      <w:rFonts w:cs="Symbol"/>
    </w:rPr>
  </w:style>
  <w:style w:styleId="style46" w:type="character">
    <w:name w:val="Bullets"/>
    <w:next w:val="style46"/>
    <w:rPr>
      <w:rFonts w:ascii="OpenSymbol" w:cs="OpenSymbol" w:eastAsia="OpenSymbol" w:hAnsi="OpenSymbol"/>
    </w:rPr>
  </w:style>
  <w:style w:styleId="style47" w:type="character">
    <w:name w:val="ListLabel 4"/>
    <w:next w:val="style47"/>
    <w:rPr>
      <w:rFonts w:cs="Symbol"/>
    </w:rPr>
  </w:style>
  <w:style w:styleId="style48" w:type="character">
    <w:name w:val="ListLabel 5"/>
    <w:next w:val="style48"/>
    <w:rPr>
      <w:rFonts w:cs="OpenSymbol"/>
    </w:rPr>
  </w:style>
  <w:style w:styleId="style49" w:type="paragraph">
    <w:name w:val="Heading"/>
    <w:basedOn w:val="style0"/>
    <w:next w:val="style50"/>
    <w:pPr>
      <w:keepNext/>
      <w:spacing w:after="120" w:before="240"/>
      <w:contextualSpacing w:val="false"/>
    </w:pPr>
    <w:rPr>
      <w:rFonts w:ascii="Arial" w:cs="Arial Unicode MS" w:eastAsia="Arial Unicode MS" w:hAnsi="Arial"/>
      <w:sz w:val="28"/>
      <w:szCs w:val="28"/>
    </w:rPr>
  </w:style>
  <w:style w:styleId="style50" w:type="paragraph">
    <w:name w:val="Text Body"/>
    <w:basedOn w:val="style0"/>
    <w:next w:val="style50"/>
    <w:pPr>
      <w:spacing w:after="120" w:before="0"/>
      <w:contextualSpacing w:val="false"/>
    </w:pPr>
    <w:rPr/>
  </w:style>
  <w:style w:styleId="style51" w:type="paragraph">
    <w:name w:val="List"/>
    <w:basedOn w:val="style50"/>
    <w:next w:val="style51"/>
    <w:pPr/>
    <w:rPr/>
  </w:style>
  <w:style w:styleId="style52" w:type="paragraph">
    <w:name w:val="Caption"/>
    <w:basedOn w:val="style0"/>
    <w:next w:val="style52"/>
    <w:pPr>
      <w:suppressLineNumbers/>
      <w:spacing w:after="120" w:before="120"/>
      <w:contextualSpacing w:val="false"/>
    </w:pPr>
    <w:rPr>
      <w:i/>
      <w:iCs/>
      <w:sz w:val="24"/>
      <w:szCs w:val="24"/>
    </w:rPr>
  </w:style>
  <w:style w:styleId="style53" w:type="paragraph">
    <w:name w:val="Index"/>
    <w:basedOn w:val="style0"/>
    <w:next w:val="style53"/>
    <w:pPr>
      <w:suppressLineNumbers/>
    </w:pPr>
    <w:rPr/>
  </w:style>
  <w:style w:styleId="style54" w:type="paragraph">
    <w:name w:val="caption"/>
    <w:basedOn w:val="style0"/>
    <w:next w:val="style54"/>
    <w:pPr>
      <w:suppressLineNumbers/>
      <w:spacing w:after="120" w:before="120"/>
      <w:contextualSpacing w:val="false"/>
    </w:pPr>
    <w:rPr>
      <w:i/>
      <w:iCs/>
    </w:rPr>
  </w:style>
  <w:style w:styleId="style55" w:type="paragraph">
    <w:name w:val="Compact"/>
    <w:basedOn w:val="style0"/>
    <w:next w:val="style55"/>
    <w:pPr>
      <w:spacing w:after="36" w:before="36"/>
      <w:contextualSpacing w:val="false"/>
    </w:pPr>
    <w:rPr/>
  </w:style>
  <w:style w:styleId="style56" w:type="paragraph">
    <w:name w:val="Title"/>
    <w:basedOn w:val="style0"/>
    <w:next w:val="style56"/>
    <w:pPr>
      <w:keepNext/>
      <w:keepLines/>
      <w:spacing w:after="240" w:before="480"/>
      <w:contextualSpacing w:val="false"/>
      <w:jc w:val="center"/>
    </w:pPr>
    <w:rPr>
      <w:rFonts w:ascii="Calibri" w:hAnsi="Calibri"/>
      <w:b/>
      <w:bCs/>
      <w:color w:val="345A8A"/>
      <w:sz w:val="36"/>
      <w:szCs w:val="36"/>
    </w:rPr>
  </w:style>
  <w:style w:styleId="style57" w:type="paragraph">
    <w:name w:val="Authors"/>
    <w:next w:val="style57"/>
    <w:pPr>
      <w:keepNext/>
      <w:keepLines/>
      <w:widowControl/>
      <w:suppressAutoHyphens w:val="true"/>
      <w:overflowPunct w:val="fals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58" w:type="paragraph">
    <w:name w:val="Date"/>
    <w:next w:val="style58"/>
    <w:pPr>
      <w:keepNext/>
      <w:keepLines/>
      <w:widowControl/>
      <w:suppressAutoHyphens w:val="true"/>
      <w:overflowPunct w:val="fals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59" w:type="paragraph">
    <w:name w:val="Block Quote"/>
    <w:basedOn w:val="style0"/>
    <w:next w:val="style59"/>
    <w:pPr>
      <w:spacing w:after="100" w:before="100"/>
      <w:contextualSpacing w:val="false"/>
    </w:pPr>
    <w:rPr>
      <w:rFonts w:ascii="Calibri" w:hAnsi="Calibri"/>
      <w:bCs/>
      <w:sz w:val="20"/>
      <w:szCs w:val="20"/>
    </w:rPr>
  </w:style>
  <w:style w:styleId="style60" w:type="paragraph">
    <w:name w:val="Footnote"/>
    <w:basedOn w:val="style0"/>
    <w:next w:val="style60"/>
    <w:pPr/>
    <w:rPr/>
  </w:style>
  <w:style w:styleId="style61" w:type="paragraph">
    <w:name w:val="Definition Term"/>
    <w:basedOn w:val="style0"/>
    <w:next w:val="style61"/>
    <w:pPr>
      <w:keepNext/>
      <w:keepLines/>
      <w:spacing w:after="0" w:before="180"/>
      <w:contextualSpacing w:val="false"/>
    </w:pPr>
    <w:rPr>
      <w:b/>
    </w:rPr>
  </w:style>
  <w:style w:styleId="style62" w:type="paragraph">
    <w:name w:val="Definition"/>
    <w:basedOn w:val="style0"/>
    <w:next w:val="style62"/>
    <w:pPr/>
    <w:rPr/>
  </w:style>
  <w:style w:styleId="style63" w:type="paragraph">
    <w:name w:val="Table Caption"/>
    <w:basedOn w:val="style0"/>
    <w:next w:val="style63"/>
    <w:pPr>
      <w:spacing w:after="120" w:before="0"/>
      <w:contextualSpacing w:val="false"/>
    </w:pPr>
    <w:rPr>
      <w:i/>
    </w:rPr>
  </w:style>
  <w:style w:styleId="style64" w:type="paragraph">
    <w:name w:val="Image Caption"/>
    <w:basedOn w:val="style0"/>
    <w:next w:val="style64"/>
    <w:pPr>
      <w:spacing w:after="120" w:before="0"/>
      <w:contextualSpacing w:val="false"/>
    </w:pPr>
    <w:rPr>
      <w:i/>
    </w:rPr>
  </w:style>
  <w:style w:styleId="style65" w:type="paragraph">
    <w:name w:val="Source Code"/>
    <w:basedOn w:val="style0"/>
    <w:next w:val="style65"/>
    <w:pPr/>
    <w:rPr/>
  </w:style>
  <w:style w:styleId="style66" w:type="paragraph">
    <w:name w:val="annotation text"/>
    <w:basedOn w:val="style0"/>
    <w:next w:val="style66"/>
    <w:pPr>
      <w:spacing w:line="100" w:lineRule="atLeast"/>
    </w:pPr>
    <w:rPr>
      <w:sz w:val="20"/>
      <w:szCs w:val="20"/>
    </w:rPr>
  </w:style>
  <w:style w:styleId="style67" w:type="paragraph">
    <w:name w:val="annotation subject"/>
    <w:basedOn w:val="style66"/>
    <w:next w:val="style67"/>
    <w:pPr/>
    <w:rPr>
      <w:b/>
      <w:bCs/>
    </w:rPr>
  </w:style>
  <w:style w:styleId="style68" w:type="paragraph">
    <w:name w:val="Balloon Text"/>
    <w:basedOn w:val="style0"/>
    <w:next w:val="style68"/>
    <w:pPr>
      <w:spacing w:after="0" w:before="0" w:line="100" w:lineRule="atLeast"/>
      <w:contextualSpacing w:val="false"/>
    </w:pPr>
    <w:rPr>
      <w:rFonts w:ascii="Tahoma" w:cs="Tahoma" w:hAnsi="Tahoma"/>
      <w:sz w:val="16"/>
      <w:szCs w:val="16"/>
    </w:rPr>
  </w:style>
  <w:style w:styleId="style69" w:type="paragraph">
    <w:name w:val="footnote text"/>
    <w:basedOn w:val="style0"/>
    <w:next w:val="style69"/>
    <w:pPr>
      <w:spacing w:after="0" w:before="0" w:line="100" w:lineRule="atLeast"/>
      <w:contextualSpacing w:val="false"/>
    </w:pPr>
    <w:rPr>
      <w:sz w:val="20"/>
      <w:szCs w:val="20"/>
    </w:rPr>
  </w:style>
  <w:style w:styleId="style70" w:type="paragraph">
    <w:name w:val="Revision"/>
    <w:next w:val="style70"/>
    <w:pPr>
      <w:widowControl/>
      <w:suppressAutoHyphens w:val="true"/>
      <w:overflowPunct w:val="false"/>
      <w:spacing w:after="0" w:before="0" w:line="100" w:lineRule="atLeast"/>
      <w:contextualSpacing w:val="false"/>
    </w:pPr>
    <w:rPr>
      <w:rFonts w:ascii="Cambria" w:cs="Cambria" w:eastAsia="Arial Unicode MS" w:hAnsi="Cambria"/>
      <w:color w:val="00000A"/>
      <w:sz w:val="24"/>
      <w:szCs w:val="24"/>
      <w:lang w:bidi="ar-SA" w:eastAsia="en-US" w:val="en-US"/>
    </w:rPr>
  </w:style>
  <w:style w:styleId="style71" w:type="paragraph">
    <w:name w:val="Quotations"/>
    <w:basedOn w:val="style0"/>
    <w:next w:val="style71"/>
    <w:pPr/>
    <w:rPr/>
  </w:style>
  <w:style w:styleId="style72" w:type="paragraph">
    <w:name w:val="Subtitle"/>
    <w:basedOn w:val="style49"/>
    <w:next w:val="style72"/>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2014-06-09T17:49:00Z</dcterms:created>
  <dc:creator>Mapcuser</dc:creator>
  <cp:lastPrinted>2014-06-09T14:58:00Z</cp:lastPrinted>
  <dcterms:modified xsi:type="dcterms:W3CDTF">2014-06-09T15:26:25Z</dcterms:modified>
  <cp:revision>2</cp:revision>
  <dc:title>cityFoo Housing Needs Assessment: The good parts</dc:title>
</cp:coreProperties>
</file>