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54"/>
        <w:spacing w:after="240" w:before="480"/>
        <w:contextualSpacing w:val="false"/>
        <w:rPr>
          <w:rFonts w:ascii="Avenir Next" w:hAnsi="Avenir Next"/>
        </w:rPr>
      </w:pPr>
      <w:del w:author="cmartin" w:date="2014-06-04T13:27:00Z" w:id="0">
        <w:r>
          <w:rPr>
            <w:rFonts w:ascii="Avenir Next" w:hAnsi="Avenir Next"/>
          </w:rPr>
          <w:delText>cityFoo Housing Needs Assessment: The good parts</w:delText>
        </w:r>
      </w:del>
    </w:p>
    <w:p>
      <w:pPr>
        <w:pStyle w:val="style54"/>
        <w:spacing w:after="240" w:before="480"/>
        <w:contextualSpacing w:val="false"/>
        <w:rPr>
          <w:rFonts w:ascii="Avenir Next" w:hAnsi="Avenir Next"/>
        </w:rPr>
      </w:pPr>
      <w:del w:author="cmartin" w:date="2014-06-04T13:27:00Z" w:id="1">
        <w:r>
          <w:rPr>
            <w:rFonts w:ascii="Avenir Next" w:hAnsi="Avenir Next"/>
          </w:rPr>
          <w:delText>@pathC:/hpp//</w:delText>
        </w:r>
      </w:del>
    </w:p>
    <w:p>
      <w:pPr>
        <w:pStyle w:val="style54"/>
        <w:spacing w:after="240" w:before="480"/>
        <w:contextualSpacing w:val="false"/>
        <w:rPr>
          <w:rFonts w:ascii="Avenir Next" w:hAnsi="Avenir Next"/>
        </w:rPr>
      </w:pPr>
      <w:ins w:author="Unknown Author" w:date="2014-06-09T15:06:00Z" w:id="2">
        <w:r>
          <w:rPr>
            <w:rFonts w:ascii="Avenir Next" w:hAnsi="Avenir Next"/>
          </w:rPr>
          <w:t xml:space="preserve">Topic Area: </w:t>
        </w:r>
      </w:ins>
      <w:r>
        <w:rPr>
          <w:rFonts w:ascii="Avenir Next" w:hAnsi="Avenir Next"/>
        </w:rPr>
        <w:t>Introduction</w:t>
      </w:r>
    </w:p>
    <w:p>
      <w:pPr>
        <w:pStyle w:val="style2"/>
        <w:rPr>
          <w:rFonts w:ascii="Avenir Next" w:hAnsi="Avenir Next"/>
          <w:b w:val="false"/>
          <w:bCs w:val="false"/>
          <w:color w:val="00000A"/>
          <w:sz w:val="24"/>
          <w:szCs w:val="24"/>
        </w:rPr>
      </w:pPr>
      <w:bookmarkStart w:id="0" w:name="introduction"/>
      <w:bookmarkEnd w:id="0"/>
      <w:r>
        <w:rPr>
          <w:rFonts w:ascii="Avenir Next" w:hAnsi="Avenir Next"/>
          <w:b w:val="false"/>
          <w:bCs w:val="false"/>
          <w:color w:val="00000A"/>
          <w:sz w:val="24"/>
          <w:szCs w:val="24"/>
        </w:rPr>
        <w:t xml:space="preserve">Housing production is one of the most profound challenges facing Massachusetts, and one in which each city and town has a unique and important role to play. Creating enough homes to accommodate the next generation of workers while also addressing the complex needs of an aging and increasingly diverse population will require communities across the state to implement new plans and policies that usher in a new era of housing production. </w:t>
      </w:r>
    </w:p>
    <w:p>
      <w:pPr>
        <w:pStyle w:val="style2"/>
        <w:rPr>
          <w:rFonts w:ascii="Avenir Next" w:hAnsi="Avenir Next"/>
          <w:b w:val="false"/>
          <w:bCs w:val="false"/>
          <w:color w:val="00000A"/>
          <w:sz w:val="24"/>
          <w:szCs w:val="24"/>
        </w:rPr>
      </w:pPr>
      <w:r>
        <w:rPr>
          <w:rFonts w:ascii="Avenir Next" w:hAnsi="Avenir Next"/>
          <w:b w:val="false"/>
          <w:bCs w:val="false"/>
          <w:color w:val="00000A"/>
          <w:sz w:val="24"/>
          <w:szCs w:val="24"/>
        </w:rPr>
        <w:t xml:space="preserve">The high cost of housing and lack of affordable or attractive options for many households has many negative consequences that affect the whole state. Housing costs are a major contributor to the state’s notoriously high cost of living, and eclipse taxes as a major disincentive to firms and talented workers thinking of locating here. Paying an excessive amount of income on housing means families have less money to spend on other essentials like food or health care, and spend less money at local businesses. Finally, high housing costs, especially in and near urban areas, have caused many households to search farther afield, “driving until they qualify” in the sprawl frontier past I-495 where large lots, low density, and long commutes cause both local environmental damage, increased emissions, and higher transportation costs.  </w:t>
      </w:r>
    </w:p>
    <w:p>
      <w:pPr>
        <w:pStyle w:val="style2"/>
        <w:rPr>
          <w:rFonts w:ascii="Avenir Next" w:hAnsi="Avenir Next"/>
          <w:b w:val="false"/>
          <w:bCs w:val="false"/>
          <w:color w:val="00000A"/>
          <w:sz w:val="24"/>
          <w:szCs w:val="24"/>
        </w:rPr>
      </w:pPr>
      <w:r>
        <w:rPr>
          <w:rFonts w:ascii="Avenir Next" w:hAnsi="Avenir Next"/>
          <w:b w:val="false"/>
          <w:bCs w:val="false"/>
          <w:color w:val="00000A"/>
          <w:sz w:val="24"/>
          <w:szCs w:val="24"/>
        </w:rPr>
        <w:t xml:space="preserve">One fundamental solution to the state’s housing challenge is more proactive efforts to plan for increased housing production at the local level.  Each city and town has different needs, different constraints, and different opportunities for new growth, but all can play a role in meeting the state’s housing needs.  Furthermore, many important principles of housing production apply across the Commonwealth: communities need a diversity of housing types to meet future housing needs; increased production at all price levels is critical to improving affordability; and well-located and well-designed new housing can revitalize local business districts while reducing auto miles travelled.  </w:t>
      </w:r>
    </w:p>
    <w:p>
      <w:pPr>
        <w:pStyle w:val="style2"/>
        <w:rPr>
          <w:rFonts w:ascii="Avenir Next" w:hAnsi="Avenir Next"/>
          <w:b w:val="false"/>
          <w:bCs w:val="false"/>
          <w:color w:val="00000A"/>
          <w:sz w:val="24"/>
          <w:szCs w:val="24"/>
        </w:rPr>
      </w:pPr>
      <w:r>
        <w:rPr>
          <w:rFonts w:ascii="Avenir Next" w:hAnsi="Avenir Next"/>
          <w:b w:val="false"/>
          <w:bCs w:val="false"/>
          <w:color w:val="00000A"/>
          <w:sz w:val="24"/>
          <w:szCs w:val="24"/>
        </w:rPr>
        <w:t xml:space="preserve">This report provides an overview of the current demographics of </w:t>
      </w:r>
      <w:del w:author="Unknown Author" w:date="2014-06-09T15:03:00Z" w:id="8">
        <w:r>
          <w:rPr>
            <w:rFonts w:ascii="Avenir Next" w:hAnsi="Avenir Next"/>
            <w:b w:val="false"/>
            <w:bCs w:val="false"/>
            <w:color w:val="00000A"/>
            <w:sz w:val="24"/>
            <w:szCs w:val="24"/>
          </w:rPr>
          <w:delText>cityFoo</w:delText>
        </w:r>
      </w:del>
      <w:ins w:author="Unknown Author" w:date="2014-06-09T15:03:00Z" w:id="9">
        <w:r>
          <w:rPr>
            <w:rFonts w:ascii="Avenir Next" w:cs="Cambria" w:eastAsia="Arial Unicode MS" w:hAnsi="Avenir Next"/>
            <w:b w:val="false"/>
            <w:bCs w:val="false"/>
            <w:color w:val="00000A"/>
            <w:sz w:val="24"/>
            <w:szCs w:val="24"/>
            <w:lang w:bidi="ar-SA" w:eastAsia="en-US" w:val="en-US"/>
          </w:rPr>
          <w:t>#{@report.muni}</w:t>
        </w:r>
      </w:ins>
      <w:r>
        <w:rPr>
          <w:rFonts w:ascii="Avenir Next" w:hAnsi="Avenir Next"/>
          <w:b w:val="false"/>
          <w:bCs w:val="false"/>
          <w:color w:val="00000A"/>
          <w:sz w:val="24"/>
          <w:szCs w:val="24"/>
        </w:rPr>
        <w:t xml:space="preserve">, the projected changes in housing demand over the coming decades, and the types of new housing that are needed to meet that need.  </w:t>
      </w:r>
    </w:p>
    <w:p>
      <w:pPr>
        <w:pStyle w:val="style2"/>
        <w:rPr>
          <w:rFonts w:ascii="Avenir Next" w:hAnsi="Avenir Next"/>
        </w:rPr>
      </w:pPr>
      <w:ins w:author="Unknown Author" w:date="2014-06-09T15:06:00Z" w:id="11">
        <w:r>
          <w:rPr>
            <w:rFonts w:ascii="Avenir Next" w:hAnsi="Avenir Next"/>
          </w:rPr>
          <w:t xml:space="preserve">Subtopic: </w:t>
        </w:r>
      </w:ins>
      <w:r>
        <w:rPr>
          <w:rFonts w:ascii="Avenir Next" w:hAnsi="Avenir Next"/>
        </w:rPr>
        <w:t>The Legal Context for Housing Production Planning</w:t>
      </w:r>
    </w:p>
    <w:p>
      <w:pPr>
        <w:pStyle w:val="style0"/>
        <w:rPr>
          <w:rFonts w:ascii="Avenir Next" w:hAnsi="Avenir Next"/>
        </w:rPr>
      </w:pPr>
      <w:bookmarkStart w:id="1" w:name="chapter-40b-a-primer"/>
      <w:bookmarkEnd w:id="1"/>
      <w:r>
        <w:rPr>
          <w:rFonts w:ascii="Avenir Next" w:hAnsi="Avenir Next"/>
        </w:rPr>
        <w:t xml:space="preserve">Housing production has been an important goal of the Commonwealth for decades.  The </w:t>
      </w:r>
      <w:commentRangeStart w:id="0"/>
      <w:r>
        <w:rPr>
          <w:rFonts w:ascii="Avenir Next" w:hAnsi="Avenir Next"/>
        </w:rPr>
        <w:t xml:space="preserve">Comprehensive Permit Act </w:t>
      </w:r>
      <w:commentRangeEnd w:id="0"/>
      <w:r>
        <w:rPr>
          <w:rFonts w:ascii="Avenir Next" w:hAnsi="Avenir Next"/>
        </w:rPr>
      </w:r>
      <w:del w:author="Unknown Author" w:date="2014-06-09T15:03:00Z" w:id="16">
        <w:r>
          <w:rPr>
            <w:rFonts w:ascii="Avenir Next" w:hAnsi="Avenir Next"/>
          </w:rPr>
          <w:commentReference w:id="0"/>
        </w:r>
      </w:del>
      <w:r>
        <w:rPr>
          <w:rFonts w:ascii="Avenir Next" w:hAnsi="Avenir Next"/>
        </w:rPr>
        <w:t>consists of Massachusetts General Laws (MGL) Chapter 40B, Sections 20 through 23, along with associated regulations issued and administered by the Massachusetts Department of Housing and Community Development (DHCD). It was enacted in 1969 to encourage the production of affordable housing in all communities of the Commonwealth.</w:t>
      </w:r>
    </w:p>
    <w:p>
      <w:pPr>
        <w:pStyle w:val="style0"/>
        <w:rPr>
          <w:rFonts w:ascii="Avenir Next" w:hAnsi="Avenir Next"/>
        </w:rPr>
      </w:pPr>
      <w:del w:author="cmartin" w:date="2014-06-09T12:13:00Z" w:id="18">
        <w:r>
          <w:rPr>
            <w:rFonts w:ascii="Avenir Next" w:hAnsi="Avenir Next"/>
          </w:rPr>
          <w:delText xml:space="preserve">Under Chapter 40B, </w:delText>
        </w:r>
      </w:del>
      <w:ins w:author="cmartin" w:date="2014-06-09T12:13:00Z" w:id="19">
        <w:r>
          <w:rPr>
            <w:rFonts w:ascii="Avenir Next" w:hAnsi="Avenir Next"/>
          </w:rPr>
          <w:t>I</w:t>
        </w:r>
      </w:ins>
      <w:del w:author="cmartin" w:date="2014-06-09T12:13:00Z" w:id="20">
        <w:r>
          <w:rPr>
            <w:rFonts w:ascii="Avenir Next" w:hAnsi="Avenir Next"/>
          </w:rPr>
          <w:delText>i</w:delText>
        </w:r>
      </w:del>
      <w:r>
        <w:rPr>
          <w:rFonts w:ascii="Avenir Next" w:hAnsi="Avenir Next"/>
        </w:rPr>
        <w:t xml:space="preserve">n </w:t>
      </w:r>
      <w:del w:author="cmartin" w:date="2014-06-09T12:22:00Z" w:id="22">
        <w:r>
          <w:rPr>
            <w:rFonts w:ascii="Avenir Next" w:hAnsi="Avenir Next"/>
          </w:rPr>
          <w:delText xml:space="preserve">any municipality </w:delText>
        </w:r>
      </w:del>
      <w:ins w:author="cmartin" w:date="2014-06-09T12:22:00Z" w:id="23">
        <w:r>
          <w:rPr>
            <w:rFonts w:ascii="Avenir Next" w:hAnsi="Avenir Next"/>
          </w:rPr>
          <w:t xml:space="preserve">municipalities </w:t>
        </w:r>
      </w:ins>
      <w:r>
        <w:rPr>
          <w:rFonts w:ascii="Avenir Next" w:hAnsi="Avenir Next"/>
        </w:rPr>
        <w:t xml:space="preserve">that </w:t>
      </w:r>
      <w:del w:author="cmartin" w:date="2014-06-09T12:22:00Z" w:id="25">
        <w:r>
          <w:rPr>
            <w:rFonts w:ascii="Avenir Next" w:hAnsi="Avenir Next"/>
          </w:rPr>
          <w:delText xml:space="preserve">has </w:delText>
        </w:r>
      </w:del>
      <w:r>
        <w:rPr>
          <w:rFonts w:ascii="Avenir Next" w:hAnsi="Avenir Next"/>
        </w:rPr>
        <w:t>fail</w:t>
      </w:r>
      <w:del w:author="cmartin" w:date="2014-06-09T12:22:00Z" w:id="27">
        <w:r>
          <w:rPr>
            <w:rFonts w:ascii="Avenir Next" w:hAnsi="Avenir Next"/>
          </w:rPr>
          <w:delText>ed</w:delText>
        </w:r>
      </w:del>
      <w:r>
        <w:rPr>
          <w:rFonts w:ascii="Avenir Next" w:hAnsi="Avenir Next"/>
        </w:rPr>
        <w:t xml:space="preserve"> to </w:t>
      </w:r>
      <w:del w:author="cmartin" w:date="2014-06-09T12:13:00Z" w:id="29">
        <w:r>
          <w:rPr>
            <w:rFonts w:ascii="Avenir Next" w:hAnsi="Avenir Next"/>
          </w:rPr>
          <w:delText>make “</w:delText>
        </w:r>
      </w:del>
      <w:commentRangeStart w:id="1"/>
      <w:r>
        <w:rPr>
          <w:rFonts w:ascii="Avenir Next" w:hAnsi="Avenir Next"/>
        </w:rPr>
      </w:r>
      <w:del w:author="cmartin" w:date="2014-06-09T12:13:00Z" w:id="31">
        <w:r>
          <w:rPr>
            <w:rFonts w:ascii="Avenir Next" w:hAnsi="Avenir Next"/>
          </w:rPr>
          <w:delText>adequate progress</w:delText>
        </w:r>
      </w:del>
      <w:commentRangeEnd w:id="1"/>
      <w:r>
        <w:rPr>
          <w:rFonts w:ascii="Avenir Next" w:hAnsi="Avenir Next"/>
        </w:rPr>
      </w:r>
      <w:del w:author="Unknown Author" w:date="2014-06-09T15:03:00Z" w:id="33">
        <w:r>
          <w:rPr>
            <w:rFonts w:ascii="Avenir Next" w:hAnsi="Avenir Next"/>
          </w:rPr>
          <w:commentReference w:id="1"/>
        </w:r>
      </w:del>
      <w:del w:author="cmartin" w:date="2014-06-09T12:13:00Z" w:id="34">
        <w:r>
          <w:rPr>
            <w:rFonts w:ascii="Avenir Next" w:hAnsi="Avenir Next"/>
          </w:rPr>
          <w:delText>” toward meeting its housing needs</w:delText>
        </w:r>
      </w:del>
      <w:ins w:author="cmartin" w:date="2014-06-09T12:13:00Z" w:id="35">
        <w:r>
          <w:rPr>
            <w:rFonts w:ascii="Avenir Next" w:hAnsi="Avenir Next"/>
          </w:rPr>
          <w:t xml:space="preserve">meet </w:t>
        </w:r>
      </w:ins>
      <w:ins w:author="cmartin" w:date="2014-06-09T12:23:00Z" w:id="36">
        <w:r>
          <w:rPr>
            <w:rFonts w:ascii="Avenir Next" w:hAnsi="Avenir Next"/>
          </w:rPr>
          <w:t>their</w:t>
        </w:r>
      </w:ins>
      <w:ins w:author="cmartin" w:date="2014-06-09T12:13:00Z" w:id="37">
        <w:r>
          <w:rPr>
            <w:rFonts w:ascii="Avenir Next" w:hAnsi="Avenir Next"/>
          </w:rPr>
          <w:t xml:space="preserve"> affordable housing obligations under Chapter 40B</w:t>
        </w:r>
      </w:ins>
      <w:r>
        <w:rPr>
          <w:rFonts w:ascii="Avenir Next" w:hAnsi="Avenir Next"/>
        </w:rPr>
        <w:t xml:space="preserve">, a developer can apply for a “Comprehensive Permit” that enables them to build more densely than </w:t>
      </w:r>
      <w:del w:author="cmartin" w:date="2014-06-09T12:23:00Z" w:id="39">
        <w:r>
          <w:rPr>
            <w:rFonts w:ascii="Avenir Next" w:hAnsi="Avenir Next"/>
          </w:rPr>
          <w:delText xml:space="preserve">the </w:delText>
        </w:r>
      </w:del>
      <w:r>
        <w:rPr>
          <w:rFonts w:ascii="Avenir Next" w:hAnsi="Avenir Next"/>
        </w:rPr>
        <w:t xml:space="preserve">municipal zoning bylaws would permit, if at least 25% </w:t>
      </w:r>
      <w:commentRangeStart w:id="2"/>
      <w:r>
        <w:rPr>
          <w:rFonts w:ascii="Avenir Next" w:hAnsi="Avenir Next"/>
        </w:rPr>
        <w:t xml:space="preserve">(or 20% in certain cases) </w:t>
      </w:r>
      <w:commentRangeEnd w:id="2"/>
      <w:r>
        <w:rPr>
          <w:rFonts w:ascii="Avenir Next" w:hAnsi="Avenir Next"/>
        </w:rPr>
      </w:r>
      <w:del w:author="Unknown Author" w:date="2014-06-09T15:03:00Z" w:id="43">
        <w:r>
          <w:rPr>
            <w:rFonts w:ascii="Avenir Next" w:hAnsi="Avenir Next"/>
          </w:rPr>
          <w:commentReference w:id="2"/>
        </w:r>
      </w:del>
      <w:r>
        <w:rPr>
          <w:rFonts w:ascii="Avenir Next" w:hAnsi="Avenir Next"/>
        </w:rPr>
        <w:t xml:space="preserve">of the new units are affordable. </w:t>
      </w:r>
      <w:ins w:author="cmartin" w:date="2014-06-04T13:35:00Z" w:id="45">
        <w:r>
          <w:rPr>
            <w:rFonts w:ascii="Avenir Next" w:hAnsi="Avenir Next"/>
          </w:rPr>
          <w:t xml:space="preserve"> </w:t>
        </w:r>
      </w:ins>
      <w:r>
        <w:rPr>
          <w:rFonts w:ascii="Avenir Next" w:hAnsi="Avenir Next"/>
        </w:rPr>
        <w:t>For purposes of comprehensive permitting, “adequate progress” means that more than 10% of the year-round housing units qualify as affordable in the Subsidized Housing Inventory (see more detail below), or that the municipality has an approved housing production plan and has met annual or biennial housing production targets. In some cases, as-of-right zoning for multifamily or higher-density housing can help demonstrate “adequate progress.”  Despite its controversy, Massachusetts voters rejected an initiative petition to repeal the law in November of 2010.</w:t>
      </w:r>
    </w:p>
    <w:p>
      <w:pPr>
        <w:pStyle w:val="style0"/>
        <w:rPr>
          <w:rFonts w:ascii="Avenir Next" w:hAnsi="Avenir Next"/>
        </w:rPr>
      </w:pPr>
      <w:r>
        <w:rPr>
          <w:rFonts w:ascii="Avenir Next" w:hAnsi="Avenir Next"/>
        </w:rPr>
        <w:t xml:space="preserve">For the purposes of this statute, affordable housing is defined as a unit that could be purchased or rented by a household making up to 80% of the area median income (AMI). </w:t>
      </w:r>
    </w:p>
    <w:p>
      <w:pPr>
        <w:pStyle w:val="style1"/>
        <w:rPr>
          <w:rFonts w:ascii="Avenir Next" w:hAnsi="Avenir Next"/>
        </w:rPr>
      </w:pPr>
      <w:ins w:author="Unknown Author" w:date="2014-06-09T15:06:00Z" w:id="48">
        <w:r>
          <w:rPr>
            <w:rFonts w:ascii="Avenir Next" w:hAnsi="Avenir Next"/>
          </w:rPr>
          <w:t xml:space="preserve">Topic Area: </w:t>
        </w:r>
      </w:ins>
      <w:r>
        <w:rPr>
          <w:rFonts w:ascii="Avenir Next" w:hAnsi="Avenir Next"/>
        </w:rPr>
        <w:t>Demographics</w:t>
      </w:r>
    </w:p>
    <w:p>
      <w:pPr>
        <w:pStyle w:val="style0"/>
        <w:rPr>
          <w:rFonts w:ascii="Avenir Next" w:hAnsi="Avenir Next"/>
        </w:rPr>
      </w:pPr>
      <w:bookmarkStart w:id="2" w:name="demographics"/>
      <w:bookmarkEnd w:id="2"/>
      <w:r>
        <w:rPr>
          <w:rFonts w:ascii="Avenir Next" w:hAnsi="Avenir Next"/>
        </w:rPr>
        <w:t xml:space="preserve">Housing needs and preferences change over time. Young professionals and seniors on fixed incomes may prefer smaller, more affordable units that are easier to maintain. Families with children may want larger units with more bedrooms and open space.  This section describes the population of </w:t>
      </w:r>
      <w:del w:author="Unknown Author" w:date="2014-06-09T15:03:00Z" w:id="51">
        <w:r>
          <w:rPr>
            <w:rFonts w:ascii="Avenir Next" w:hAnsi="Avenir Next"/>
          </w:rPr>
          <w:delText>cityFoo</w:delText>
        </w:r>
      </w:del>
      <w:ins w:author="Unknown Author" w:date="2014-06-09T15:03:00Z" w:id="52">
        <w:r>
          <w:rPr>
            <w:rFonts w:ascii="Avenir Next" w:cs="Cambria" w:eastAsia="Arial Unicode MS" w:hAnsi="Avenir Next"/>
            <w:color w:val="00000A"/>
            <w:sz w:val="24"/>
            <w:szCs w:val="24"/>
            <w:lang w:bidi="ar-SA" w:eastAsia="en-US" w:val="en-US"/>
          </w:rPr>
          <w:t>#{@report.muni}</w:t>
        </w:r>
      </w:ins>
      <w:r>
        <w:rPr>
          <w:rFonts w:ascii="Avenir Next" w:hAnsi="Avenir Next"/>
        </w:rPr>
        <w:t xml:space="preserve"> by age and how it is projected to change.</w:t>
      </w:r>
    </w:p>
    <w:p>
      <w:pPr>
        <w:pStyle w:val="style0"/>
        <w:rPr>
          <w:rFonts w:ascii="Avenir Next" w:hAnsi="Avenir Next"/>
        </w:rPr>
      </w:pPr>
      <w:del w:author="Unknown Author" w:date="2014-06-09T15:03:00Z" w:id="54">
        <w:r>
          <w:rPr>
            <w:rFonts w:ascii="Avenir Next" w:hAnsi="Avenir Next"/>
          </w:rPr>
          <w:delText>cityFoo</w:delText>
        </w:r>
      </w:del>
      <w:ins w:author="Unknown Author" w:date="2014-06-09T15:03:00Z" w:id="55">
        <w:r>
          <w:rPr>
            <w:rFonts w:ascii="Avenir Next" w:cs="Cambria" w:eastAsia="Arial Unicode MS" w:hAnsi="Avenir Next"/>
            <w:color w:val="00000A"/>
            <w:sz w:val="24"/>
            <w:szCs w:val="24"/>
            <w:lang w:bidi="ar-SA" w:eastAsia="en-US" w:val="en-US"/>
          </w:rPr>
          <w:t>#{@report.muni}</w:t>
        </w:r>
      </w:ins>
      <w:r>
        <w:rPr>
          <w:rFonts w:ascii="Avenir Next" w:hAnsi="Avenir Next"/>
        </w:rPr>
        <w:t xml:space="preserve"> is home to</w:t>
      </w:r>
      <w:del w:author="Unknown Author" w:date="2014-06-09T15:09:00Z" w:id="57">
        <w:r>
          <w:rPr>
            <w:rFonts w:ascii="Avenir Next" w:hAnsi="Avenir Next"/>
          </w:rPr>
          <w:delText xml:space="preserve"> </w:delText>
        </w:r>
      </w:del>
      <w:ins w:author="Unknown Author" w:date="2014-06-09T15:09:00Z" w:id="58">
        <w:r>
          <w:rPr>
            <w:rFonts w:ascii="Avenir Next" w:hAnsi="Avenir Next"/>
          </w:rPr>
          <w:t xml:space="preserve"> </w:t>
        </w:r>
      </w:ins>
    </w:p>
    <w:p>
      <w:pPr>
        <w:pStyle w:val="style0"/>
        <w:rPr>
          <w:rFonts w:ascii="Avenir Next" w:hAnsi="Avenir Next"/>
        </w:rPr>
      </w:pPr>
      <w:ins w:author="Unknown Author" w:date="2014-06-09T15:09:00Z" w:id="59">
        <w:r>
          <w:rPr>
            <w:rFonts w:ascii="Avenir Next" w:hAnsi="Avenir Next"/>
          </w:rPr>
          <w:t xml:space="preserve">= </w:t>
        </w:r>
      </w:ins>
      <w:ins w:author="cmartin" w:date="2014-06-04T13:40:00Z" w:id="60">
        <w:r>
          <w:rPr>
            <w:rFonts w:ascii="Avenir Next" w:hAnsi="Avenir Next"/>
          </w:rPr>
          <w:t xml:space="preserve">pop_2010 </w:t>
        </w:r>
      </w:ins>
      <w:del w:author="cmartin" w:date="2014-06-04T13:40:00Z" w:id="61">
        <w:r>
          <w:rPr>
            <w:rFonts w:ascii="Avenir Next" w:hAnsi="Avenir Next"/>
          </w:rPr>
          <w:delText xml:space="preserve">pop_2010 </w:delText>
        </w:r>
      </w:del>
      <w:r>
        <w:rPr>
          <w:rFonts w:ascii="Avenir Next" w:hAnsi="Avenir Next"/>
        </w:rPr>
        <w:t>residents</w:t>
      </w:r>
    </w:p>
    <w:p>
      <w:pPr>
        <w:pStyle w:val="style0"/>
        <w:rPr>
          <w:rFonts w:ascii="Avenir Next" w:hAnsi="Avenir Next"/>
        </w:rPr>
      </w:pPr>
      <w:r>
        <w:rPr>
          <w:rFonts w:ascii="Avenir Next" w:hAnsi="Avenir Next"/>
        </w:rPr>
        <w:t xml:space="preserve">, [an increase/a decrease] of </w:t>
      </w:r>
      <w:ins w:author="cmartin" w:date="2014-06-04T13:41:00Z" w:id="64">
        <w:r>
          <w:rPr>
            <w:rFonts w:ascii="Avenir Next" w:hAnsi="Avenir Next"/>
          </w:rPr>
          <w:t>100*</w:t>
        </w:r>
      </w:ins>
      <w:del w:author="cmartin" w:date="2014-06-04T13:41:00Z" w:id="65">
        <w:r>
          <w:rPr>
            <w:rFonts w:ascii="Avenir Next" w:hAnsi="Avenir Next"/>
          </w:rPr>
          <w:delText>p_ch00_10</w:delText>
        </w:r>
      </w:del>
      <w:ins w:author="cmartin" w:date="2014-06-04T13:41:00Z" w:id="66">
        <w:r>
          <w:rPr>
            <w:rFonts w:ascii="Avenir Next" w:hAnsi="Avenir Next"/>
          </w:rPr>
          <w:t>(pop_2010 - pop_2000)/ pop_20</w:t>
        </w:r>
      </w:ins>
      <w:r>
        <w:rPr>
          <w:rFonts w:ascii="Avenir Next" w:hAnsi="Avenir Next"/>
        </w:rPr>
        <w:t>0</w:t>
      </w:r>
      <w:ins w:author="cmartin" w:date="2014-06-04T13:41:00Z" w:id="68">
        <w:r>
          <w:rPr>
            <w:rFonts w:ascii="Avenir Next" w:hAnsi="Avenir Next"/>
          </w:rPr>
          <w:t>0</w:t>
        </w:r>
      </w:ins>
      <w:r>
        <w:rPr>
          <w:rFonts w:ascii="Avenir Next" w:hAnsi="Avenir Next"/>
        </w:rPr>
        <w:t>%</w:t>
      </w:r>
    </w:p>
    <w:p>
      <w:pPr>
        <w:pStyle w:val="style0"/>
        <w:rPr>
          <w:rFonts w:ascii="Avenir Next" w:hAnsi="Avenir Next"/>
        </w:rPr>
      </w:pPr>
      <w:del w:author="Unknown Author" w:date="2014-06-09T15:10:00Z" w:id="70">
        <w:r>
          <w:rPr>
            <w:rFonts w:ascii="Avenir Next" w:hAnsi="Avenir Next"/>
          </w:rPr>
          <w:delText xml:space="preserve"> </w:delText>
        </w:r>
      </w:del>
      <w:ins w:author="Unknown Author" w:date="2014-06-09T15:10:00Z" w:id="71">
        <w:r>
          <w:rPr>
            <w:rFonts w:ascii="Avenir Next" w:hAnsi="Avenir Next"/>
          </w:rPr>
          <w:t xml:space="preserve"> </w:t>
        </w:r>
      </w:ins>
      <w:r>
        <w:rPr>
          <w:rFonts w:ascii="Avenir Next" w:hAnsi="Avenir Next"/>
        </w:rPr>
        <w:t xml:space="preserve">from 2000. </w:t>
      </w:r>
      <w:del w:author="cmartin" w:date="2014-06-04T13:41:00Z" w:id="73">
        <w:r>
          <w:rPr>
            <w:rFonts w:ascii="Avenir Next" w:hAnsi="Avenir Next"/>
          </w:rPr>
          <w:delText xml:space="preserve">The median age is [median age 2010], [XX] years [younger/older] than the median age for </w:delText>
        </w:r>
      </w:del>
      <w:del w:author="cmartin" w:date="2014-06-03T12:23:00Z" w:id="74">
        <w:r>
          <w:rPr>
            <w:rFonts w:ascii="Avenir Next" w:hAnsi="Avenir Next"/>
          </w:rPr>
          <w:delText xml:space="preserve">[state or region].  </w:delText>
        </w:r>
      </w:del>
      <w:r>
        <w:rPr>
          <w:rFonts w:ascii="Avenir Next" w:hAnsi="Avenir Next"/>
        </w:rPr>
        <w:t>In 2010, working-age adults between 20 and 65</w:t>
      </w:r>
      <w:ins w:author="cmartin" w:date="2014-06-03T12:23:00Z" w:id="76">
        <w:r>
          <w:rPr>
            <w:rFonts w:ascii="Avenir Next" w:hAnsi="Avenir Next"/>
          </w:rPr>
          <w:t xml:space="preserve"> </w:t>
        </w:r>
      </w:ins>
      <w:r>
        <w:rPr>
          <w:rFonts w:ascii="Avenir Next" w:hAnsi="Avenir Next"/>
        </w:rPr>
        <w:t xml:space="preserve">made up </w:t>
      </w:r>
    </w:p>
    <w:p>
      <w:pPr>
        <w:pStyle w:val="style0"/>
        <w:rPr>
          <w:rFonts w:ascii="Avenir Next" w:hAnsi="Avenir Next"/>
        </w:rPr>
      </w:pPr>
      <w:r>
        <w:rPr>
          <w:rFonts w:ascii="Avenir Next" w:hAnsi="Avenir Next"/>
        </w:rPr>
        <w:t>100*(pop10_2034 + pop10_3564)/</w:t>
      </w:r>
      <w:ins w:author="cmartin" w:date="2014-06-04T13:41:00Z" w:id="79">
        <w:r>
          <w:rPr>
            <w:rFonts w:ascii="Avenir Next" w:hAnsi="Avenir Next"/>
          </w:rPr>
          <w:t>pop_2010</w:t>
        </w:r>
      </w:ins>
      <w:r>
        <w:rPr>
          <w:rFonts w:ascii="Avenir Next" w:hAnsi="Avenir Next"/>
        </w:rPr>
        <w:t>%</w:t>
      </w:r>
    </w:p>
    <w:p>
      <w:pPr>
        <w:pStyle w:val="style0"/>
        <w:rPr>
          <w:rFonts w:ascii="Avenir Next" w:hAnsi="Avenir Next"/>
        </w:rPr>
      </w:pPr>
      <w:del w:author="Unknown Author" w:date="2014-06-09T15:10:00Z" w:id="81">
        <w:r>
          <w:rPr>
            <w:rFonts w:ascii="Avenir Next" w:hAnsi="Avenir Next"/>
          </w:rPr>
          <w:delText xml:space="preserve"> </w:delText>
        </w:r>
      </w:del>
      <w:ins w:author="Unknown Author" w:date="2014-06-09T15:10:00Z" w:id="82">
        <w:r>
          <w:rPr>
            <w:rFonts w:ascii="Avenir Next" w:hAnsi="Avenir Next"/>
          </w:rPr>
          <w:t xml:space="preserve"> </w:t>
        </w:r>
      </w:ins>
      <w:r>
        <w:rPr>
          <w:rFonts w:ascii="Avenir Next" w:hAnsi="Avenir Next"/>
        </w:rPr>
        <w:t>of the population and</w:t>
      </w:r>
      <w:ins w:author="cmartin" w:date="2014-06-04T13:50:00Z" w:id="84">
        <w:r>
          <w:rPr>
            <w:rFonts w:ascii="Avenir Next" w:hAnsi="Avenir Next"/>
          </w:rPr>
          <w:t xml:space="preserve"> </w:t>
        </w:r>
      </w:ins>
      <w:del w:author="cmartin" w:date="2014-06-04T13:50:00Z" w:id="85">
        <w:r>
          <w:rPr>
            <w:rFonts w:ascii="Avenir Next" w:hAnsi="Avenir Next"/>
          </w:rPr>
          <w:delText xml:space="preserve">, </w:delText>
        </w:r>
      </w:del>
      <w:r>
        <w:rPr>
          <w:rFonts w:ascii="Avenir Next" w:hAnsi="Avenir Next"/>
        </w:rPr>
        <w:t>seniors over 65 made up</w:t>
      </w:r>
    </w:p>
    <w:p>
      <w:pPr>
        <w:pStyle w:val="style0"/>
        <w:rPr>
          <w:rFonts w:ascii="Avenir Next" w:hAnsi="Avenir Next"/>
        </w:rPr>
      </w:pPr>
      <w:del w:author="Unknown Author" w:date="2014-06-09T15:10:00Z" w:id="87">
        <w:r>
          <w:rPr>
            <w:rFonts w:ascii="Avenir Next" w:hAnsi="Avenir Next"/>
          </w:rPr>
          <w:delText xml:space="preserve"> </w:delText>
        </w:r>
      </w:del>
      <w:r>
        <w:rPr>
          <w:rFonts w:ascii="Avenir Next" w:hAnsi="Avenir Next"/>
        </w:rPr>
        <w:t xml:space="preserve">100*pop10_65p/ </w:t>
      </w:r>
      <w:ins w:author="cmartin" w:date="2014-06-04T13:41:00Z" w:id="89">
        <w:r>
          <w:rPr>
            <w:rFonts w:ascii="Avenir Next" w:hAnsi="Avenir Next"/>
          </w:rPr>
          <w:t>pop_2010</w:t>
        </w:r>
      </w:ins>
      <w:r>
        <w:rPr>
          <w:rFonts w:ascii="Avenir Next" w:hAnsi="Avenir Next"/>
        </w:rPr>
        <w:t>%</w:t>
      </w:r>
    </w:p>
    <w:p>
      <w:pPr>
        <w:pStyle w:val="style0"/>
        <w:rPr>
          <w:rFonts w:ascii="Avenir Next" w:hAnsi="Avenir Next"/>
        </w:rPr>
      </w:pPr>
      <w:r>
        <w:rPr>
          <w:rFonts w:ascii="Avenir Next" w:hAnsi="Avenir Next"/>
        </w:rPr>
        <w:t xml:space="preserve">.  School-age children, between 5 and 19, make up </w:t>
      </w:r>
    </w:p>
    <w:p>
      <w:pPr>
        <w:pStyle w:val="style0"/>
        <w:rPr>
          <w:rFonts w:ascii="Avenir Next" w:hAnsi="Avenir Next"/>
        </w:rPr>
      </w:pPr>
      <w:r>
        <w:rPr>
          <w:rFonts w:ascii="Avenir Next" w:hAnsi="Avenir Next"/>
        </w:rPr>
        <w:t>100*pop10_5_19/</w:t>
      </w:r>
      <w:ins w:author="cmartin" w:date="2014-06-04T13:41:00Z" w:id="93">
        <w:r>
          <w:rPr>
            <w:rFonts w:ascii="Avenir Next" w:hAnsi="Avenir Next"/>
          </w:rPr>
          <w:t>pop_2010</w:t>
        </w:r>
      </w:ins>
      <w:r>
        <w:rPr>
          <w:rFonts w:ascii="Avenir Next" w:hAnsi="Avenir Next"/>
        </w:rPr>
        <w:t>%</w:t>
      </w:r>
    </w:p>
    <w:p>
      <w:pPr>
        <w:pStyle w:val="style0"/>
        <w:rPr>
          <w:rFonts w:ascii="Avenir Next" w:hAnsi="Avenir Next"/>
        </w:rPr>
      </w:pPr>
      <w:r>
        <w:rPr>
          <w:rFonts w:ascii="Avenir Next" w:hAnsi="Avenir Next"/>
        </w:rPr>
        <w:t xml:space="preserve"> </w:t>
      </w:r>
      <w:r>
        <w:rPr>
          <w:rFonts w:ascii="Avenir Next" w:hAnsi="Avenir Next"/>
        </w:rPr>
        <w:t xml:space="preserve">of current residents. </w:t>
      </w:r>
      <w:commentRangeStart w:id="3"/>
      <w:r>
        <w:rPr>
          <w:rFonts w:ascii="Avenir Next" w:hAnsi="Avenir Next"/>
        </w:rPr>
        <w:t>Between 2005</w:t>
      </w:r>
      <w:del w:author="cmartin" w:date="2014-06-04T13:51:00Z" w:id="98">
        <w:r>
          <w:rPr>
            <w:rFonts w:ascii="Avenir Next" w:hAnsi="Avenir Next"/>
          </w:rPr>
          <w:delText>0</w:delText>
        </w:r>
      </w:del>
      <w:r>
        <w:rPr>
          <w:rFonts w:ascii="Avenir Next" w:hAnsi="Avenir Next"/>
        </w:rPr>
        <w:t xml:space="preserve"> and 2012, school enrollment </w:t>
      </w:r>
    </w:p>
    <w:p>
      <w:pPr>
        <w:pStyle w:val="style0"/>
        <w:rPr>
          <w:rFonts w:ascii="Avenir Next" w:hAnsi="Avenir Next"/>
        </w:rPr>
      </w:pPr>
      <w:r>
        <w:rPr>
          <w:rFonts w:ascii="Avenir Next" w:hAnsi="Avenir Next"/>
        </w:rPr>
        <w:t xml:space="preserve">[increased/decreased] </w:t>
      </w:r>
      <w:del w:author="cmartin" w:date="2014-06-04T13:47:00Z" w:id="101">
        <w:r>
          <w:rPr>
            <w:rFonts w:ascii="Avenir Next" w:hAnsi="Avenir Next"/>
          </w:rPr>
          <w:delText xml:space="preserve">from </w:delText>
        </w:r>
      </w:del>
      <w:ins w:author="cmartin" w:date="2014-06-04T13:47:00Z" w:id="102">
        <w:r>
          <w:rPr>
            <w:rFonts w:ascii="Avenir Next" w:hAnsi="Avenir Next"/>
          </w:rPr>
          <w:t>by enroll_chg</w:t>
        </w:r>
      </w:ins>
    </w:p>
    <w:p>
      <w:pPr>
        <w:pStyle w:val="style0"/>
        <w:rPr>
          <w:rFonts w:ascii="Avenir Next" w:hAnsi="Avenir Next"/>
        </w:rPr>
      </w:pPr>
      <w:del w:author="cmartin" w:date="2014-06-04T13:47:00Z" w:id="103">
        <w:r>
          <w:rPr>
            <w:rFonts w:ascii="Avenir Next" w:hAnsi="Avenir Next"/>
          </w:rPr>
          <w:delText>enrolled to enrolled</w:delText>
        </w:r>
      </w:del>
      <w:r>
        <w:rPr>
          <w:rFonts w:ascii="Avenir Next" w:hAnsi="Avenir Next"/>
        </w:rPr>
        <w:t>, or</w:t>
      </w:r>
      <w:ins w:author="cmartin" w:date="2014-06-04T13:53:00Z" w:id="105">
        <w:r>
          <w:rPr>
            <w:rFonts w:ascii="Avenir Next" w:hAnsi="Avenir Next"/>
          </w:rPr>
          <w:t xml:space="preserve"> </w:t>
        </w:r>
      </w:ins>
    </w:p>
    <w:p>
      <w:pPr>
        <w:pStyle w:val="style0"/>
        <w:rPr>
          <w:rFonts w:ascii="Avenir Next" w:hAnsi="Avenir Next"/>
        </w:rPr>
      </w:pPr>
      <w:ins w:author="cmartin" w:date="2014-06-04T13:53:00Z" w:id="106">
        <w:r>
          <w:rPr>
            <w:rFonts w:ascii="Avenir Next" w:hAnsi="Avenir Next"/>
          </w:rPr>
          <w:t>100* enroll_chg/</w:t>
        </w:r>
      </w:ins>
      <w:r>
        <w:rPr>
          <w:rFonts w:ascii="Avenir Next" w:hAnsi="Avenir Next"/>
        </w:rPr>
        <w:t xml:space="preserve"> </w:t>
      </w:r>
      <w:ins w:author="cmartin" w:date="2014-06-04T13:53:00Z" w:id="108">
        <w:r>
          <w:rPr>
            <w:rFonts w:ascii="Avenir Next" w:hAnsi="Avenir Next"/>
          </w:rPr>
          <w:t>(</w:t>
        </w:r>
      </w:ins>
      <w:ins w:author="cmartin" w:date="2014-06-04T13:52:00Z" w:id="109">
        <w:r>
          <w:rPr>
            <w:rFonts w:ascii="Avenir Next" w:hAnsi="Avenir Next"/>
          </w:rPr>
          <w:t>enrolled  - enroll_chg)</w:t>
        </w:r>
      </w:ins>
      <w:del w:author="cmartin" w:date="2014-06-04T13:52:00Z" w:id="110">
        <w:r>
          <w:rPr>
            <w:rFonts w:ascii="Avenir Next" w:hAnsi="Avenir Next"/>
          </w:rPr>
          <w:delText>foo</w:delText>
        </w:r>
      </w:del>
      <w:r>
        <w:rPr>
          <w:rFonts w:ascii="Avenir Next" w:hAnsi="Avenir Next"/>
        </w:rPr>
        <w:t>%</w:t>
      </w:r>
    </w:p>
    <w:p>
      <w:pPr>
        <w:pStyle w:val="style0"/>
        <w:rPr>
          <w:rFonts w:ascii="Avenir Next" w:hAnsi="Avenir Next"/>
        </w:rPr>
      </w:pPr>
      <w:r>
        <w:rPr>
          <w:rFonts w:ascii="Avenir Next" w:hAnsi="Avenir Next"/>
        </w:rPr>
        <w:t>.</w:t>
      </w:r>
      <w:commentRangeEnd w:id="3"/>
      <w:r>
        <w:rPr>
          <w:rFonts w:ascii="Avenir Next" w:hAnsi="Avenir Next"/>
        </w:rPr>
      </w:r>
      <w:del w:author="Unknown Author" w:date="2014-06-09T15:03:00Z" w:id="114">
        <w:r>
          <w:rPr>
            <w:rFonts w:ascii="Avenir Next" w:hAnsi="Avenir Next"/>
          </w:rPr>
          <w:commentReference w:id="3"/>
        </w:r>
      </w:del>
    </w:p>
    <w:p>
      <w:pPr>
        <w:pStyle w:val="style0"/>
        <w:rPr>
          <w:rFonts w:ascii="Avenir Next" w:hAnsi="Avenir Next"/>
        </w:rPr>
      </w:pPr>
      <w:ins w:author="Unknown Author" w:date="2014-06-09T15:10:00Z" w:id="115">
        <w:r>
          <w:rPr>
            <w:rFonts w:ascii="Avenir Next" w:hAnsi="Avenir Next"/>
          </w:rPr>
        </w:r>
      </w:ins>
    </w:p>
    <w:p>
      <w:pPr>
        <w:pStyle w:val="style0"/>
        <w:rPr>
          <w:rFonts w:ascii="Avenir Next" w:hAnsi="Avenir Next"/>
        </w:rPr>
      </w:pPr>
      <w:r>
        <w:rPr>
          <w:rFonts w:ascii="Avenir Next" w:hAnsi="Avenir Next"/>
        </w:rPr>
      </w:r>
    </w:p>
    <w:p>
      <w:pPr>
        <w:pStyle w:val="style0"/>
        <w:rPr>
          <w:rFonts w:ascii="Avenir Next" w:hAnsi="Avenir Next"/>
        </w:rPr>
      </w:pPr>
      <w:commentRangeStart w:id="4"/>
      <w:r>
        <w:rPr>
          <w:rFonts w:ascii="Avenir Next" w:hAnsi="Avenir Next"/>
        </w:rPr>
      </w:r>
      <w:del w:author="cmartin" w:date="2014-06-04T13:54:00Z" w:id="118">
        <w:r>
          <w:rPr>
            <w:rFonts w:ascii="Avenir Next" w:hAnsi="Avenir Next"/>
          </w:rPr>
          <w:delText xml:space="preserve">Recent patterns of migration have contributed to the current population structure of cityFoo. cityFoo experienced net [in/out] migration of [net migration total 2000 – 2010] between 2000 and 2010, an [increase/decrease] of  [X] people annually as compared to the 1990s. [Chart x] shows that cityFoo experiences net [inmigration / outmigration] of [net migration total &lt;15] people under the age of 15, net [inmigration / outmigration] of [net migration total 15 - 30] people between the ages of 15 and 29, and net [inmigration/outmigration] of [net migration total] people between the ages of 30 and 49.  </w:delText>
        </w:r>
      </w:del>
      <w:commentRangeEnd w:id="4"/>
      <w:r>
        <w:rPr>
          <w:rFonts w:ascii="Avenir Next" w:hAnsi="Avenir Next"/>
        </w:rPr>
      </w:r>
      <w:del w:author="Unknown Author" w:date="2014-06-09T15:03:00Z" w:id="120">
        <w:r>
          <w:rPr>
            <w:rFonts w:ascii="Avenir Next" w:hAnsi="Avenir Next"/>
          </w:rPr>
          <w:commentReference w:id="4"/>
        </w:r>
      </w:del>
    </w:p>
    <w:p>
      <w:pPr>
        <w:pStyle w:val="style0"/>
        <w:rPr>
          <w:rFonts w:ascii="Avenir Next" w:hAnsi="Avenir Next"/>
        </w:rPr>
      </w:pPr>
      <w:r>
        <w:rPr>
          <w:rFonts w:ascii="Avenir Next" w:hAnsi="Avenir Next"/>
        </w:rPr>
        <w:t>MAPC, the regional planning agency for Metro Boston, has prepared population and housing demand projections for 164 cities and towns in Metropolitan Boston</w:t>
      </w:r>
      <w:r>
        <w:rPr>
          <w:rStyle w:val="style34"/>
          <w:rFonts w:ascii="Avenir Next" w:hAnsi="Avenir Next"/>
        </w:rPr>
        <w:footnoteReference w:id="2"/>
      </w:r>
      <w:r>
        <w:rPr>
          <w:rFonts w:ascii="Avenir Next" w:hAnsi="Avenir Next"/>
        </w:rPr>
        <w:t>, and the University of Massachusetts Donahue Institute has prepared population projections for the balance of the cities and towns in the state</w:t>
      </w:r>
      <w:r>
        <w:rPr>
          <w:rStyle w:val="style34"/>
          <w:rFonts w:ascii="Avenir Next" w:hAnsi="Avenir Next"/>
        </w:rPr>
        <w:footnoteReference w:id="3"/>
      </w:r>
      <w:r>
        <w:rPr>
          <w:rFonts w:ascii="Avenir Next" w:hAnsi="Avenir Next"/>
        </w:rPr>
        <w:t>. Both sets of projections include two scenarios: a Status Quo scenario based on continuation of recent trends in migration, housing occupancy, and location preference; and a Stronger Region scenario that assumes increased attraction and retention of young workers and slightly increased preference for urban settings and multifamily housing. The Status Quo scenario found that continuation of current levels of in-migration and housing production would lead to a declining workforce and economic stagnation over the coming decades.  In contrast, the increased migration rates of the Stronger Region scenario could fuel job growth of 7% between 2010 and 2040.  As a result, MAPC recommends use of the Stronger Region scenario as the basis for housing planning, and the assumptions and outputs of that work have been incorporated into the Commonwealth’s multifamily housing production goal of 10,000 multifamily units per year, and have been adopted by the Massachusetts Department of Transportation as the basis for long-term transportation planning.</w:t>
      </w:r>
    </w:p>
    <w:p>
      <w:pPr>
        <w:pStyle w:val="style0"/>
        <w:rPr>
          <w:rFonts w:ascii="Avenir Next" w:hAnsi="Avenir Next"/>
        </w:rPr>
      </w:pPr>
      <w:r>
        <w:rPr>
          <w:rFonts w:ascii="Avenir Next" w:hAnsi="Avenir Next"/>
        </w:rPr>
        <w:t>With the aging of the Baby Boomers, Massachusetts is growing older. The senior population is expected to grow</w:t>
      </w:r>
    </w:p>
    <w:p>
      <w:pPr>
        <w:pStyle w:val="style0"/>
        <w:rPr>
          <w:rFonts w:ascii="Avenir Next" w:hAnsi="Avenir Next"/>
        </w:rPr>
      </w:pPr>
      <w:del w:author="Unknown Author" w:date="2014-06-09T15:10:00Z" w:id="127">
        <w:r>
          <w:rPr>
            <w:rFonts w:ascii="Avenir Next" w:hAnsi="Avenir Next"/>
          </w:rPr>
          <w:delText xml:space="preserve"> </w:delText>
        </w:r>
      </w:del>
      <w:ins w:author="cmartin" w:date="2014-06-04T13:56:00Z" w:id="128">
        <w:r>
          <w:rPr>
            <w:rFonts w:ascii="Avenir Next" w:hAnsi="Avenir Next"/>
          </w:rPr>
          <w:t>100*(</w:t>
        </w:r>
      </w:ins>
      <w:ins w:author="cmartin" w:date="2014-06-04T13:55:00Z" w:id="129">
        <w:r>
          <w:rPr>
            <w:rFonts w:ascii="Avenir Next" w:hAnsi="Avenir Next"/>
          </w:rPr>
          <w:t xml:space="preserve">pop30_65p - </w:t>
        </w:r>
      </w:ins>
      <w:ins w:author="cmartin" w:date="2014-06-04T13:56:00Z" w:id="130">
        <w:r>
          <w:rPr>
            <w:rFonts w:ascii="Avenir Next" w:hAnsi="Avenir Next"/>
          </w:rPr>
          <w:t>pop10_65p)/ pop10_65p</w:t>
        </w:r>
      </w:ins>
    </w:p>
    <w:p>
      <w:pPr>
        <w:pStyle w:val="style0"/>
        <w:rPr>
          <w:rFonts w:ascii="Avenir Next" w:hAnsi="Avenir Next"/>
        </w:rPr>
      </w:pPr>
      <w:del w:author="Unknown Author" w:date="2014-06-09T15:11:00Z" w:id="131">
        <w:r>
          <w:rPr>
            <w:rFonts w:ascii="Avenir Next" w:hAnsi="Avenir Next"/>
          </w:rPr>
          <w:delText xml:space="preserve"> </w:delText>
        </w:r>
      </w:del>
      <w:del w:author="cmartin" w:date="2014-06-04T13:55:00Z" w:id="132">
        <w:r>
          <w:rPr>
            <w:rFonts w:ascii="Avenir Next" w:hAnsi="Avenir Next"/>
          </w:rPr>
          <w:delText>[X%]</w:delText>
        </w:r>
      </w:del>
      <w:del w:author="Unknown Author" w:date="2014-06-09T15:11:00Z" w:id="133">
        <w:r>
          <w:rPr>
            <w:rFonts w:ascii="Avenir Next" w:hAnsi="Avenir Next"/>
          </w:rPr>
          <w:delText xml:space="preserve"> </w:delText>
        </w:r>
      </w:del>
      <w:ins w:author="Unknown Author" w:date="2014-06-09T15:11:00Z" w:id="134">
        <w:r>
          <w:rPr>
            <w:rFonts w:ascii="Avenir Next" w:hAnsi="Avenir Next"/>
          </w:rPr>
          <w:t xml:space="preserve">% </w:t>
        </w:r>
      </w:ins>
      <w:r>
        <w:rPr>
          <w:rFonts w:ascii="Avenir Next" w:hAnsi="Avenir Next"/>
        </w:rPr>
        <w:t xml:space="preserve">over the next two decades, an increase mirrored in almost every city and town. </w:t>
      </w:r>
    </w:p>
    <w:p>
      <w:pPr>
        <w:pStyle w:val="style0"/>
        <w:rPr>
          <w:rFonts w:ascii="Avenir Next" w:hAnsi="Avenir Next"/>
        </w:rPr>
      </w:pPr>
      <w:r>
        <w:rPr>
          <w:rFonts w:ascii="Avenir Next" w:hAnsi="Avenir Next"/>
        </w:rPr>
        <w:t xml:space="preserve">In </w:t>
      </w:r>
      <w:del w:author="Unknown Author" w:date="2014-06-09T15:03:00Z" w:id="137">
        <w:r>
          <w:rPr>
            <w:rFonts w:ascii="Avenir Next" w:hAnsi="Avenir Next"/>
          </w:rPr>
          <w:delText>cityFoo</w:delText>
        </w:r>
      </w:del>
      <w:ins w:author="Unknown Author" w:date="2014-06-09T15:03:00Z" w:id="138">
        <w:r>
          <w:rPr>
            <w:rFonts w:ascii="Avenir Next" w:cs="Cambria" w:eastAsia="Arial Unicode MS" w:hAnsi="Avenir Next"/>
            <w:color w:val="00000A"/>
            <w:sz w:val="24"/>
            <w:szCs w:val="24"/>
            <w:lang w:bidi="ar-SA" w:eastAsia="en-US" w:val="en-US"/>
          </w:rPr>
          <w:t>#{@report.muni}</w:t>
        </w:r>
      </w:ins>
      <w:r>
        <w:rPr>
          <w:rFonts w:ascii="Avenir Next" w:hAnsi="Avenir Next"/>
        </w:rPr>
        <w:t xml:space="preserve">, the aging of the Baby Boomers will cause the senior population </w:t>
      </w:r>
      <w:del w:author="cmartin" w:date="2014-06-03T12:26:00Z" w:id="140">
        <w:r>
          <w:rPr>
            <w:rFonts w:ascii="Avenir Next" w:hAnsi="Avenir Next"/>
          </w:rPr>
          <w:delText xml:space="preserve">will </w:delText>
        </w:r>
      </w:del>
      <w:ins w:author="cmartin" w:date="2014-06-03T12:26:00Z" w:id="141">
        <w:r>
          <w:rPr>
            <w:rFonts w:ascii="Avenir Next" w:hAnsi="Avenir Next"/>
          </w:rPr>
          <w:t xml:space="preserve">to </w:t>
        </w:r>
      </w:ins>
      <w:r>
        <w:rPr>
          <w:rFonts w:ascii="Avenir Next" w:hAnsi="Avenir Next"/>
        </w:rPr>
        <w:t>increase by</w:t>
      </w:r>
    </w:p>
    <w:p>
      <w:pPr>
        <w:pStyle w:val="style0"/>
        <w:rPr>
          <w:rFonts w:ascii="Avenir Next" w:hAnsi="Avenir Next"/>
        </w:rPr>
      </w:pPr>
      <w:del w:author="Unknown Author" w:date="2014-06-09T15:04:00Z" w:id="143">
        <w:r>
          <w:rPr>
            <w:rFonts w:ascii="Avenir Next" w:hAnsi="Avenir Next"/>
          </w:rPr>
          <w:delText xml:space="preserve"> </w:delText>
        </w:r>
      </w:del>
      <w:ins w:author="cmartin" w:date="2014-06-04T13:57:00Z" w:id="144">
        <w:r>
          <w:rPr>
            <w:rFonts w:ascii="Avenir Next" w:hAnsi="Avenir Next"/>
          </w:rPr>
          <w:t xml:space="preserve">pop30_65p </w:t>
        </w:r>
      </w:ins>
      <w:ins w:author="Unknown Author" w:date="2014-06-09T15:04:00Z" w:id="145">
        <w:r>
          <w:rPr>
            <w:rFonts w:ascii="Avenir Next" w:hAnsi="Avenir Next"/>
          </w:rPr>
          <w:t>–</w:t>
        </w:r>
      </w:ins>
      <w:ins w:author="cmartin" w:date="2014-06-04T13:57:00Z" w:id="146">
        <w:r>
          <w:rPr>
            <w:rFonts w:ascii="Avenir Next" w:hAnsi="Avenir Next"/>
          </w:rPr>
          <w:t xml:space="preserve"> pop10_65p</w:t>
        </w:r>
      </w:ins>
    </w:p>
    <w:p>
      <w:pPr>
        <w:pStyle w:val="style0"/>
        <w:rPr>
          <w:rFonts w:ascii="Avenir Next" w:hAnsi="Avenir Next"/>
        </w:rPr>
      </w:pPr>
      <w:del w:author="Unknown Author" w:date="2014-06-09T15:04:00Z" w:id="147">
        <w:r>
          <w:rPr>
            <w:rFonts w:ascii="Avenir Next" w:hAnsi="Avenir Next"/>
          </w:rPr>
          <w:delText xml:space="preserve"> </w:delText>
        </w:r>
      </w:del>
      <w:del w:author="cmartin" w:date="2014-06-04T13:57:00Z" w:id="148">
        <w:r>
          <w:rPr>
            <w:rFonts w:ascii="Avenir Next" w:hAnsi="Avenir Next"/>
          </w:rPr>
          <w:delText xml:space="preserve">pop_30sr - pop_10 </w:delText>
        </w:r>
      </w:del>
      <w:ins w:author="Unknown Author" w:date="2014-06-09T15:04:00Z" w:id="149">
        <w:r>
          <w:rPr>
            <w:rFonts w:ascii="Avenir Next" w:hAnsi="Avenir Next"/>
          </w:rPr>
          <w:t xml:space="preserve"> </w:t>
        </w:r>
      </w:ins>
      <w:r>
        <w:rPr>
          <w:rFonts w:ascii="Avenir Next" w:hAnsi="Avenir Next"/>
        </w:rPr>
        <w:t>people, or</w:t>
      </w:r>
      <w:del w:author="Unknown Author" w:date="2014-06-09T15:04:00Z" w:id="151">
        <w:r>
          <w:rPr>
            <w:rFonts w:ascii="Avenir Next" w:hAnsi="Avenir Next"/>
          </w:rPr>
          <w:delText xml:space="preserve"> </w:delText>
        </w:r>
      </w:del>
      <w:ins w:author="Unknown Author" w:date="2014-06-09T15:04:00Z" w:id="152">
        <w:r>
          <w:rPr>
            <w:rFonts w:ascii="Avenir Next" w:hAnsi="Avenir Next"/>
          </w:rPr>
          <w:t xml:space="preserve"> </w:t>
        </w:r>
      </w:ins>
    </w:p>
    <w:p>
      <w:pPr>
        <w:pStyle w:val="style0"/>
        <w:rPr>
          <w:rFonts w:ascii="Avenir Next" w:hAnsi="Avenir Next"/>
        </w:rPr>
      </w:pPr>
      <w:ins w:author="cmartin" w:date="2014-06-04T13:57:00Z" w:id="153">
        <w:r>
          <w:rPr>
            <w:rFonts w:ascii="Avenir Next" w:hAnsi="Avenir Next"/>
          </w:rPr>
          <w:t xml:space="preserve">100*(pop30_65p </w:t>
        </w:r>
      </w:ins>
      <w:ins w:author="Unknown Author" w:date="2014-06-09T15:04:00Z" w:id="154">
        <w:r>
          <w:rPr>
            <w:rFonts w:ascii="Avenir Next" w:hAnsi="Avenir Next"/>
          </w:rPr>
          <w:t>–</w:t>
        </w:r>
      </w:ins>
      <w:ins w:author="cmartin" w:date="2014-06-04T13:57:00Z" w:id="155">
        <w:r>
          <w:rPr>
            <w:rFonts w:ascii="Avenir Next" w:hAnsi="Avenir Next"/>
          </w:rPr>
          <w:t xml:space="preserve"> pop10_65p)</w:t>
        </w:r>
      </w:ins>
      <w:ins w:author="Unknown Author" w:date="2014-06-09T15:04:00Z" w:id="156">
        <w:r>
          <w:rPr>
            <w:rFonts w:ascii="Avenir Next" w:hAnsi="Avenir Next"/>
          </w:rPr>
          <w:t xml:space="preserve"> </w:t>
        </w:r>
      </w:ins>
      <w:ins w:author="cmartin" w:date="2014-06-04T13:57:00Z" w:id="157">
        <w:r>
          <w:rPr>
            <w:rFonts w:ascii="Avenir Next" w:hAnsi="Avenir Next"/>
          </w:rPr>
          <w:t>/ pop10_65p</w:t>
        </w:r>
      </w:ins>
    </w:p>
    <w:p>
      <w:pPr>
        <w:pStyle w:val="style0"/>
        <w:rPr>
          <w:rFonts w:ascii="Avenir Next" w:hAnsi="Avenir Next"/>
        </w:rPr>
      </w:pPr>
      <w:del w:author="Unknown Author" w:date="2014-06-09T15:04:00Z" w:id="158">
        <w:r>
          <w:rPr>
            <w:rFonts w:ascii="Avenir Next" w:hAnsi="Avenir Next"/>
          </w:rPr>
          <w:delText xml:space="preserve"> </w:delText>
        </w:r>
      </w:del>
      <w:del w:author="cmartin" w:date="2014-06-04T13:57:00Z" w:id="159">
        <w:r>
          <w:rPr>
            <w:rFonts w:ascii="Avenir Next" w:hAnsi="Avenir Next"/>
          </w:rPr>
          <w:delText>foo</w:delText>
        </w:r>
      </w:del>
      <w:ins w:author="Unknown Author" w:date="2014-06-09T15:04:00Z" w:id="160">
        <w:r>
          <w:rPr>
            <w:rFonts w:ascii="Avenir Next" w:hAnsi="Avenir Next"/>
          </w:rPr>
          <w:t xml:space="preserve"> </w:t>
        </w:r>
      </w:ins>
      <w:r>
        <w:rPr>
          <w:rFonts w:ascii="Avenir Next" w:hAnsi="Avenir Next"/>
        </w:rPr>
        <w:t xml:space="preserve">%, through 2030, as seen in Figure 1. The total population is projected to [increase/decrease] by </w:t>
      </w:r>
      <w:ins w:author="cmartin" w:date="2014-06-04T13:57:00Z" w:id="162">
        <w:r>
          <w:rPr>
            <w:rFonts w:ascii="Avenir Next" w:hAnsi="Avenir Next"/>
          </w:rPr>
          <w:t xml:space="preserve">pop_30sr </w:t>
        </w:r>
      </w:ins>
      <w:del w:author="cmartin" w:date="2014-06-04T13:57:00Z" w:id="163">
        <w:r>
          <w:rPr>
            <w:rFonts w:ascii="Avenir Next" w:hAnsi="Avenir Next"/>
          </w:rPr>
          <w:delText xml:space="preserve">pop_30sr </w:delText>
        </w:r>
      </w:del>
      <w:ins w:author="Unknown Author" w:date="2014-06-09T15:04:00Z" w:id="164">
        <w:r>
          <w:rPr>
            <w:rFonts w:ascii="Avenir Next" w:hAnsi="Avenir Next"/>
          </w:rPr>
          <w:t>–</w:t>
        </w:r>
      </w:ins>
      <w:r>
        <w:rPr>
          <w:rFonts w:ascii="Avenir Next" w:hAnsi="Avenir Next"/>
        </w:rPr>
        <w:t xml:space="preserve"> </w:t>
      </w:r>
      <w:ins w:author="cmartin" w:date="2014-06-04T13:57:00Z" w:id="166">
        <w:r>
          <w:rPr>
            <w:rFonts w:ascii="Avenir Next" w:hAnsi="Avenir Next"/>
          </w:rPr>
          <w:t>pop_2010</w:t>
        </w:r>
      </w:ins>
    </w:p>
    <w:p>
      <w:pPr>
        <w:pStyle w:val="style0"/>
        <w:rPr>
          <w:rFonts w:ascii="Avenir Next" w:hAnsi="Avenir Next"/>
        </w:rPr>
      </w:pPr>
      <w:del w:author="cmartin" w:date="2014-06-04T13:57:00Z" w:id="167">
        <w:r>
          <w:rPr>
            <w:rFonts w:ascii="Avenir Next" w:hAnsi="Avenir Next"/>
          </w:rPr>
          <w:delText>pop_10</w:delText>
        </w:r>
      </w:del>
      <w:r>
        <w:rPr>
          <w:rFonts w:ascii="Avenir Next" w:hAnsi="Avenir Next"/>
        </w:rPr>
        <w:t>, or</w:t>
      </w:r>
    </w:p>
    <w:p>
      <w:pPr>
        <w:pStyle w:val="style0"/>
        <w:rPr>
          <w:rFonts w:ascii="Avenir Next" w:hAnsi="Avenir Next"/>
        </w:rPr>
      </w:pPr>
      <w:r>
        <w:rPr>
          <w:rFonts w:ascii="Avenir Next" w:hAnsi="Avenir Next"/>
        </w:rPr>
        <w:t xml:space="preserve"> </w:t>
      </w:r>
      <w:ins w:author="cmartin" w:date="2014-06-04T13:58:00Z" w:id="170">
        <w:r>
          <w:rPr>
            <w:rFonts w:ascii="Avenir Next" w:hAnsi="Avenir Next"/>
          </w:rPr>
          <w:t xml:space="preserve">100*(pop_30sr </w:t>
        </w:r>
      </w:ins>
      <w:ins w:author="Unknown Author" w:date="2014-06-09T15:04:00Z" w:id="171">
        <w:r>
          <w:rPr>
            <w:rFonts w:ascii="Avenir Next" w:hAnsi="Avenir Next"/>
          </w:rPr>
          <w:t>–</w:t>
        </w:r>
      </w:ins>
      <w:ins w:author="cmartin" w:date="2014-06-04T13:58:00Z" w:id="172">
        <w:r>
          <w:rPr>
            <w:rFonts w:ascii="Avenir Next" w:hAnsi="Avenir Next"/>
          </w:rPr>
          <w:t xml:space="preserve"> pop_2010)</w:t>
        </w:r>
      </w:ins>
      <w:ins w:author="Unknown Author" w:date="2014-06-09T15:04:00Z" w:id="173">
        <w:r>
          <w:rPr>
            <w:rFonts w:ascii="Avenir Next" w:hAnsi="Avenir Next"/>
          </w:rPr>
          <w:t xml:space="preserve"> </w:t>
        </w:r>
      </w:ins>
      <w:ins w:author="cmartin" w:date="2014-06-04T13:58:00Z" w:id="174">
        <w:r>
          <w:rPr>
            <w:rFonts w:ascii="Avenir Next" w:hAnsi="Avenir Next"/>
          </w:rPr>
          <w:t>/ pop_2010</w:t>
        </w:r>
      </w:ins>
      <w:del w:author="cmartin" w:date="2014-06-04T13:58:00Z" w:id="175">
        <w:r>
          <w:rPr>
            <w:rFonts w:ascii="Avenir Next" w:hAnsi="Avenir Next"/>
          </w:rPr>
          <w:delText>foo</w:delText>
        </w:r>
      </w:del>
      <w:r>
        <w:rPr>
          <w:rFonts w:ascii="Avenir Next" w:hAnsi="Avenir Next"/>
        </w:rPr>
        <w:t>%</w:t>
      </w:r>
    </w:p>
    <w:p>
      <w:pPr>
        <w:pStyle w:val="style0"/>
        <w:rPr>
          <w:rFonts w:ascii="Avenir Next" w:hAnsi="Avenir Next"/>
        </w:rPr>
      </w:pPr>
      <w:r>
        <w:rPr>
          <w:rFonts w:ascii="Avenir Next" w:hAnsi="Avenir Next"/>
        </w:rPr>
        <w:t>, over the same period.</w:t>
      </w:r>
    </w:p>
    <w:p>
      <w:pPr>
        <w:pStyle w:val="style0"/>
        <w:rPr>
          <w:rFonts w:ascii="Avenir Next" w:hAnsi="Avenir Next"/>
        </w:rPr>
      </w:pPr>
      <w:r>
        <w:rPr>
          <w:rFonts w:ascii="Avenir Next" w:hAnsi="Avenir Next"/>
        </w:rPr>
        <w:t xml:space="preserve">[[Figure 1: Bar chart of population projections by age variable. Bars are filled by </w:t>
      </w:r>
      <w:del w:author="cmartin" w:date="2014-06-09T13:11:00Z" w:id="179">
        <w:r>
          <w:rPr>
            <w:rFonts w:ascii="Avenir Next" w:hAnsi="Avenir Next"/>
          </w:rPr>
          <w:delText>age variable</w:delText>
        </w:r>
      </w:del>
      <w:ins w:author="cmartin" w:date="2014-06-09T13:11:00Z" w:id="180">
        <w:r>
          <w:rPr>
            <w:rFonts w:ascii="Avenir Next" w:hAnsi="Avenir Next"/>
          </w:rPr>
          <w:t>year</w:t>
        </w:r>
      </w:ins>
      <w:r>
        <w:rPr>
          <w:rFonts w:ascii="Avenir Next" w:hAnsi="Avenir Next"/>
        </w:rPr>
        <w:t xml:space="preserve">. </w:t>
      </w:r>
      <w:del w:author="cmartin" w:date="2014-06-09T13:12:00Z" w:id="182">
        <w:r>
          <w:rPr>
            <w:rFonts w:ascii="Avenir Next" w:hAnsi="Avenir Next"/>
          </w:rPr>
          <w:delText xml:space="preserve">Year </w:delText>
        </w:r>
      </w:del>
      <w:ins w:author="cmartin" w:date="2014-06-09T13:12:00Z" w:id="183">
        <w:r>
          <w:rPr>
            <w:rFonts w:ascii="Avenir Next" w:hAnsi="Avenir Next"/>
          </w:rPr>
          <w:t xml:space="preserve">Age  </w:t>
        </w:r>
      </w:ins>
      <w:r>
        <w:rPr>
          <w:rFonts w:ascii="Avenir Next" w:hAnsi="Avenir Next"/>
        </w:rPr>
        <w:t xml:space="preserve">variable mapped to x-axis. See </w:t>
      </w:r>
      <w:del w:author="cmartin" w:date="2014-06-09T13:13:00Z" w:id="185">
        <w:r>
          <w:rPr>
            <w:rFonts w:ascii="Avenir Next" w:hAnsi="Avenir Next"/>
          </w:rPr>
          <w:delText>Figure 17</w:delText>
        </w:r>
      </w:del>
      <w:ins w:author="cmartin" w:date="2014-06-09T13:13:00Z" w:id="186">
        <w:r>
          <w:rPr>
            <w:rFonts w:ascii="Avenir Next" w:hAnsi="Avenir Next"/>
          </w:rPr>
          <w:t xml:space="preserve">”Total Population by Age, 1990 – 2030” </w:t>
        </w:r>
      </w:ins>
      <w:r>
        <w:rPr>
          <w:rFonts w:ascii="Avenir Next" w:hAnsi="Avenir Next"/>
        </w:rPr>
        <w:t xml:space="preserve"> in </w:t>
      </w:r>
      <w:del w:author="cmartin" w:date="2014-06-09T13:13:00Z" w:id="188">
        <w:r>
          <w:rPr>
            <w:rFonts w:ascii="Avenir Next" w:hAnsi="Avenir Next"/>
          </w:rPr>
          <w:delText xml:space="preserve">projections </w:delText>
        </w:r>
      </w:del>
      <w:ins w:author="cmartin" w:date="2014-06-09T13:13:00Z" w:id="189">
        <w:r>
          <w:rPr>
            <w:rFonts w:ascii="Avenir Next" w:hAnsi="Avenir Next"/>
          </w:rPr>
          <w:t xml:space="preserve">municipal projections. </w:t>
        </w:r>
      </w:ins>
      <w:r>
        <w:rPr>
          <w:rFonts w:ascii="Avenir Next" w:hAnsi="Avenir Next"/>
        </w:rPr>
        <w:t xml:space="preserve">report. </w:t>
      </w:r>
      <w:del w:author="cmartin" w:date="2014-06-09T13:13:00Z" w:id="191">
        <w:r>
          <w:rPr>
            <w:rFonts w:ascii="Avenir Next" w:hAnsi="Avenir Next"/>
          </w:rPr>
          <w:delText>User should have option to stack the bars to see overall population trends, and unstack the bars to see trends within age groups.]]</w:delText>
        </w:r>
      </w:del>
    </w:p>
    <w:p>
      <w:pPr>
        <w:pStyle w:val="style0"/>
        <w:rPr>
          <w:rFonts w:ascii="Avenir Next" w:hAnsi="Avenir Next"/>
          <w:b/>
          <w:color w:val="1F497D"/>
          <w:sz w:val="28"/>
          <w:szCs w:val="28"/>
        </w:rPr>
      </w:pPr>
      <w:ins w:author="Unknown Author" w:date="2014-06-09T15:07:00Z" w:id="192">
        <w:r>
          <w:rPr>
            <w:rFonts w:ascii="Avenir Next" w:hAnsi="Avenir Next"/>
            <w:b/>
            <w:color w:val="1F497D"/>
            <w:sz w:val="28"/>
            <w:szCs w:val="28"/>
          </w:rPr>
          <w:t xml:space="preserve">Topic: </w:t>
        </w:r>
      </w:ins>
      <w:r>
        <w:rPr>
          <w:rFonts w:ascii="Avenir Next" w:hAnsi="Avenir Next"/>
          <w:b/>
          <w:color w:val="1F497D"/>
          <w:sz w:val="28"/>
          <w:szCs w:val="28"/>
        </w:rPr>
        <w:t>Population</w:t>
      </w:r>
    </w:p>
    <w:p>
      <w:pPr>
        <w:pStyle w:val="style0"/>
        <w:rPr>
          <w:rFonts w:ascii="Avenir Next" w:hAnsi="Avenir Next"/>
          <w:b/>
          <w:color w:val="1F497D"/>
          <w:sz w:val="28"/>
          <w:szCs w:val="28"/>
        </w:rPr>
      </w:pPr>
      <w:del w:author="Unknown Author" w:date="2014-06-09T15:07:00Z" w:id="194">
        <w:r>
          <w:rPr>
            <w:rFonts w:ascii="Avenir Next" w:hAnsi="Avenir Next"/>
            <w:b/>
            <w:color w:val="1F497D"/>
            <w:sz w:val="28"/>
            <w:szCs w:val="28"/>
          </w:rPr>
          <w:delText xml:space="preserve"> </w:delText>
        </w:r>
      </w:del>
      <w:ins w:author="Unknown Author" w:date="2014-06-09T15:08:00Z" w:id="195">
        <w:r>
          <w:rPr>
            <w:rFonts w:ascii="Avenir Next" w:hAnsi="Avenir Next"/>
            <w:b/>
            <w:color w:val="1F497D"/>
            <w:sz w:val="28"/>
            <w:szCs w:val="28"/>
          </w:rPr>
          <w:t xml:space="preserve">Subtopic: </w:t>
        </w:r>
      </w:ins>
      <w:r>
        <w:rPr>
          <w:rFonts w:ascii="Avenir Next" w:hAnsi="Avenir Next"/>
          <w:b/>
          <w:color w:val="1F497D"/>
          <w:sz w:val="28"/>
          <w:szCs w:val="28"/>
        </w:rPr>
        <w:t>by Race</w:t>
      </w:r>
    </w:p>
    <w:p>
      <w:pPr>
        <w:pStyle w:val="style0"/>
        <w:suppressAutoHyphens w:val="false"/>
        <w:rPr>
          <w:rFonts w:ascii="Avenir Next" w:cs="" w:hAnsi="Avenir Next"/>
        </w:rPr>
      </w:pPr>
      <w:r>
        <w:rPr>
          <w:rFonts w:ascii="Avenir Next" w:cs="" w:hAnsi="Avenir Next"/>
        </w:rPr>
        <w:t>Massachusetts has grown more diverse since 2000. Between 2000 and 2010, the non-white population increased by 100*(minor_10 - minor_00)/</w:t>
      </w:r>
      <w:r>
        <w:rPr>
          <w:rFonts w:ascii="Avenir Next" w:hAnsi="Avenir Next"/>
        </w:rPr>
        <w:t xml:space="preserve"> </w:t>
      </w:r>
      <w:r>
        <w:rPr>
          <w:rFonts w:ascii="Avenir Next" w:cs="" w:hAnsi="Avenir Next"/>
        </w:rPr>
        <w:t xml:space="preserve">minor_00%. Meanwhile, the white, non-Hispanic population declined by 100*(white_10 - white_00)/white_00%. Figure figNum shows the distribution of population by race in </w:t>
      </w:r>
      <w:del w:author="Unknown Author" w:date="2014-06-09T15:03:00Z" w:id="200">
        <w:r>
          <w:rPr>
            <w:rFonts w:ascii="Avenir Next" w:cs="" w:hAnsi="Avenir Next"/>
          </w:rPr>
          <w:delText>cityFoo</w:delText>
        </w:r>
      </w:del>
      <w:ins w:author="Unknown Author" w:date="2014-06-09T15:03:00Z" w:id="201">
        <w:r>
          <w:rPr>
            <w:rFonts w:ascii="Avenir Next" w:cs="" w:eastAsia="Arial Unicode MS" w:hAnsi="Avenir Next"/>
            <w:color w:val="00000A"/>
            <w:sz w:val="24"/>
            <w:szCs w:val="24"/>
            <w:lang w:bidi="ar-SA" w:eastAsia="en-US" w:val="en-US"/>
          </w:rPr>
          <w:t>#{@report.muni}</w:t>
        </w:r>
      </w:ins>
      <w:r>
        <w:rPr>
          <w:rFonts w:ascii="Avenir Next" w:cs="" w:hAnsi="Avenir Next"/>
        </w:rPr>
        <w:t xml:space="preserve"> and its ten nearest neighbors.</w:t>
      </w:r>
    </w:p>
    <w:p>
      <w:pPr>
        <w:pStyle w:val="style0"/>
        <w:suppressAutoHyphens w:val="false"/>
        <w:rPr>
          <w:rFonts w:ascii="Avenir Next" w:cs="" w:hAnsi="Avenir Next"/>
        </w:rPr>
      </w:pPr>
      <w:r>
        <w:rPr>
          <w:rFonts w:ascii="Avenir Next" w:cs="" w:hAnsi="Avenir Next"/>
        </w:rPr>
        <w:t xml:space="preserve">[[Stacked bar chart that adds up to 100%. Bars are shaded by percent of population that is White, Black, Asian, Native American, Pacific Islander, Other, Two or More, and Hispanic. Bars correspond to </w:t>
      </w:r>
      <w:del w:author="Unknown Author" w:date="2014-06-09T15:03:00Z" w:id="204">
        <w:r>
          <w:rPr>
            <w:rFonts w:ascii="Avenir Next" w:cs="" w:hAnsi="Avenir Next"/>
          </w:rPr>
          <w:delText>cityFoo</w:delText>
        </w:r>
      </w:del>
      <w:ins w:author="Unknown Author" w:date="2014-06-09T15:03:00Z" w:id="205">
        <w:r>
          <w:rPr>
            <w:rFonts w:ascii="Avenir Next" w:cs="" w:eastAsia="Arial Unicode MS" w:hAnsi="Avenir Next"/>
            <w:color w:val="00000A"/>
            <w:sz w:val="24"/>
            <w:szCs w:val="24"/>
            <w:lang w:bidi="ar-SA" w:eastAsia="en-US" w:val="en-US"/>
          </w:rPr>
          <w:t>#{@report.muni}</w:t>
        </w:r>
      </w:ins>
      <w:r>
        <w:rPr>
          <w:rFonts w:ascii="Avenir Next" w:cs="" w:hAnsi="Avenir Next"/>
        </w:rPr>
        <w:t xml:space="preserve"> and its nearest neighbors.]]</w:t>
      </w:r>
    </w:p>
    <w:p>
      <w:pPr>
        <w:pStyle w:val="style1"/>
        <w:rPr>
          <w:rFonts w:ascii="Avenir Next" w:hAnsi="Avenir Next"/>
        </w:rPr>
      </w:pPr>
      <w:ins w:author="Unknown Author" w:date="2014-06-09T15:06:00Z" w:id="207">
        <w:r>
          <w:rPr>
            <w:rFonts w:ascii="Avenir Next" w:hAnsi="Avenir Next"/>
          </w:rPr>
          <w:t xml:space="preserve">Topic Area: </w:t>
        </w:r>
      </w:ins>
      <w:r>
        <w:rPr>
          <w:rFonts w:ascii="Avenir Next" w:hAnsi="Avenir Next"/>
        </w:rPr>
        <w:t>Demand</w:t>
      </w:r>
    </w:p>
    <w:p>
      <w:pPr>
        <w:pStyle w:val="style0"/>
        <w:rPr>
          <w:rFonts w:ascii="Avenir Next" w:hAnsi="Avenir Next"/>
        </w:rPr>
      </w:pPr>
      <w:bookmarkStart w:id="3" w:name="demand"/>
      <w:bookmarkEnd w:id="3"/>
      <w:r>
        <w:rPr>
          <w:rFonts w:ascii="Avenir Next" w:hAnsi="Avenir Next"/>
        </w:rPr>
        <w:t>Housing demand is a function not only of population, but also the number and type of households that the population forms.  As years pass, some households form, move into the community, or grow larger, while others grow smaller, seek different housing options, or move out. Net housing demand is the number of units needed to accommodate additional households and maintain healthy vacancy rates among owner and renter-occupied housing units.</w:t>
      </w:r>
      <w:r>
        <w:rPr>
          <w:rStyle w:val="style34"/>
          <w:rFonts w:ascii="Avenir Next" w:hAnsi="Avenir Next"/>
        </w:rPr>
        <w:footnoteReference w:id="4"/>
      </w:r>
      <w:r>
        <w:rPr>
          <w:rFonts w:ascii="Avenir Next" w:hAnsi="Avenir Next"/>
        </w:rPr>
        <w:t xml:space="preserve"> This section looks at the current distribution of household types in </w:t>
      </w:r>
      <w:del w:author="Unknown Author" w:date="2014-06-09T15:03:00Z" w:id="212">
        <w:r>
          <w:rPr>
            <w:rFonts w:ascii="Avenir Next" w:hAnsi="Avenir Next"/>
          </w:rPr>
          <w:delText>cityFoo</w:delText>
        </w:r>
      </w:del>
      <w:ins w:author="Unknown Author" w:date="2014-06-09T15:03:00Z" w:id="213">
        <w:r>
          <w:rPr>
            <w:rFonts w:ascii="Avenir Next" w:cs="Cambria" w:eastAsia="Arial Unicode MS" w:hAnsi="Avenir Next"/>
            <w:color w:val="00000A"/>
            <w:sz w:val="24"/>
            <w:szCs w:val="24"/>
            <w:lang w:bidi="ar-SA" w:eastAsia="en-US" w:val="en-US"/>
          </w:rPr>
          <w:t>#{@report.muni}</w:t>
        </w:r>
      </w:ins>
      <w:r>
        <w:rPr>
          <w:rFonts w:ascii="Avenir Next" w:hAnsi="Avenir Next"/>
        </w:rPr>
        <w:t>, projected household changes, and net housing unit demand through 2030.</w:t>
      </w:r>
    </w:p>
    <w:p>
      <w:pPr>
        <w:pStyle w:val="style0"/>
        <w:rPr>
          <w:rFonts w:ascii="Avenir Next" w:hAnsi="Avenir Next"/>
        </w:rPr>
      </w:pPr>
      <w:r>
        <w:rPr>
          <w:rFonts w:ascii="Avenir Next" w:hAnsi="Avenir Next"/>
        </w:rPr>
        <w:t>Key findings:</w:t>
      </w:r>
    </w:p>
    <w:p>
      <w:pPr>
        <w:pStyle w:val="style0"/>
        <w:numPr>
          <w:ilvl w:val="0"/>
          <w:numId w:val="1"/>
        </w:numPr>
        <w:rPr>
          <w:rStyle w:val="style34"/>
          <w:rFonts w:ascii="Avenir Next" w:hAnsi="Avenir Next"/>
        </w:rPr>
      </w:pPr>
      <w:r>
        <w:rPr>
          <w:rFonts w:ascii="Avenir Next" w:hAnsi="Avenir Next"/>
        </w:rPr>
        <w:t xml:space="preserve">total households in </w:t>
      </w:r>
      <w:del w:author="Unknown Author" w:date="2014-06-09T15:03:00Z" w:id="217">
        <w:r>
          <w:rPr>
            <w:rFonts w:ascii="Avenir Next" w:hAnsi="Avenir Next"/>
          </w:rPr>
          <w:delText>cityFoo</w:delText>
        </w:r>
      </w:del>
      <w:ins w:author="Unknown Author" w:date="2014-06-09T15:03:00Z" w:id="218">
        <w:r>
          <w:rPr>
            <w:rFonts w:ascii="Avenir Next" w:cs="Cambria" w:eastAsia="Arial Unicode MS" w:hAnsi="Avenir Next"/>
            <w:color w:val="00000A"/>
            <w:sz w:val="24"/>
            <w:szCs w:val="24"/>
            <w:lang w:bidi="ar-SA" w:eastAsia="en-US" w:val="en-US"/>
          </w:rPr>
          <w:t>#{@report.muni}</w:t>
        </w:r>
      </w:ins>
      <w:r>
        <w:rPr>
          <w:rFonts w:ascii="Avenir Next" w:hAnsi="Avenir Next"/>
        </w:rPr>
        <w:t xml:space="preserve"> [increased/decreased] </w:t>
      </w:r>
      <w:ins w:author="cmartin" w:date="2014-06-04T14:04:00Z" w:id="220">
        <w:r>
          <w:rPr>
            <w:rFonts w:ascii="Avenir Next" w:hAnsi="Avenir Next"/>
          </w:rPr>
          <w:t>100*</w:t>
        </w:r>
      </w:ins>
      <w:ins w:author="cmartin" w:date="2014-06-04T14:03:00Z" w:id="221">
        <w:r>
          <w:rPr>
            <w:rFonts w:ascii="Avenir Next" w:hAnsi="Avenir Next"/>
          </w:rPr>
          <w:t>(hh_10</w:t>
        </w:r>
      </w:ins>
      <w:ins w:author="cmartin" w:date="2014-06-04T14:04:00Z" w:id="222">
        <w:r>
          <w:rPr>
            <w:rFonts w:ascii="Avenir Next" w:hAnsi="Avenir Next"/>
          </w:rPr>
          <w:t>- hh_00)/ hh_00</w:t>
        </w:r>
      </w:ins>
      <w:del w:author="cmartin" w:date="2014-06-04T14:03:00Z" w:id="223">
        <w:r>
          <w:rPr>
            <w:rFonts w:ascii="Avenir Next" w:hAnsi="Avenir Next"/>
          </w:rPr>
          <w:delText>hh_chg_p</w:delText>
        </w:r>
      </w:del>
      <w:r>
        <w:rPr>
          <w:rFonts w:ascii="Avenir Next" w:hAnsi="Avenir Next"/>
        </w:rPr>
        <w:t xml:space="preserve">% between 2000 and 2010, from hh_00 to </w:t>
      </w:r>
      <w:ins w:author="cmartin" w:date="2014-06-04T14:03:00Z" w:id="225">
        <w:r>
          <w:rPr>
            <w:rFonts w:ascii="Avenir Next" w:hAnsi="Avenir Next"/>
          </w:rPr>
          <w:t>hh_10</w:t>
        </w:r>
      </w:ins>
      <w:del w:author="cmartin" w:date="2014-06-04T14:03:00Z" w:id="226">
        <w:r>
          <w:rPr>
            <w:rFonts w:ascii="Avenir Next" w:hAnsi="Avenir Next"/>
          </w:rPr>
          <w:delText>hh_10</w:delText>
        </w:r>
      </w:del>
      <w:r>
        <w:rPr>
          <w:rFonts w:ascii="Avenir Next" w:hAnsi="Avenir Next"/>
        </w:rPr>
        <w:t>,</w:t>
      </w:r>
      <w:r>
        <w:rPr>
          <w:rStyle w:val="style34"/>
          <w:rFonts w:ascii="Avenir Next" w:hAnsi="Avenir Next"/>
        </w:rPr>
        <w:footnoteReference w:id="5"/>
      </w:r>
    </w:p>
    <w:p>
      <w:pPr>
        <w:pStyle w:val="style0"/>
        <w:numPr>
          <w:ilvl w:val="0"/>
          <w:numId w:val="1"/>
        </w:numPr>
        <w:rPr>
          <w:rFonts w:ascii="Avenir Next" w:hAnsi="Avenir Next"/>
        </w:rPr>
      </w:pPr>
      <w:r>
        <w:rPr>
          <w:rFonts w:ascii="Avenir Next" w:hAnsi="Avenir Next"/>
        </w:rPr>
        <w:t>average household size [increased/decreased] from hh_avg00 in 2000 to hh_avg10 in 2010 and is projected to be hhs_30sr by 2030,</w:t>
      </w:r>
    </w:p>
    <w:p>
      <w:pPr>
        <w:pStyle w:val="style0"/>
        <w:numPr>
          <w:ilvl w:val="0"/>
          <w:numId w:val="1"/>
        </w:numPr>
        <w:rPr>
          <w:rFonts w:ascii="Avenir Next" w:hAnsi="Avenir Next"/>
        </w:rPr>
      </w:pPr>
      <w:r>
        <w:rPr>
          <w:rFonts w:ascii="Avenir Next" w:hAnsi="Avenir Next"/>
        </w:rPr>
        <w:t xml:space="preserve">family households with children make up </w:t>
      </w:r>
      <w:ins w:author="cmartin" w:date="2014-06-04T14:06:00Z" w:id="231">
        <w:r>
          <w:rPr>
            <w:rFonts w:ascii="Avenir Next" w:hAnsi="Avenir Next"/>
          </w:rPr>
          <w:t>hhf_c_p</w:t>
        </w:r>
      </w:ins>
      <w:del w:author="cmartin" w:date="2014-06-04T14:06:00Z" w:id="232">
        <w:r>
          <w:rPr>
            <w:rFonts w:ascii="Avenir Next" w:hAnsi="Avenir Next"/>
          </w:rPr>
          <w:delText>hhf_c_p</w:delText>
        </w:r>
      </w:del>
      <w:r>
        <w:rPr>
          <w:rFonts w:ascii="Avenir Next" w:hAnsi="Avenir Next"/>
        </w:rPr>
        <w:t xml:space="preserve">% of </w:t>
      </w:r>
      <w:del w:author="Unknown Author" w:date="2014-06-09T15:03:00Z" w:id="234">
        <w:r>
          <w:rPr>
            <w:rFonts w:ascii="Avenir Next" w:hAnsi="Avenir Next"/>
          </w:rPr>
          <w:delText>cityFoo</w:delText>
        </w:r>
      </w:del>
      <w:ins w:author="Unknown Author" w:date="2014-06-09T15:03:00Z" w:id="235">
        <w:r>
          <w:rPr>
            <w:rFonts w:ascii="Avenir Next" w:cs="Cambria" w:eastAsia="Arial Unicode MS" w:hAnsi="Avenir Next"/>
            <w:color w:val="00000A"/>
            <w:sz w:val="24"/>
            <w:szCs w:val="24"/>
            <w:lang w:bidi="ar-SA" w:eastAsia="en-US" w:val="en-US"/>
          </w:rPr>
          <w:t>#{@report.muni}</w:t>
        </w:r>
      </w:ins>
      <w:r>
        <w:rPr>
          <w:rFonts w:ascii="Avenir Next" w:hAnsi="Avenir Next"/>
        </w:rPr>
        <w:t xml:space="preserve"> households,</w:t>
      </w:r>
    </w:p>
    <w:p>
      <w:pPr>
        <w:pStyle w:val="style0"/>
        <w:numPr>
          <w:ilvl w:val="0"/>
          <w:numId w:val="1"/>
        </w:numPr>
        <w:rPr>
          <w:rFonts w:ascii="Avenir Next" w:hAnsi="Avenir Next"/>
        </w:rPr>
      </w:pPr>
      <w:r>
        <w:rPr>
          <w:rFonts w:ascii="Avenir Next" w:hAnsi="Avenir Next"/>
        </w:rPr>
        <w:t>single person households and elderly</w:t>
      </w:r>
      <w:r>
        <w:rPr>
          <w:rStyle w:val="style34"/>
          <w:rFonts w:ascii="Avenir Next" w:hAnsi="Avenir Next"/>
        </w:rPr>
        <w:footnoteReference w:id="6"/>
      </w:r>
      <w:r>
        <w:rPr>
          <w:rFonts w:ascii="Avenir Next" w:hAnsi="Avenir Next"/>
        </w:rPr>
        <w:t xml:space="preserve"> single person households make up hh1_p% and hh1_65o_p% of </w:t>
      </w:r>
      <w:del w:author="Unknown Author" w:date="2014-06-09T15:03:00Z" w:id="240">
        <w:r>
          <w:rPr>
            <w:rFonts w:ascii="Avenir Next" w:hAnsi="Avenir Next"/>
          </w:rPr>
          <w:delText>cityFoo</w:delText>
        </w:r>
      </w:del>
      <w:ins w:author="Unknown Author" w:date="2014-06-09T15:03:00Z" w:id="241">
        <w:r>
          <w:rPr>
            <w:rFonts w:ascii="Avenir Next" w:cs="Cambria" w:eastAsia="Arial Unicode MS" w:hAnsi="Avenir Next"/>
            <w:color w:val="00000A"/>
            <w:sz w:val="24"/>
            <w:szCs w:val="24"/>
            <w:lang w:bidi="ar-SA" w:eastAsia="en-US" w:val="en-US"/>
          </w:rPr>
          <w:t>#{@report.muni}</w:t>
        </w:r>
      </w:ins>
      <w:r>
        <w:rPr>
          <w:rFonts w:ascii="Avenir Next" w:hAnsi="Avenir Next"/>
        </w:rPr>
        <w:t xml:space="preserve"> households, respectively,</w:t>
      </w:r>
    </w:p>
    <w:p>
      <w:pPr>
        <w:pStyle w:val="style0"/>
        <w:numPr>
          <w:ilvl w:val="0"/>
          <w:numId w:val="1"/>
        </w:numPr>
        <w:rPr>
          <w:rFonts w:ascii="Avenir Next" w:hAnsi="Avenir Next"/>
        </w:rPr>
      </w:pPr>
      <w:r>
        <w:rPr>
          <w:rFonts w:ascii="Avenir Next" w:hAnsi="Avenir Next"/>
        </w:rPr>
        <w:t xml:space="preserve">total households in </w:t>
      </w:r>
      <w:del w:author="Unknown Author" w:date="2014-06-09T15:03:00Z" w:id="244">
        <w:r>
          <w:rPr>
            <w:rFonts w:ascii="Avenir Next" w:hAnsi="Avenir Next"/>
          </w:rPr>
          <w:delText>cityFoo</w:delText>
        </w:r>
      </w:del>
      <w:ins w:author="Unknown Author" w:date="2014-06-09T15:03:00Z" w:id="245">
        <w:r>
          <w:rPr>
            <w:rFonts w:ascii="Avenir Next" w:cs="Cambria" w:eastAsia="Arial Unicode MS" w:hAnsi="Avenir Next"/>
            <w:color w:val="00000A"/>
            <w:sz w:val="24"/>
            <w:szCs w:val="24"/>
            <w:lang w:bidi="ar-SA" w:eastAsia="en-US" w:val="en-US"/>
          </w:rPr>
          <w:t>#{@report.muni}</w:t>
        </w:r>
      </w:ins>
      <w:r>
        <w:rPr>
          <w:rFonts w:ascii="Avenir Next" w:hAnsi="Avenir Next"/>
        </w:rPr>
        <w:t xml:space="preserve"> are projected to [increase/decrease] by hh_30sr - hh_10 through 2030, a </w:t>
      </w:r>
      <w:ins w:author="cmartin" w:date="2014-06-04T14:07:00Z" w:id="247">
        <w:r>
          <w:rPr>
            <w:rFonts w:ascii="Avenir Next" w:hAnsi="Avenir Next"/>
          </w:rPr>
          <w:t>100*(</w:t>
        </w:r>
      </w:ins>
      <w:ins w:author="cmartin" w:date="2014-06-04T14:06:00Z" w:id="248">
        <w:r>
          <w:rPr>
            <w:rFonts w:ascii="Avenir Next" w:hAnsi="Avenir Next"/>
          </w:rPr>
          <w:t>hh_30sr - hh_10</w:t>
        </w:r>
      </w:ins>
      <w:ins w:author="cmartin" w:date="2014-06-04T14:07:00Z" w:id="249">
        <w:r>
          <w:rPr>
            <w:rFonts w:ascii="Avenir Next" w:hAnsi="Avenir Next"/>
          </w:rPr>
          <w:t>)/ hh_10</w:t>
        </w:r>
      </w:ins>
      <w:del w:author="cmartin" w:date="2014-06-04T14:06:00Z" w:id="250">
        <w:r>
          <w:rPr>
            <w:rFonts w:ascii="Avenir Next" w:hAnsi="Avenir Next"/>
          </w:rPr>
          <w:delText>foo</w:delText>
        </w:r>
      </w:del>
      <w:r>
        <w:rPr>
          <w:rFonts w:ascii="Avenir Next" w:hAnsi="Avenir Next"/>
        </w:rPr>
        <w:t>% [increase/decrease] from 2010,</w:t>
      </w:r>
    </w:p>
    <w:p>
      <w:pPr>
        <w:pStyle w:val="style0"/>
        <w:numPr>
          <w:ilvl w:val="0"/>
          <w:numId w:val="1"/>
        </w:numPr>
        <w:rPr>
          <w:rFonts w:ascii="Avenir Next" w:hAnsi="Avenir Next"/>
        </w:rPr>
      </w:pPr>
      <w:r>
        <w:rPr>
          <w:rFonts w:ascii="Avenir Next" w:hAnsi="Avenir Next"/>
        </w:rPr>
        <w:t>householders between 30 and 60</w:t>
      </w:r>
      <w:commentRangeStart w:id="5"/>
      <w:r>
        <w:rPr>
          <w:rFonts w:ascii="Avenir Next" w:hAnsi="Avenir Next"/>
        </w:rPr>
        <w:t xml:space="preserve"> </w:t>
      </w:r>
      <w:commentRangeEnd w:id="5"/>
      <w:r>
        <w:rPr>
          <w:rFonts w:ascii="Avenir Next" w:hAnsi="Avenir Next"/>
        </w:rPr>
      </w:r>
      <w:del w:author="Unknown Author" w:date="2014-06-09T15:03:00Z" w:id="255">
        <w:r>
          <w:rPr>
            <w:rFonts w:ascii="Avenir Next" w:hAnsi="Avenir Next"/>
          </w:rPr>
          <w:commentReference w:id="5"/>
        </w:r>
      </w:del>
      <w:r>
        <w:rPr>
          <w:rFonts w:ascii="Avenir Next" w:hAnsi="Avenir Next"/>
        </w:rPr>
        <w:t>are projected to [increase/decrease] by (hh30_3044 + hh30_4559) – (hh10_3044 + hh10_4559), or 100*((hh30_3044 + hh30_4559) – (hh10_3044 + hh10_4559))/ (hh10_3044 + hh10_4559)%,</w:t>
      </w:r>
    </w:p>
    <w:p>
      <w:pPr>
        <w:pStyle w:val="style0"/>
        <w:numPr>
          <w:ilvl w:val="0"/>
          <w:numId w:val="1"/>
        </w:numPr>
        <w:rPr>
          <w:rFonts w:ascii="Avenir Next" w:hAnsi="Avenir Next"/>
        </w:rPr>
      </w:pPr>
      <w:r>
        <w:rPr>
          <w:rFonts w:ascii="Avenir Next" w:hAnsi="Avenir Next"/>
        </w:rPr>
        <w:t>As the Baby Boomer generation ages, the number of householders over 60 will grow by (hh30_6074 + hh30_75pl) – (hh10_75pl + hh10_6074), [increasing/decreasing] from (hh10_6074 + hh10_75pl)/hh_10 to (hh30_6074 + hh30_75pl)/</w:t>
      </w:r>
      <w:ins w:author="cmartin" w:date="2014-06-04T14:06:00Z" w:id="258">
        <w:r>
          <w:rPr>
            <w:rFonts w:ascii="Avenir Next" w:hAnsi="Avenir Next"/>
          </w:rPr>
          <w:t xml:space="preserve">hh_30sr </w:t>
        </w:r>
      </w:ins>
      <w:r>
        <w:rPr>
          <w:rFonts w:ascii="Avenir Next" w:hAnsi="Avenir Next"/>
        </w:rPr>
        <w:t xml:space="preserve">percent of the total households in </w:t>
      </w:r>
      <w:del w:author="Unknown Author" w:date="2014-06-09T15:03:00Z" w:id="260">
        <w:r>
          <w:rPr>
            <w:rFonts w:ascii="Avenir Next" w:hAnsi="Avenir Next"/>
          </w:rPr>
          <w:delText>cityFoo</w:delText>
        </w:r>
      </w:del>
      <w:ins w:author="Unknown Author" w:date="2014-06-09T15:03:00Z" w:id="261">
        <w:r>
          <w:rPr>
            <w:rFonts w:ascii="Avenir Next" w:cs="Cambria" w:eastAsia="Arial Unicode MS" w:hAnsi="Avenir Next"/>
            <w:color w:val="00000A"/>
            <w:sz w:val="24"/>
            <w:szCs w:val="24"/>
            <w:lang w:bidi="ar-SA" w:eastAsia="en-US" w:val="en-US"/>
          </w:rPr>
          <w:t>#{@report.muni}</w:t>
        </w:r>
      </w:ins>
      <w:r>
        <w:rPr>
          <w:rFonts w:ascii="Avenir Next" w:hAnsi="Avenir Next"/>
        </w:rPr>
        <w:t xml:space="preserve">. </w:t>
      </w:r>
    </w:p>
    <w:p>
      <w:pPr>
        <w:pStyle w:val="style0"/>
        <w:numPr>
          <w:ilvl w:val="0"/>
          <w:numId w:val="1"/>
        </w:numPr>
        <w:rPr>
          <w:rFonts w:ascii="Avenir Next" w:hAnsi="Avenir Next"/>
        </w:rPr>
      </w:pPr>
      <w:r>
        <w:rPr>
          <w:rFonts w:ascii="Avenir Next" w:hAnsi="Avenir Next"/>
        </w:rPr>
        <w:t>Net housing unit demand will be hu1534_20 + hu3554_20 + hu5574_20 + hu75p_20 through 2020, or (hu1534_20 + hu3554_20 + hu5574_20 + hu75p_20)/10 annually,</w:t>
      </w:r>
    </w:p>
    <w:p>
      <w:pPr>
        <w:pStyle w:val="style0"/>
        <w:numPr>
          <w:ilvl w:val="0"/>
          <w:numId w:val="1"/>
        </w:numPr>
        <w:rPr>
          <w:rFonts w:ascii="Avenir Next" w:hAnsi="Avenir Next"/>
        </w:rPr>
      </w:pPr>
      <w:r>
        <w:rPr>
          <w:rFonts w:ascii="Avenir Next" w:hAnsi="Avenir Next"/>
        </w:rPr>
        <w:t>Net housing unit demand  for householders currently between the ages of 15 and 35</w:t>
      </w:r>
      <w:ins w:author="cmartin" w:date="2014-06-03T12:28:00Z" w:id="265">
        <w:r>
          <w:rPr>
            <w:rFonts w:ascii="Avenir Next" w:hAnsi="Avenir Next"/>
          </w:rPr>
          <w:t xml:space="preserve"> </w:t>
        </w:r>
      </w:ins>
      <w:r>
        <w:rPr>
          <w:rFonts w:ascii="Avenir Next" w:hAnsi="Avenir Next"/>
        </w:rPr>
        <w:t>will be hu1534_20, or hu1534_20 /10 annually,</w:t>
      </w:r>
    </w:p>
    <w:p>
      <w:pPr>
        <w:pStyle w:val="style0"/>
        <w:numPr>
          <w:ilvl w:val="0"/>
          <w:numId w:val="1"/>
        </w:numPr>
        <w:rPr>
          <w:rFonts w:ascii="Avenir Next" w:hAnsi="Avenir Next"/>
        </w:rPr>
      </w:pPr>
      <w:r>
        <w:rPr>
          <w:rFonts w:ascii="Avenir Next" w:hAnsi="Avenir Next"/>
        </w:rPr>
        <w:t>Over the next ten years, householders currently older than 55 will need hu5574_20  + hu75p_20 [more/fewer] units than they do today[., putting sfr5574_20 + sfo5574_20 + sfr75p_20 + sfo75p_20 single family houses back onto the market on average each year.].</w:t>
      </w:r>
    </w:p>
    <w:p>
      <w:pPr>
        <w:pStyle w:val="style2"/>
        <w:rPr>
          <w:rFonts w:ascii="Avenir Next" w:hAnsi="Avenir Next"/>
        </w:rPr>
      </w:pPr>
      <w:ins w:author="Unknown Author" w:date="2014-06-09T15:06:00Z" w:id="268">
        <w:r>
          <w:rPr>
            <w:rFonts w:ascii="Avenir Next" w:hAnsi="Avenir Next"/>
          </w:rPr>
          <w:t>Topic: Households</w:t>
        </w:r>
      </w:ins>
    </w:p>
    <w:p>
      <w:pPr>
        <w:pStyle w:val="style2"/>
        <w:rPr>
          <w:rFonts w:ascii="Avenir Next" w:hAnsi="Avenir Next"/>
        </w:rPr>
      </w:pPr>
      <w:ins w:author="Unknown Author" w:date="2014-06-09T15:06:00Z" w:id="269">
        <w:r>
          <w:rPr>
            <w:rFonts w:ascii="Avenir Next" w:hAnsi="Avenir Next"/>
          </w:rPr>
          <w:t xml:space="preserve">Subtopic: </w:t>
        </w:r>
      </w:ins>
      <w:r>
        <w:rPr>
          <w:rFonts w:ascii="Avenir Next" w:hAnsi="Avenir Next"/>
        </w:rPr>
        <w:t>Total Households</w:t>
      </w:r>
    </w:p>
    <w:p>
      <w:pPr>
        <w:pStyle w:val="style0"/>
        <w:rPr>
          <w:rFonts w:ascii="Avenir Next" w:hAnsi="Avenir Next"/>
        </w:rPr>
      </w:pPr>
      <w:bookmarkStart w:id="4" w:name="total-households"/>
      <w:bookmarkEnd w:id="4"/>
      <w:r>
        <w:rPr>
          <w:rFonts w:ascii="Avenir Next" w:hAnsi="Avenir Next"/>
        </w:rPr>
        <w:t xml:space="preserve">Total population and average household size determine the number of households in a community. In Massachusetts overall, and in 96% of Massachusetts municipalities with population growth since 2000, the number of households increased faster than population because of declines in average household size. This trend is expected to continue as seniors make up a greater share of householders and younger householders wait longer to form families that are smaller on average than their predecessors. </w:t>
      </w:r>
      <w:ins w:author="cmartin" w:date="2014-06-09T13:23:00Z" w:id="272">
        <w:r>
          <w:rPr>
            <w:rFonts w:ascii="Avenir Next" w:hAnsi="Avenir Next"/>
          </w:rPr>
          <w:t xml:space="preserve"> </w:t>
        </w:r>
      </w:ins>
    </w:p>
    <w:p>
      <w:pPr>
        <w:pStyle w:val="style0"/>
        <w:rPr>
          <w:rFonts w:ascii="Avenir Next" w:hAnsi="Avenir Next"/>
        </w:rPr>
      </w:pPr>
      <w:ins w:author="cmartin" w:date="2014-06-09T13:24:00Z" w:id="273">
        <w:r>
          <w:rPr>
            <w:rFonts w:ascii="Avenir Next" w:hAnsi="Avenir Next"/>
          </w:rPr>
          <w:t xml:space="preserve">Despite these overall trends, household size did increase in 48 Massachusetts municipalities </w:t>
        </w:r>
      </w:ins>
      <w:ins w:author="cmartin" w:date="2014-06-09T13:25:00Z" w:id="274">
        <w:r>
          <w:rPr>
            <w:rFonts w:ascii="Avenir Next" w:hAnsi="Avenir Next"/>
          </w:rPr>
          <w:t>between</w:t>
        </w:r>
      </w:ins>
      <w:ins w:author="cmartin" w:date="2014-06-09T13:24:00Z" w:id="275">
        <w:r>
          <w:rPr>
            <w:rFonts w:ascii="Avenir Next" w:hAnsi="Avenir Next"/>
          </w:rPr>
          <w:t xml:space="preserve"> </w:t>
        </w:r>
      </w:ins>
      <w:ins w:author="cmartin" w:date="2014-06-09T13:25:00Z" w:id="276">
        <w:r>
          <w:rPr>
            <w:rFonts w:ascii="Avenir Next" w:hAnsi="Avenir Next"/>
          </w:rPr>
          <w:t>2000 and 2010. Several factors may contribute to this, includ</w:t>
        </w:r>
      </w:ins>
      <w:ins w:author="cmartin" w:date="2014-06-09T13:27:00Z" w:id="277">
        <w:r>
          <w:rPr>
            <w:rFonts w:ascii="Avenir Next" w:hAnsi="Avenir Next"/>
          </w:rPr>
          <w:t xml:space="preserve">ing </w:t>
        </w:r>
      </w:ins>
      <w:ins w:author="cmartin" w:date="2014-06-09T13:26:00Z" w:id="278">
        <w:r>
          <w:rPr>
            <w:rFonts w:ascii="Avenir Next" w:hAnsi="Avenir Next"/>
          </w:rPr>
          <w:t xml:space="preserve">“doubling up” in the face of rising housing costs, and concentrations of certain demographic groups with higher fertility rates. </w:t>
        </w:r>
      </w:ins>
    </w:p>
    <w:p>
      <w:pPr>
        <w:pStyle w:val="style0"/>
        <w:rPr>
          <w:rFonts w:ascii="Avenir Next" w:hAnsi="Avenir Next"/>
        </w:rPr>
      </w:pPr>
      <w:r>
        <w:rPr>
          <w:rFonts w:ascii="Avenir Next" w:hAnsi="Avenir Next"/>
        </w:rPr>
        <w:t xml:space="preserve">In </w:t>
      </w:r>
      <w:del w:author="Unknown Author" w:date="2014-06-09T15:03:00Z" w:id="280">
        <w:r>
          <w:rPr>
            <w:rFonts w:ascii="Avenir Next" w:hAnsi="Avenir Next"/>
          </w:rPr>
          <w:delText>cityFoo</w:delText>
        </w:r>
      </w:del>
      <w:ins w:author="Unknown Author" w:date="2014-06-09T15:03:00Z" w:id="281">
        <w:r>
          <w:rPr>
            <w:rFonts w:ascii="Avenir Next" w:cs="Cambria" w:eastAsia="Arial Unicode MS" w:hAnsi="Avenir Next"/>
            <w:color w:val="00000A"/>
            <w:sz w:val="24"/>
            <w:szCs w:val="24"/>
            <w:lang w:bidi="ar-SA" w:eastAsia="en-US" w:val="en-US"/>
          </w:rPr>
          <w:t>#{@report.muni}</w:t>
        </w:r>
      </w:ins>
      <w:r>
        <w:rPr>
          <w:rFonts w:ascii="Avenir Next" w:hAnsi="Avenir Next"/>
        </w:rPr>
        <w:t>, total households [increased/decreased] by hh_10 – hh_00, or 100*(hh_10 – hh_00)/hh_00%, between 2000 and 2010. At the same time, average household size [</w:t>
      </w:r>
      <w:commentRangeStart w:id="6"/>
      <w:r>
        <w:rPr>
          <w:rFonts w:ascii="Avenir Next" w:hAnsi="Avenir Next"/>
        </w:rPr>
        <w:t>increased</w:t>
      </w:r>
      <w:commentRangeEnd w:id="6"/>
      <w:r>
        <w:rPr>
          <w:rFonts w:ascii="Avenir Next" w:hAnsi="Avenir Next"/>
        </w:rPr>
      </w:r>
      <w:del w:author="Unknown Author" w:date="2014-06-09T15:03:00Z" w:id="285">
        <w:r>
          <w:rPr>
            <w:rFonts w:ascii="Avenir Next" w:hAnsi="Avenir Next"/>
          </w:rPr>
          <w:commentReference w:id="6"/>
        </w:r>
      </w:del>
      <w:r>
        <w:rPr>
          <w:rFonts w:ascii="Avenir Next" w:hAnsi="Avenir Next"/>
        </w:rPr>
        <w:t>/decreased] from hh_avg00 to hh_avg10.</w:t>
      </w:r>
    </w:p>
    <w:p>
      <w:pPr>
        <w:pStyle w:val="style2"/>
        <w:rPr>
          <w:rFonts w:ascii="Avenir Next" w:hAnsi="Avenir Next"/>
        </w:rPr>
      </w:pPr>
      <w:ins w:author="Unknown Author" w:date="2014-06-09T15:06:00Z" w:id="287">
        <w:r>
          <w:rPr>
            <w:rFonts w:ascii="Avenir Next" w:hAnsi="Avenir Next"/>
          </w:rPr>
          <w:t xml:space="preserve">Subtopic: </w:t>
        </w:r>
      </w:ins>
      <w:r>
        <w:rPr>
          <w:rFonts w:ascii="Avenir Next" w:hAnsi="Avenir Next"/>
        </w:rPr>
        <w:t>Households by Age Cohort</w:t>
      </w:r>
    </w:p>
    <w:p>
      <w:pPr>
        <w:pStyle w:val="style0"/>
        <w:rPr>
          <w:rFonts w:ascii="Avenir Next" w:hAnsi="Avenir Next"/>
        </w:rPr>
      </w:pPr>
      <w:bookmarkStart w:id="5" w:name="households-by-age"/>
      <w:bookmarkEnd w:id="5"/>
      <w:r>
        <w:rPr>
          <w:rFonts w:ascii="Avenir Next" w:hAnsi="Avenir Next"/>
        </w:rPr>
        <w:t xml:space="preserve">Just as aging Baby Boomers (those born between 1945 and 1970, for our purposes) will dominate the overall population dynamics of the state, they will also have a substantial influence on household changes and housing needs in </w:t>
      </w:r>
      <w:del w:author="Unknown Author" w:date="2014-06-09T15:03:00Z" w:id="290">
        <w:r>
          <w:rPr>
            <w:rFonts w:ascii="Avenir Next" w:hAnsi="Avenir Next"/>
          </w:rPr>
          <w:delText>cityFoo</w:delText>
        </w:r>
      </w:del>
      <w:ins w:author="Unknown Author" w:date="2014-06-09T15:03:00Z" w:id="291">
        <w:r>
          <w:rPr>
            <w:rFonts w:ascii="Avenir Next" w:cs="Cambria" w:eastAsia="Arial Unicode MS" w:hAnsi="Avenir Next"/>
            <w:color w:val="00000A"/>
            <w:sz w:val="24"/>
            <w:szCs w:val="24"/>
            <w:lang w:bidi="ar-SA" w:eastAsia="en-US" w:val="en-US"/>
          </w:rPr>
          <w:t>#{@report.muni}</w:t>
        </w:r>
      </w:ins>
      <w:r>
        <w:rPr>
          <w:rFonts w:ascii="Avenir Next" w:hAnsi="Avenir Next"/>
        </w:rPr>
        <w:t xml:space="preserve">. As this large generation ages, it will increase the number of householders over 60 </w:t>
      </w:r>
      <w:del w:author="cmartin" w:date="2014-06-03T12:29:00Z" w:id="293">
        <w:r>
          <w:rPr>
            <w:rFonts w:ascii="Avenir Next" w:hAnsi="Avenir Next"/>
          </w:rPr>
          <w:delText xml:space="preserve"> </w:delText>
        </w:r>
      </w:del>
      <w:r>
        <w:rPr>
          <w:rFonts w:ascii="Avenir Next" w:hAnsi="Avenir Next"/>
        </w:rPr>
        <w:t>by ((hh30_6074 + hh30_75pl) – (hh10_75pl + hh10_6074))/ (hh10_75pl + hh10_6074)% statewide through 2030, and their share of all households will increase from (hh10_6074 + hh10_75pl)/hh_10 to (hh30_6074 + hh30_75pl)/</w:t>
      </w:r>
      <w:ins w:author="cmartin" w:date="2014-06-04T14:06:00Z" w:id="295">
        <w:r>
          <w:rPr>
            <w:rFonts w:ascii="Avenir Next" w:hAnsi="Avenir Next"/>
          </w:rPr>
          <w:t xml:space="preserve">hh_30sr </w:t>
        </w:r>
      </w:ins>
      <w:r>
        <w:rPr>
          <w:rFonts w:ascii="Avenir Next" w:hAnsi="Avenir Next"/>
        </w:rPr>
        <w:t>percent  over the same period. Meanwhile, the total number of under-60 householders will change only slightly from one decade to the next, and most age groups under 60 will see a decline in the number of households between 2010 and 2030.</w:t>
      </w:r>
    </w:p>
    <w:p>
      <w:pPr>
        <w:pStyle w:val="style0"/>
        <w:rPr>
          <w:rFonts w:ascii="Avenir Next" w:hAnsi="Avenir Next"/>
        </w:rPr>
      </w:pPr>
      <w:r>
        <w:rPr>
          <w:rFonts w:ascii="Avenir Next" w:hAnsi="Avenir Next"/>
        </w:rPr>
        <w:t xml:space="preserve">In </w:t>
      </w:r>
      <w:del w:author="Unknown Author" w:date="2014-06-09T15:03:00Z" w:id="298">
        <w:r>
          <w:rPr>
            <w:rFonts w:ascii="Avenir Next" w:hAnsi="Avenir Next"/>
          </w:rPr>
          <w:delText>cityFoo</w:delText>
        </w:r>
      </w:del>
      <w:ins w:author="Unknown Author" w:date="2014-06-09T15:03:00Z" w:id="299">
        <w:r>
          <w:rPr>
            <w:rFonts w:ascii="Avenir Next" w:cs="Cambria" w:eastAsia="Arial Unicode MS" w:hAnsi="Avenir Next"/>
            <w:color w:val="00000A"/>
            <w:sz w:val="24"/>
            <w:szCs w:val="24"/>
            <w:lang w:bidi="ar-SA" w:eastAsia="en-US" w:val="en-US"/>
          </w:rPr>
          <w:t>#{@report.muni}</w:t>
        </w:r>
      </w:ins>
      <w:r>
        <w:rPr>
          <w:rFonts w:ascii="Avenir Next" w:hAnsi="Avenir Next"/>
        </w:rPr>
        <w:t>, householders over 60 will [increase/decrease] from (hh10_6074 + hh10_75pl)/hh_10  in 2010 to (hh30_6074 + hh30_75pl)/</w:t>
      </w:r>
      <w:ins w:author="cmartin" w:date="2014-06-04T14:06:00Z" w:id="301">
        <w:r>
          <w:rPr>
            <w:rFonts w:ascii="Avenir Next" w:hAnsi="Avenir Next"/>
          </w:rPr>
          <w:t>hh_30sr</w:t>
        </w:r>
      </w:ins>
      <w:r>
        <w:rPr>
          <w:rFonts w:ascii="Avenir Next" w:hAnsi="Avenir Next"/>
        </w:rPr>
        <w:t xml:space="preserve"> in 2030, a change of ((hh30_6074 + hh30_75pl) – (hh10_75pl + hh10_6074))/ (hh10_75pl + hh10_6074)%. Meanwhile, under-60 householders will [increase/decrease] by ((hh30_4559 + hh30_3044 + hh30_1529) - (hh10_4559 + hh10_3044 + hh10_1529)), or ((hh30_4559 + hh30_3044 + hh30_1529) - (hh10_4559 + hh10_3044 + hh10_1529))/(hh10_4559 + hh10_3044 + hh10_1529)%, as seen in Figure 2.</w:t>
      </w:r>
    </w:p>
    <w:p>
      <w:pPr>
        <w:pStyle w:val="style0"/>
        <w:rPr>
          <w:rFonts w:ascii="Avenir Next" w:hAnsi="Avenir Next"/>
        </w:rPr>
      </w:pPr>
      <w:commentRangeStart w:id="7"/>
      <w:r>
        <w:rPr>
          <w:rFonts w:ascii="Avenir Next" w:hAnsi="Avenir Next"/>
        </w:rPr>
        <w:t>[[Figure 2: Bar chart of household projections by age variable. Essentially identical to Figure 1.]]</w:t>
      </w:r>
      <w:commentRangeEnd w:id="7"/>
      <w:r>
        <w:rPr>
          <w:rFonts w:ascii="Avenir Next" w:hAnsi="Avenir Next"/>
        </w:rPr>
      </w:r>
      <w:del w:author="Unknown Author" w:date="2014-06-09T15:03:00Z" w:id="305">
        <w:r>
          <w:rPr>
            <w:rFonts w:ascii="Avenir Next" w:hAnsi="Avenir Next"/>
          </w:rPr>
          <w:commentReference w:id="7"/>
        </w:r>
      </w:del>
    </w:p>
    <w:p>
      <w:pPr>
        <w:pStyle w:val="style2"/>
        <w:rPr>
          <w:rFonts w:ascii="Avenir Next" w:hAnsi="Avenir Next"/>
        </w:rPr>
      </w:pPr>
      <w:ins w:author="Unknown Author" w:date="2014-06-09T15:08:00Z" w:id="306">
        <w:r>
          <w:rPr>
            <w:rFonts w:ascii="Avenir Next" w:hAnsi="Avenir Next"/>
          </w:rPr>
          <w:t>Topic: Housing Units</w:t>
        </w:r>
      </w:ins>
    </w:p>
    <w:p>
      <w:pPr>
        <w:pStyle w:val="style2"/>
        <w:rPr>
          <w:rFonts w:ascii="Avenir Next" w:hAnsi="Avenir Next"/>
        </w:rPr>
      </w:pPr>
      <w:ins w:author="Unknown Author" w:date="2014-06-09T15:06:00Z" w:id="307">
        <w:r>
          <w:rPr>
            <w:rFonts w:ascii="Avenir Next" w:hAnsi="Avenir Next"/>
          </w:rPr>
          <w:t xml:space="preserve">Subtopic: </w:t>
        </w:r>
      </w:ins>
      <w:r>
        <w:rPr>
          <w:rFonts w:ascii="Avenir Next" w:hAnsi="Avenir Next"/>
        </w:rPr>
        <w:t>Housing Unit Demand Change</w:t>
      </w:r>
    </w:p>
    <w:p>
      <w:pPr>
        <w:pStyle w:val="style0"/>
        <w:rPr>
          <w:rFonts w:ascii="Avenir Next" w:hAnsi="Avenir Next"/>
        </w:rPr>
      </w:pPr>
      <w:bookmarkStart w:id="6" w:name="housing-unit-demand-change"/>
      <w:bookmarkEnd w:id="6"/>
      <w:r>
        <w:rPr>
          <w:rFonts w:ascii="Avenir Next" w:hAnsi="Avenir Next"/>
        </w:rPr>
        <w:t>Changes in housing unit demand result from household formation, dissolution, and mortality. Young adults currently between the ages of 15</w:t>
      </w:r>
      <w:ins w:author="cmartin" w:date="2014-06-04T14:47:00Z" w:id="310">
        <w:r>
          <w:rPr>
            <w:rFonts w:ascii="Avenir Next" w:hAnsi="Avenir Next"/>
          </w:rPr>
          <w:t xml:space="preserve"> </w:t>
        </w:r>
      </w:ins>
      <w:r>
        <w:rPr>
          <w:rFonts w:ascii="Avenir Next" w:hAnsi="Avenir Next"/>
        </w:rPr>
        <w:t xml:space="preserve">and 30 are poised to form households after they leave home, dorm, or roommates. </w:t>
      </w:r>
      <w:del w:author="cmartin" w:date="2014-06-04T14:45:00Z" w:id="312">
        <w:r>
          <w:rPr>
            <w:rFonts w:ascii="Avenir Next" w:hAnsi="Avenir Next"/>
          </w:rPr>
          <w:delText xml:space="preserve">. </w:delText>
        </w:r>
      </w:del>
      <w:r>
        <w:rPr>
          <w:rFonts w:ascii="Avenir Next" w:hAnsi="Avenir Next"/>
        </w:rPr>
        <w:t>Thousands are projected to do so each year, and each will need a housing unit, typically multi-family rental units. Meanwhile, older adults have typically already formed households. Combined with mortality, outmigration, or transition to nursing homes and other group quarter situations, this translates to a decline in housing unit demand among householders 55 and over, despite a sharp increase in the number of senior-headed households.</w:t>
      </w:r>
    </w:p>
    <w:p>
      <w:pPr>
        <w:pStyle w:val="style0"/>
        <w:rPr>
          <w:rFonts w:ascii="Avenir Next" w:hAnsi="Avenir Next"/>
        </w:rPr>
      </w:pPr>
      <w:r>
        <w:rPr>
          <w:rFonts w:ascii="Avenir Next" w:hAnsi="Avenir Next"/>
        </w:rPr>
        <w:t>The decline in demand from older householders will partly offset increased demand from their younger counterparts. In Metro Boston, for example, the decline in demand for single-family homes among householders over 55 and over will accommodate 100*(sfo5574_20 + sfr5574_20 + sfo75p_20 + sfr75p_20)/( sfo1534_20 + sfr1534_20 + sfo3554_20 + sfr3554_20)</w:t>
      </w:r>
      <w:commentRangeStart w:id="8"/>
      <w:r>
        <w:rPr>
          <w:rFonts w:ascii="Avenir Next" w:hAnsi="Avenir Next"/>
        </w:rPr>
        <w:t>%</w:t>
      </w:r>
      <w:commentRangeEnd w:id="8"/>
      <w:r>
        <w:rPr>
          <w:rFonts w:ascii="Avenir Next" w:hAnsi="Avenir Next"/>
        </w:rPr>
      </w:r>
      <w:del w:author="Unknown Author" w:date="2014-06-09T15:03:00Z" w:id="317">
        <w:r>
          <w:rPr>
            <w:rFonts w:ascii="Avenir Next" w:hAnsi="Avenir Next"/>
          </w:rPr>
          <w:commentReference w:id="8"/>
        </w:r>
      </w:del>
      <w:r>
        <w:rPr>
          <w:rFonts w:ascii="Avenir Next" w:hAnsi="Avenir Next"/>
        </w:rPr>
        <w:t xml:space="preserve"> of demand for such units from younger households between 2010 and 2020, and an even greater share in the decade thereafter. However, shifts in preferences among younger households towards multifamily units means that only 100*(mfo5574_20 + mfr5574_20 + mfo75p_20 + mfr75p_20)/( mfo1534_20 + mfr1534_20 + mfo3554_20 + mfr3554_20)</w:t>
      </w:r>
      <w:commentRangeStart w:id="9"/>
      <w:r>
        <w:rPr>
          <w:rFonts w:ascii="Avenir Next" w:hAnsi="Avenir Next"/>
        </w:rPr>
        <w:t>%</w:t>
      </w:r>
      <w:commentRangeEnd w:id="9"/>
      <w:r>
        <w:rPr>
          <w:rFonts w:ascii="Avenir Next" w:hAnsi="Avenir Next"/>
        </w:rPr>
      </w:r>
      <w:del w:author="Unknown Author" w:date="2014-06-09T15:03:00Z" w:id="321">
        <w:r>
          <w:rPr>
            <w:rFonts w:ascii="Avenir Next" w:hAnsi="Avenir Next"/>
          </w:rPr>
          <w:commentReference w:id="9"/>
        </w:r>
      </w:del>
      <w:r>
        <w:rPr>
          <w:rFonts w:ascii="Avenir Next" w:hAnsi="Avenir Next"/>
        </w:rPr>
        <w:t xml:space="preserve"> of new </w:t>
      </w:r>
      <w:ins w:author="cmartin" w:date="2014-06-09T13:30:00Z" w:id="323">
        <w:r>
          <w:rPr>
            <w:rFonts w:ascii="Avenir Next" w:hAnsi="Avenir Next"/>
          </w:rPr>
          <w:t xml:space="preserve">multifamily </w:t>
        </w:r>
      </w:ins>
      <w:r>
        <w:rPr>
          <w:rFonts w:ascii="Avenir Next" w:hAnsi="Avenir Next"/>
        </w:rPr>
        <w:t>demand will be met through existing units freed up by householder over 55.</w:t>
      </w:r>
    </w:p>
    <w:p>
      <w:pPr>
        <w:pStyle w:val="style0"/>
        <w:rPr>
          <w:rFonts w:ascii="Avenir Next" w:hAnsi="Avenir Next"/>
        </w:rPr>
      </w:pPr>
      <w:r>
        <w:rPr>
          <w:rFonts w:ascii="Avenir Next" w:hAnsi="Avenir Next"/>
        </w:rPr>
        <w:t xml:space="preserve">Through 2020, new households headed by someone currently under the age of </w:t>
      </w:r>
      <w:commentRangeStart w:id="10"/>
      <w:r>
        <w:rPr>
          <w:rFonts w:ascii="Avenir Next" w:hAnsi="Avenir Next"/>
        </w:rPr>
        <w:t>3</w:t>
      </w:r>
      <w:commentRangeEnd w:id="10"/>
      <w:r>
        <w:rPr>
          <w:rFonts w:ascii="Avenir Next" w:hAnsi="Avenir Next"/>
        </w:rPr>
      </w:r>
      <w:del w:author="Unknown Author" w:date="2014-06-09T15:03:00Z" w:id="328">
        <w:r>
          <w:rPr>
            <w:rFonts w:ascii="Avenir Next" w:hAnsi="Avenir Next"/>
          </w:rPr>
          <w:commentReference w:id="10"/>
        </w:r>
      </w:del>
      <w:r>
        <w:rPr>
          <w:rFonts w:ascii="Avenir Next" w:hAnsi="Avenir Next"/>
        </w:rPr>
        <w:t>5 will need an additional hu1534_20 housing units.  Households headed by someone currently between the ages of 35 and 55 will demand hu3554_20 additional units.  Householders currently over the age of 55 will need hu5574_20 + hu75p_20 [fewer/more] units than they do today. After accounting for the units freed up by departing seniors and the units needed to maintain a healthy vacancy rate, this translates into net demand for sfr1534_20 + sfo1534_20 + sfr3554_20 + sfo3554_20 + sfr5574_20 + sfo5574_20 + sfr75p_20 + sfo75p_20 single family and mfr1534_20 + mfo1534_20 + mfr3554_20 + mfo3554_20 + mfr5574_20 + mfo5574_20 + mfr75p_20 + mfo75p_20  multi-family units. Figure figNum breaks projected demand down by householder cohort, unit type, and tenure.</w:t>
      </w:r>
    </w:p>
    <w:p>
      <w:pPr>
        <w:pStyle w:val="style0"/>
        <w:rPr>
          <w:rFonts w:ascii="Avenir Next" w:hAnsi="Avenir Next"/>
        </w:rPr>
      </w:pPr>
      <w:r>
        <w:rPr>
          <w:rFonts w:ascii="Avenir Next" w:hAnsi="Avenir Next"/>
        </w:rPr>
        <w:t xml:space="preserve">[[Figure figNum: Bar chart of housing unit demand by cohort: 2010 through 2030. Age breaks on the x-axis: 15 - </w:t>
      </w:r>
      <w:commentRangeStart w:id="11"/>
      <w:r>
        <w:rPr>
          <w:rFonts w:ascii="Avenir Next" w:hAnsi="Avenir Next"/>
        </w:rPr>
        <w:t>3</w:t>
      </w:r>
      <w:ins w:author="treardon" w:date="2014-06-08T22:34:00Z" w:id="332">
        <w:r>
          <w:rPr>
            <w:rFonts w:ascii="Avenir Next" w:hAnsi="Avenir Next"/>
          </w:rPr>
          <w:t>4</w:t>
        </w:r>
      </w:ins>
      <w:del w:author="treardon" w:date="2014-06-08T22:34:00Z" w:id="333">
        <w:r>
          <w:rPr>
            <w:rFonts w:ascii="Avenir Next" w:hAnsi="Avenir Next"/>
          </w:rPr>
          <w:delText>3</w:delText>
        </w:r>
      </w:del>
      <w:r>
        <w:rPr>
          <w:rFonts w:ascii="Avenir Next" w:hAnsi="Avenir Next"/>
        </w:rPr>
        <w:t xml:space="preserve">, 35-54, 55 - 74, and 75+. </w:t>
      </w:r>
      <w:commentRangeEnd w:id="11"/>
      <w:r>
        <w:rPr>
          <w:rFonts w:ascii="Avenir Next" w:hAnsi="Avenir Next"/>
        </w:rPr>
      </w:r>
      <w:del w:author="Unknown Author" w:date="2014-06-09T15:03:00Z" w:id="336">
        <w:r>
          <w:rPr>
            <w:rFonts w:ascii="Avenir Next" w:hAnsi="Avenir Next"/>
          </w:rPr>
          <w:commentReference w:id="11"/>
        </w:r>
      </w:del>
      <w:r>
        <w:rPr>
          <w:rFonts w:ascii="Avenir Next" w:hAnsi="Avenir Next"/>
        </w:rPr>
        <w:t>Bars are stacked and colored by unit type and tenure (single family rental and owner, and multifamily rental and owner. See figure Housing Unit Demand by Cohort, 2010 - 2020 in Abington HPP report.]]</w:t>
      </w:r>
    </w:p>
    <w:p>
      <w:pPr>
        <w:pStyle w:val="style0"/>
        <w:rPr>
          <w:rFonts w:ascii="Avenir Next" w:hAnsi="Avenir Next"/>
        </w:rPr>
      </w:pPr>
      <w:r>
        <w:rPr>
          <w:rFonts w:ascii="Avenir Next" w:hAnsi="Avenir Next"/>
        </w:rPr>
        <w:t>Supply</w:t>
      </w:r>
    </w:p>
    <w:p>
      <w:pPr>
        <w:pStyle w:val="style0"/>
        <w:rPr>
          <w:rFonts w:ascii="Avenir Next" w:hAnsi="Avenir Next"/>
        </w:rPr>
      </w:pPr>
      <w:bookmarkStart w:id="7" w:name="supply"/>
      <w:bookmarkEnd w:id="7"/>
      <w:r>
        <w:rPr>
          <w:rFonts w:ascii="Avenir Next" w:hAnsi="Avenir Next"/>
        </w:rPr>
        <w:t xml:space="preserve">Supply is measured by the number and type of housing units in a community. It is the part of the housing market that municipalities can directly control through zoning and other land use policies. In this section, we look at the current supply of housing units in </w:t>
      </w:r>
      <w:del w:author="Unknown Author" w:date="2014-06-09T15:03:00Z" w:id="340">
        <w:r>
          <w:rPr>
            <w:rFonts w:ascii="Avenir Next" w:hAnsi="Avenir Next"/>
          </w:rPr>
          <w:delText>cityFoo</w:delText>
        </w:r>
      </w:del>
      <w:ins w:author="Unknown Author" w:date="2014-06-09T15:03:00Z" w:id="341">
        <w:r>
          <w:rPr>
            <w:rFonts w:ascii="Avenir Next" w:cs="Cambria" w:eastAsia="Arial Unicode MS" w:hAnsi="Avenir Next"/>
            <w:color w:val="00000A"/>
            <w:sz w:val="24"/>
            <w:szCs w:val="24"/>
            <w:lang w:bidi="ar-SA" w:eastAsia="en-US" w:val="en-US"/>
          </w:rPr>
          <w:t>#{@report.muni}</w:t>
        </w:r>
      </w:ins>
      <w:r>
        <w:rPr>
          <w:rFonts w:ascii="Avenir Next" w:hAnsi="Avenir Next"/>
        </w:rPr>
        <w:t xml:space="preserve">, as well as its distribution by unit type, building age, size, and cost. We also look at housing permitting in </w:t>
      </w:r>
      <w:del w:author="Unknown Author" w:date="2014-06-09T15:03:00Z" w:id="343">
        <w:r>
          <w:rPr>
            <w:rFonts w:ascii="Avenir Next" w:hAnsi="Avenir Next"/>
          </w:rPr>
          <w:delText>cityFoo</w:delText>
        </w:r>
      </w:del>
      <w:ins w:author="Unknown Author" w:date="2014-06-09T15:03:00Z" w:id="344">
        <w:r>
          <w:rPr>
            <w:rFonts w:ascii="Avenir Next" w:cs="Cambria" w:eastAsia="Arial Unicode MS" w:hAnsi="Avenir Next"/>
            <w:color w:val="00000A"/>
            <w:sz w:val="24"/>
            <w:szCs w:val="24"/>
            <w:lang w:bidi="ar-SA" w:eastAsia="en-US" w:val="en-US"/>
          </w:rPr>
          <w:t>#{@report.muni}</w:t>
        </w:r>
      </w:ins>
      <w:r>
        <w:rPr>
          <w:rFonts w:ascii="Avenir Next" w:hAnsi="Avenir Next"/>
        </w:rPr>
        <w:t xml:space="preserve"> since 2000 and compare it to projected future demand. These numbers can help your community to determine what policies are needed to ensure an adequate supply of housing to meet current and future demand.</w:t>
      </w:r>
    </w:p>
    <w:p>
      <w:pPr>
        <w:pStyle w:val="style0"/>
        <w:rPr>
          <w:rFonts w:ascii="Avenir Next" w:hAnsi="Avenir Next"/>
        </w:rPr>
      </w:pPr>
      <w:ins w:author="Unknown Author" w:date="2014-06-09T15:07:00Z" w:id="346">
        <w:r>
          <w:rPr>
            <w:rFonts w:ascii="Avenir Next" w:hAnsi="Avenir Next"/>
          </w:rPr>
        </w:r>
      </w:ins>
    </w:p>
    <w:p>
      <w:pPr>
        <w:pStyle w:val="style2"/>
        <w:rPr>
          <w:rFonts w:ascii="Avenir Next" w:hAnsi="Avenir Next"/>
        </w:rPr>
      </w:pPr>
      <w:ins w:author="Unknown Author" w:date="2014-06-09T15:07:00Z" w:id="347">
        <w:r>
          <w:rPr>
            <w:rFonts w:ascii="Avenir Next" w:hAnsi="Avenir Next"/>
          </w:rPr>
          <w:t xml:space="preserve">Subtopic: </w:t>
        </w:r>
      </w:ins>
      <w:r>
        <w:rPr>
          <w:rFonts w:ascii="Avenir Next" w:hAnsi="Avenir Next"/>
        </w:rPr>
        <w:t>Housing Units by Age</w:t>
      </w:r>
    </w:p>
    <w:p>
      <w:pPr>
        <w:pStyle w:val="style0"/>
        <w:rPr>
          <w:rFonts w:ascii="Avenir Next" w:hAnsi="Avenir Next"/>
        </w:rPr>
      </w:pPr>
      <w:bookmarkStart w:id="8" w:name="housing-units-by-age"/>
      <w:bookmarkEnd w:id="8"/>
      <w:r>
        <w:rPr>
          <w:rFonts w:ascii="Avenir Next" w:hAnsi="Avenir Next"/>
        </w:rPr>
        <w:t xml:space="preserve">The distribution of housing units by age is important for at least three reasons. First, </w:t>
      </w:r>
      <w:commentRangeStart w:id="12"/>
      <w:r>
        <w:rPr>
          <w:rFonts w:ascii="Avenir Next" w:hAnsi="Avenir Next"/>
        </w:rPr>
        <w:t xml:space="preserve">a </w:t>
      </w:r>
      <w:del w:author="cmartin" w:date="2014-06-04T14:51:00Z" w:id="351">
        <w:r>
          <w:rPr>
            <w:rFonts w:ascii="Avenir Next" w:hAnsi="Avenir Next"/>
          </w:rPr>
          <w:delText xml:space="preserve">relatively old </w:delText>
        </w:r>
      </w:del>
      <w:r>
        <w:rPr>
          <w:rFonts w:ascii="Avenir Next" w:hAnsi="Avenir Next"/>
        </w:rPr>
        <w:t xml:space="preserve">housing stock </w:t>
      </w:r>
      <w:ins w:author="cmartin" w:date="2014-06-04T14:51:00Z" w:id="353">
        <w:r>
          <w:rPr>
            <w:rFonts w:ascii="Avenir Next" w:hAnsi="Avenir Next"/>
          </w:rPr>
          <w:t xml:space="preserve">with few units built since 2000 </w:t>
        </w:r>
      </w:ins>
      <w:r>
        <w:rPr>
          <w:rFonts w:ascii="Avenir Next" w:hAnsi="Avenir Next"/>
        </w:rPr>
        <w:t>indicates that housing supply is growing slowly</w:t>
      </w:r>
      <w:commentRangeEnd w:id="12"/>
      <w:r>
        <w:rPr>
          <w:rFonts w:ascii="Avenir Next" w:hAnsi="Avenir Next"/>
        </w:rPr>
      </w:r>
      <w:del w:author="Unknown Author" w:date="2014-06-09T15:03:00Z" w:id="356">
        <w:r>
          <w:rPr>
            <w:rFonts w:ascii="Avenir Next" w:hAnsi="Avenir Next"/>
          </w:rPr>
          <w:commentReference w:id="12"/>
        </w:r>
      </w:del>
      <w:r>
        <w:rPr>
          <w:rFonts w:ascii="Avenir Next" w:hAnsi="Avenir Next"/>
        </w:rPr>
        <w:t>. If demand is expected to remain stable or increase in the future, this may result in upward pressure on housing prices. Second, older housing units can be more expensive to occupy, due to higher heating and maintenance costs. Third, certain federal housing programs, such as Community Development Block Grants, track the percent of housing units by age, and in particular the percent built before 1939.</w:t>
      </w:r>
    </w:p>
    <w:p>
      <w:pPr>
        <w:pStyle w:val="style0"/>
        <w:rPr>
          <w:rFonts w:ascii="Avenir Next" w:hAnsi="Avenir Next"/>
        </w:rPr>
      </w:pPr>
      <w:r>
        <w:rPr>
          <w:rFonts w:ascii="Avenir Next" w:hAnsi="Avenir Next"/>
        </w:rPr>
        <w:t xml:space="preserve">In </w:t>
      </w:r>
      <w:del w:author="Unknown Author" w:date="2014-06-09T15:03:00Z" w:id="359">
        <w:r>
          <w:rPr>
            <w:rFonts w:ascii="Avenir Next" w:hAnsi="Avenir Next"/>
          </w:rPr>
          <w:delText>cityFoo</w:delText>
        </w:r>
      </w:del>
      <w:ins w:author="Unknown Author" w:date="2014-06-09T15:03:00Z" w:id="360">
        <w:r>
          <w:rPr>
            <w:rFonts w:ascii="Avenir Next" w:cs="Cambria" w:eastAsia="Arial Unicode MS" w:hAnsi="Avenir Next"/>
            <w:color w:val="00000A"/>
            <w:sz w:val="24"/>
            <w:szCs w:val="24"/>
            <w:lang w:bidi="ar-SA" w:eastAsia="en-US" w:val="en-US"/>
          </w:rPr>
          <w:t>#{@report.muni}</w:t>
        </w:r>
      </w:ins>
      <w:r>
        <w:rPr>
          <w:rFonts w:ascii="Avenir Next" w:hAnsi="Avenir Next"/>
        </w:rPr>
        <w:t xml:space="preserve">, </w:t>
      </w:r>
      <w:ins w:author="cmartin" w:date="2014-06-04T14:52:00Z" w:id="362">
        <w:r>
          <w:rPr>
            <w:rFonts w:ascii="Avenir Next" w:hAnsi="Avenir Next"/>
          </w:rPr>
          <w:t>h_39_p</w:t>
        </w:r>
      </w:ins>
      <w:del w:author="cmartin" w:date="2014-06-04T14:52:00Z" w:id="363">
        <w:r>
          <w:rPr>
            <w:rFonts w:ascii="Avenir Next" w:hAnsi="Avenir Next"/>
          </w:rPr>
          <w:delText>h_39_p</w:delText>
        </w:r>
      </w:del>
      <w:r>
        <w:rPr>
          <w:rFonts w:ascii="Avenir Next" w:hAnsi="Avenir Next"/>
        </w:rPr>
        <w:t xml:space="preserve">% of housing units are in buildings built before 1939, compared to h_39_p% statewide. Another h4059_p% and h6079_p% of </w:t>
      </w:r>
      <w:del w:author="Unknown Author" w:date="2014-06-09T15:03:00Z" w:id="365">
        <w:r>
          <w:rPr>
            <w:rFonts w:ascii="Avenir Next" w:hAnsi="Avenir Next"/>
          </w:rPr>
          <w:delText>cityFoo</w:delText>
        </w:r>
      </w:del>
      <w:ins w:author="Unknown Author" w:date="2014-06-09T15:03:00Z" w:id="366">
        <w:r>
          <w:rPr>
            <w:rFonts w:ascii="Avenir Next" w:cs="Cambria" w:eastAsia="Arial Unicode MS" w:hAnsi="Avenir Next"/>
            <w:color w:val="00000A"/>
            <w:sz w:val="24"/>
            <w:szCs w:val="24"/>
            <w:lang w:bidi="ar-SA" w:eastAsia="en-US" w:val="en-US"/>
          </w:rPr>
          <w:t>#{@report.muni}</w:t>
        </w:r>
      </w:ins>
      <w:r>
        <w:rPr>
          <w:rFonts w:ascii="Avenir Next" w:hAnsi="Avenir Next"/>
        </w:rPr>
        <w:t xml:space="preserve"> units are in buildings that date from 1940-1959 and 1960-1979, respectively. Construction since 2000 accounts for h_00_p% of units, compared to h_00_p % statewide.</w:t>
      </w:r>
    </w:p>
    <w:p>
      <w:pPr>
        <w:pStyle w:val="style2"/>
        <w:rPr>
          <w:rFonts w:ascii="Avenir Next" w:hAnsi="Avenir Next"/>
        </w:rPr>
      </w:pPr>
      <w:ins w:author="Unknown Author" w:date="2014-06-09T15:07:00Z" w:id="368">
        <w:r>
          <w:rPr>
            <w:rFonts w:ascii="Avenir Next" w:hAnsi="Avenir Next"/>
          </w:rPr>
          <w:t xml:space="preserve">Subtopic: </w:t>
        </w:r>
      </w:ins>
      <w:r>
        <w:rPr>
          <w:rFonts w:ascii="Avenir Next" w:hAnsi="Avenir Next"/>
        </w:rPr>
        <w:t>Housing Units by Type</w:t>
      </w:r>
    </w:p>
    <w:p>
      <w:pPr>
        <w:pStyle w:val="style0"/>
        <w:rPr>
          <w:rFonts w:ascii="Avenir Next" w:hAnsi="Avenir Next"/>
        </w:rPr>
      </w:pPr>
      <w:bookmarkStart w:id="9" w:name="housing-units-by-type"/>
      <w:bookmarkEnd w:id="9"/>
      <w:r>
        <w:rPr>
          <w:rFonts w:ascii="Avenir Next" w:hAnsi="Avenir Next"/>
        </w:rPr>
        <w:t xml:space="preserve">Housing preferences are projected to change, as both younger householders and seniors opt for smaller, multifamily units, as seen above. It is important to compare these projections to the current distribution of units in order to calibrate supply to future demand. In </w:t>
      </w:r>
      <w:del w:author="Unknown Author" w:date="2014-06-09T15:03:00Z" w:id="371">
        <w:r>
          <w:rPr>
            <w:rFonts w:ascii="Avenir Next" w:hAnsi="Avenir Next"/>
          </w:rPr>
          <w:delText>cityFoo</w:delText>
        </w:r>
      </w:del>
      <w:ins w:author="Unknown Author" w:date="2014-06-09T15:03:00Z" w:id="372">
        <w:r>
          <w:rPr>
            <w:rFonts w:ascii="Avenir Next" w:cs="Cambria" w:eastAsia="Arial Unicode MS" w:hAnsi="Avenir Next"/>
            <w:color w:val="00000A"/>
            <w:sz w:val="24"/>
            <w:szCs w:val="24"/>
            <w:lang w:bidi="ar-SA" w:eastAsia="en-US" w:val="en-US"/>
          </w:rPr>
          <w:t>#{@report.muni}</w:t>
        </w:r>
      </w:ins>
      <w:r>
        <w:rPr>
          <w:rFonts w:ascii="Avenir Next" w:hAnsi="Avenir Next"/>
        </w:rPr>
        <w:t>, u1_p% of units are in single family homes, compared to u1_p% statewide and u1_p% for the [insert Community Type]; u2_p + u3_4_p% of all units are in two- to four-family buildings; and u5_9p + u10_19_p + u20ov_p% are in multifamily buildings with five or more units. The remainder are in non-permanent structures, such as mobile homes.</w:t>
      </w:r>
    </w:p>
    <w:p>
      <w:pPr>
        <w:pStyle w:val="style2"/>
        <w:rPr>
          <w:rFonts w:ascii="Avenir Next" w:hAnsi="Avenir Next"/>
        </w:rPr>
      </w:pPr>
      <w:ins w:author="Unknown Author" w:date="2014-06-09T15:07:00Z" w:id="374">
        <w:r>
          <w:rPr>
            <w:rFonts w:ascii="Avenir Next" w:hAnsi="Avenir Next"/>
          </w:rPr>
          <w:t xml:space="preserve">Topic: </w:t>
        </w:r>
      </w:ins>
      <w:r>
        <w:rPr>
          <w:rFonts w:ascii="Avenir Next" w:hAnsi="Avenir Next"/>
        </w:rPr>
        <w:t>Housing Permits</w:t>
      </w:r>
    </w:p>
    <w:p>
      <w:pPr>
        <w:pStyle w:val="style2"/>
        <w:rPr>
          <w:rFonts w:ascii="Avenir Next" w:hAnsi="Avenir Next"/>
        </w:rPr>
      </w:pPr>
      <w:del w:author="Unknown Author" w:date="2014-06-09T15:07:00Z" w:id="376">
        <w:r>
          <w:rPr>
            <w:rFonts w:ascii="Avenir Next" w:hAnsi="Avenir Next"/>
          </w:rPr>
          <w:delText xml:space="preserve">: </w:delText>
        </w:r>
      </w:del>
      <w:ins w:author="Unknown Author" w:date="2014-06-09T15:07:00Z" w:id="377">
        <w:r>
          <w:rPr>
            <w:rFonts w:ascii="Avenir Next" w:hAnsi="Avenir Next"/>
          </w:rPr>
          <w:t xml:space="preserve">Subtopic: </w:t>
        </w:r>
      </w:ins>
      <w:r>
        <w:rPr>
          <w:rFonts w:ascii="Avenir Next" w:hAnsi="Avenir Next"/>
        </w:rPr>
        <w:t>2000 - 2012</w:t>
      </w:r>
    </w:p>
    <w:p>
      <w:pPr>
        <w:pStyle w:val="style0"/>
        <w:rPr>
          <w:rFonts w:ascii="Avenir Next" w:hAnsi="Avenir Next"/>
        </w:rPr>
      </w:pPr>
      <w:bookmarkStart w:id="10" w:name="housing-permits-2000---2012"/>
      <w:bookmarkEnd w:id="10"/>
      <w:r>
        <w:rPr>
          <w:rFonts w:ascii="Avenir Next" w:hAnsi="Avenir Next"/>
        </w:rPr>
        <w:t>One way to measure whether or not a municipality is on track to meet future demand is to compare recent permitting activity to future projected demand. If annual permitting for single or multifamily housing units is historically lower than projected annual demand, this indicates a need to increase the rate of single or multifamily permitting in the future.</w:t>
      </w:r>
      <w:r>
        <w:rPr>
          <w:rStyle w:val="style34"/>
          <w:rFonts w:ascii="Avenir Next" w:hAnsi="Avenir Next"/>
        </w:rPr>
        <w:footnoteReference w:id="7"/>
      </w:r>
      <w:r>
        <w:rPr>
          <w:rFonts w:ascii="Avenir Next" w:hAnsi="Avenir Next"/>
        </w:rPr>
        <w:t xml:space="preserve"> From 2000 to 2012, </w:t>
      </w:r>
      <w:del w:author="Unknown Author" w:date="2014-06-09T15:03:00Z" w:id="382">
        <w:r>
          <w:rPr>
            <w:rFonts w:ascii="Avenir Next" w:hAnsi="Avenir Next"/>
          </w:rPr>
          <w:delText>cityFoo</w:delText>
        </w:r>
      </w:del>
      <w:ins w:author="Unknown Author" w:date="2014-06-09T15:03:00Z" w:id="383">
        <w:r>
          <w:rPr>
            <w:rFonts w:ascii="Avenir Next" w:cs="Cambria" w:eastAsia="Arial Unicode MS" w:hAnsi="Avenir Next"/>
            <w:color w:val="00000A"/>
            <w:sz w:val="24"/>
            <w:szCs w:val="24"/>
            <w:lang w:bidi="ar-SA" w:eastAsia="en-US" w:val="en-US"/>
          </w:rPr>
          <w:t>#{@report.muni}</w:t>
        </w:r>
      </w:ins>
      <w:r>
        <w:rPr>
          <w:rFonts w:ascii="Avenir Next" w:hAnsi="Avenir Next"/>
        </w:rPr>
        <w:t xml:space="preserve"> permitted sf_units single family and mf_units multifamily housing units annually, as seen in figNum. </w:t>
      </w:r>
      <w:commentRangeStart w:id="13"/>
      <w:r>
        <w:rPr>
          <w:rFonts w:ascii="Avenir Next" w:hAnsi="Avenir Next"/>
        </w:rPr>
      </w:r>
      <w:del w:author="cmartin" w:date="2014-06-09T13:32:00Z" w:id="386">
        <w:r>
          <w:rPr>
            <w:rFonts w:ascii="Avenir Next" w:hAnsi="Avenir Next"/>
          </w:rPr>
          <w:delText>Horizontal lines indicate the projected average annual demand for new single and multifamily units through 2030.</w:delText>
        </w:r>
      </w:del>
      <w:commentRangeEnd w:id="13"/>
      <w:r>
        <w:rPr>
          <w:rFonts w:ascii="Avenir Next" w:hAnsi="Avenir Next"/>
        </w:rPr>
      </w:r>
      <w:del w:author="Unknown Author" w:date="2014-06-09T15:03:00Z" w:id="388">
        <w:r>
          <w:rPr>
            <w:rFonts w:ascii="Avenir Next" w:hAnsi="Avenir Next"/>
          </w:rPr>
          <w:commentReference w:id="13"/>
        </w:r>
      </w:del>
      <w:ins w:author="cmartin" w:date="2014-06-09T13:32:00Z" w:id="389">
        <w:r>
          <w:rPr>
            <w:rFonts w:ascii="Avenir Next" w:hAnsi="Avenir Next"/>
          </w:rPr>
          <w:t xml:space="preserve"> By comparison, </w:t>
        </w:r>
      </w:ins>
      <w:del w:author="Unknown Author" w:date="2014-06-09T15:03:00Z" w:id="390">
        <w:r>
          <w:rPr>
            <w:rFonts w:ascii="Avenir Next" w:hAnsi="Avenir Next"/>
          </w:rPr>
          <w:delText>cityFoo</w:delText>
        </w:r>
      </w:del>
      <w:ins w:author="Unknown Author" w:date="2014-06-09T15:03:00Z" w:id="391">
        <w:r>
          <w:rPr>
            <w:rFonts w:ascii="Avenir Next" w:cs="Cambria" w:eastAsia="Arial Unicode MS" w:hAnsi="Avenir Next"/>
            <w:color w:val="00000A"/>
            <w:sz w:val="24"/>
            <w:szCs w:val="24"/>
            <w:lang w:bidi="ar-SA" w:eastAsia="en-US" w:val="en-US"/>
          </w:rPr>
          <w:t>#{@report.muni}</w:t>
        </w:r>
      </w:ins>
      <w:ins w:author="cmartin" w:date="2014-06-09T13:32:00Z" w:id="392">
        <w:r>
          <w:rPr>
            <w:rFonts w:ascii="Avenir Next" w:hAnsi="Avenir Next"/>
          </w:rPr>
          <w:t xml:space="preserve"> faces a</w:t>
        </w:r>
      </w:ins>
      <w:ins w:author="cmartin" w:date="2014-06-09T13:41:00Z" w:id="393">
        <w:r>
          <w:rPr>
            <w:rFonts w:ascii="Avenir Next" w:hAnsi="Avenir Next"/>
          </w:rPr>
          <w:t>n annual</w:t>
        </w:r>
      </w:ins>
      <w:ins w:author="cmartin" w:date="2014-06-09T13:32:00Z" w:id="394">
        <w:r>
          <w:rPr>
            <w:rFonts w:ascii="Avenir Next" w:hAnsi="Avenir Next"/>
          </w:rPr>
          <w:t xml:space="preserve"> projected demand of </w:t>
        </w:r>
      </w:ins>
      <w:ins w:author="cmartin" w:date="2014-06-09T13:41:00Z" w:id="395">
        <w:r>
          <w:rPr>
            <w:rFonts w:ascii="Avenir Next" w:hAnsi="Avenir Next"/>
          </w:rPr>
          <w:t xml:space="preserve">(sfo1534_20 + sfr1534_20 + sfo3554_20 + sfr3554_20 + sfo5574_20 + sfr5574_20 + sfo75p_20 + sfr75p_20)/10 </w:t>
        </w:r>
      </w:ins>
      <w:ins w:author="cmartin" w:date="2014-06-09T13:42:00Z" w:id="396">
        <w:r>
          <w:rPr>
            <w:rFonts w:ascii="Avenir Next" w:hAnsi="Avenir Next"/>
          </w:rPr>
          <w:t xml:space="preserve">single family units and (mfo1534_20 + mfr1534_20 + mfo3554_20 + mfr3554_20 + mfo5574_20 + mfr5574_20 + mfo75p_20 + mfr75p_20)/10 multifamily units. </w:t>
        </w:r>
      </w:ins>
    </w:p>
    <w:p>
      <w:pPr>
        <w:pStyle w:val="style0"/>
        <w:rPr>
          <w:rFonts w:ascii="Avenir Next" w:hAnsi="Avenir Next"/>
        </w:rPr>
      </w:pPr>
      <w:r>
        <w:rPr>
          <w:rFonts w:ascii="Avenir Next" w:hAnsi="Avenir Next"/>
        </w:rPr>
        <w:t>[[Line graph with permitted single family and multifamily units per year from 2000 to 2013. Overall horizontal lines to indicate the average annual demand for new single family and multifamily units. These may also work better as separate graphs, especially in communities with historically low multifamily permitting.]]</w:t>
      </w:r>
    </w:p>
    <w:p>
      <w:pPr>
        <w:pStyle w:val="style1"/>
        <w:rPr>
          <w:rFonts w:ascii="Avenir Next" w:hAnsi="Avenir Next"/>
        </w:rPr>
      </w:pPr>
      <w:ins w:author="Unknown Author" w:date="2014-06-09T15:08:00Z" w:id="398">
        <w:r>
          <w:rPr>
            <w:rFonts w:ascii="Avenir Next" w:hAnsi="Avenir Next"/>
          </w:rPr>
          <w:t xml:space="preserve">Topic Area: </w:t>
        </w:r>
      </w:ins>
      <w:r>
        <w:rPr>
          <w:rFonts w:ascii="Avenir Next" w:hAnsi="Avenir Next"/>
        </w:rPr>
        <w:t>Affordability</w:t>
      </w:r>
    </w:p>
    <w:p>
      <w:pPr>
        <w:pStyle w:val="style0"/>
        <w:rPr>
          <w:rFonts w:ascii="Avenir Next" w:hAnsi="Avenir Next"/>
        </w:rPr>
      </w:pPr>
      <w:bookmarkStart w:id="11" w:name="affordability"/>
      <w:bookmarkEnd w:id="11"/>
      <w:commentRangeStart w:id="14"/>
      <w:r>
        <w:rPr>
          <w:rFonts w:ascii="Avenir Next" w:hAnsi="Avenir Next"/>
        </w:rPr>
        <w:t xml:space="preserve">Housing prices are determined by the demand for and supply of housing units. If supply does not keep up with demand, higher prices result. </w:t>
      </w:r>
      <w:commentRangeEnd w:id="14"/>
      <w:r>
        <w:rPr>
          <w:rFonts w:ascii="Avenir Next" w:hAnsi="Avenir Next"/>
        </w:rPr>
      </w:r>
      <w:del w:author="Unknown Author" w:date="2014-06-09T15:03:00Z" w:id="402">
        <w:r>
          <w:rPr>
            <w:rFonts w:ascii="Avenir Next" w:hAnsi="Avenir Next"/>
          </w:rPr>
          <w:commentReference w:id="14"/>
        </w:r>
      </w:del>
      <w:r>
        <w:rPr>
          <w:rFonts w:ascii="Avenir Next" w:hAnsi="Avenir Next"/>
        </w:rPr>
        <w:t>Affordability is determined by the distribution of housing prices and household incomes. If prices rise but incomes remain flat - a familiar dynamic in many communities in recent years - affordability declines.</w:t>
      </w:r>
    </w:p>
    <w:p>
      <w:pPr>
        <w:pStyle w:val="style0"/>
        <w:rPr>
          <w:rFonts w:ascii="Avenir Next" w:hAnsi="Avenir Next"/>
        </w:rPr>
      </w:pPr>
      <w:commentRangeStart w:id="15"/>
      <w:r>
        <w:rPr>
          <w:rFonts w:ascii="Avenir Next" w:hAnsi="Avenir Next"/>
        </w:rPr>
        <w:t>Affordability is measured in several ways. In this section, we will measure affordability according to:</w:t>
      </w:r>
      <w:commentRangeEnd w:id="15"/>
      <w:r>
        <w:rPr>
          <w:rFonts w:ascii="Avenir Next" w:hAnsi="Avenir Next"/>
        </w:rPr>
      </w:r>
      <w:del w:author="Unknown Author" w:date="2014-06-09T15:03:00Z" w:id="406">
        <w:r>
          <w:rPr>
            <w:rFonts w:ascii="Avenir Next" w:hAnsi="Avenir Next"/>
          </w:rPr>
          <w:commentReference w:id="15"/>
        </w:r>
      </w:del>
    </w:p>
    <w:p>
      <w:pPr>
        <w:pStyle w:val="style0"/>
        <w:numPr>
          <w:ilvl w:val="0"/>
          <w:numId w:val="2"/>
        </w:numPr>
        <w:rPr>
          <w:rFonts w:ascii="Avenir Next" w:hAnsi="Avenir Next"/>
        </w:rPr>
      </w:pPr>
      <w:r>
        <w:rPr>
          <w:rFonts w:ascii="Avenir Next" w:hAnsi="Avenir Next"/>
        </w:rPr>
        <w:t>the percent of households that pay more than 30% and 50% of income on housing costs (“cost burdened” and “severely cost burdened,” respectively), by household tenure, income, and type;</w:t>
      </w:r>
    </w:p>
    <w:p>
      <w:pPr>
        <w:pStyle w:val="style0"/>
        <w:numPr>
          <w:ilvl w:val="0"/>
          <w:numId w:val="2"/>
        </w:numPr>
        <w:rPr>
          <w:rFonts w:ascii="Avenir Next" w:hAnsi="Avenir Next"/>
        </w:rPr>
      </w:pPr>
      <w:r>
        <w:rPr>
          <w:rFonts w:ascii="Avenir Next" w:hAnsi="Avenir Next"/>
        </w:rPr>
        <w:t>the percent of housing units listed on the Massachusetts Subsidized Housing Inventory (SHI),</w:t>
      </w:r>
    </w:p>
    <w:p>
      <w:pPr>
        <w:pStyle w:val="style0"/>
        <w:numPr>
          <w:ilvl w:val="0"/>
          <w:numId w:val="2"/>
        </w:numPr>
        <w:rPr>
          <w:rFonts w:ascii="Avenir Next" w:hAnsi="Avenir Next"/>
        </w:rPr>
      </w:pPr>
      <w:r>
        <w:rPr>
          <w:rFonts w:ascii="Avenir Next" w:hAnsi="Avenir Next"/>
        </w:rPr>
        <w:t>the percent of recent home sales affordable to low and median income households, and</w:t>
      </w:r>
    </w:p>
    <w:p>
      <w:pPr>
        <w:pStyle w:val="style0"/>
        <w:numPr>
          <w:ilvl w:val="0"/>
          <w:numId w:val="2"/>
        </w:numPr>
        <w:rPr>
          <w:rFonts w:ascii="Avenir Next" w:hAnsi="Avenir Next"/>
        </w:rPr>
      </w:pPr>
      <w:r>
        <w:rPr>
          <w:rFonts w:ascii="Avenir Next" w:hAnsi="Avenir Next"/>
        </w:rPr>
        <w:t>the gap between the number of households by income level, and the number of housing units affordable by income level.</w:t>
      </w:r>
    </w:p>
    <w:p>
      <w:pPr>
        <w:pStyle w:val="style2"/>
        <w:rPr>
          <w:rFonts w:ascii="Avenir Next" w:hAnsi="Avenir Next"/>
        </w:rPr>
      </w:pPr>
      <w:ins w:author="Unknown Author" w:date="2014-06-09T15:08:00Z" w:id="411">
        <w:r>
          <w:rPr>
            <w:rFonts w:ascii="Avenir Next" w:hAnsi="Avenir Next"/>
          </w:rPr>
          <w:t xml:space="preserve">Topic: </w:t>
        </w:r>
      </w:ins>
      <w:r>
        <w:rPr>
          <w:rFonts w:ascii="Avenir Next" w:hAnsi="Avenir Next"/>
        </w:rPr>
        <w:t>Households by Income</w:t>
      </w:r>
    </w:p>
    <w:p>
      <w:pPr>
        <w:pStyle w:val="style0"/>
        <w:rPr>
          <w:rFonts w:ascii="Avenir Next" w:hAnsi="Avenir Next"/>
        </w:rPr>
      </w:pPr>
      <w:bookmarkStart w:id="12" w:name="households-by-income"/>
      <w:bookmarkEnd w:id="12"/>
      <w:r>
        <w:rPr>
          <w:rFonts w:ascii="Avenir Next" w:hAnsi="Avenir Next"/>
        </w:rPr>
        <w:t xml:space="preserve">Affordability is of particular concern to low income households. Many federal and state housing programs define low income households according to household size and household income, measured as a percent of </w:t>
      </w:r>
      <w:commentRangeStart w:id="16"/>
      <w:r>
        <w:rPr>
          <w:rFonts w:ascii="Avenir Next" w:hAnsi="Avenir Next"/>
        </w:rPr>
        <w:t>Area Median Income</w:t>
      </w:r>
      <w:commentRangeEnd w:id="16"/>
      <w:r>
        <w:rPr>
          <w:rFonts w:ascii="Avenir Next" w:hAnsi="Avenir Next"/>
        </w:rPr>
      </w:r>
      <w:del w:author="Unknown Author" w:date="2014-06-09T15:03:00Z" w:id="416">
        <w:r>
          <w:rPr>
            <w:rFonts w:ascii="Avenir Next" w:hAnsi="Avenir Next"/>
          </w:rPr>
          <w:commentReference w:id="16"/>
        </w:r>
      </w:del>
      <w:r>
        <w:rPr>
          <w:rFonts w:ascii="Avenir Next" w:hAnsi="Avenir Next"/>
        </w:rPr>
        <w:t>. The breakdown for extremely low, very low, and low income households by household size is shown in Table tableNum below.</w:t>
      </w:r>
    </w:p>
    <w:p>
      <w:pPr>
        <w:pStyle w:val="style0"/>
        <w:rPr>
          <w:rFonts w:ascii="Avenir Next" w:hAnsi="Avenir Next"/>
        </w:rPr>
      </w:pPr>
      <w:r>
        <w:rPr>
          <w:rFonts w:ascii="Avenir Next" w:hAnsi="Avenir Next"/>
        </w:rPr>
        <w:t>[[Table modeled after Table 11 in Everett HPP, page 23.]]</w:t>
      </w:r>
    </w:p>
    <w:p>
      <w:pPr>
        <w:pStyle w:val="style0"/>
        <w:rPr>
          <w:rFonts w:ascii="Avenir Next" w:hAnsi="Avenir Next"/>
        </w:rPr>
      </w:pPr>
      <w:r>
        <w:rPr>
          <w:rFonts w:ascii="Avenir Next" w:hAnsi="Avenir Next"/>
        </w:rPr>
        <w:t xml:space="preserve">In </w:t>
      </w:r>
      <w:del w:author="Unknown Author" w:date="2014-06-09T15:03:00Z" w:id="420">
        <w:r>
          <w:rPr>
            <w:rFonts w:ascii="Avenir Next" w:hAnsi="Avenir Next"/>
          </w:rPr>
          <w:delText>cityFoo</w:delText>
        </w:r>
      </w:del>
      <w:ins w:author="Unknown Author" w:date="2014-06-09T15:03:00Z" w:id="421">
        <w:r>
          <w:rPr>
            <w:rFonts w:ascii="Avenir Next" w:cs="Cambria" w:eastAsia="Arial Unicode MS" w:hAnsi="Avenir Next"/>
            <w:color w:val="00000A"/>
            <w:sz w:val="24"/>
            <w:szCs w:val="24"/>
            <w:lang w:bidi="ar-SA" w:eastAsia="en-US" w:val="en-US"/>
          </w:rPr>
          <w:t>#{@report.muni}</w:t>
        </w:r>
      </w:ins>
      <w:r>
        <w:rPr>
          <w:rFonts w:ascii="Avenir Next" w:hAnsi="Avenir Next"/>
        </w:rPr>
        <w:t xml:space="preserve">, amiu30p%, ami3050p%, and ami5080p% of households are extremely low, very low, and low income, respectively. This means that amiu30p  + ami3050p  + ami5080p % of all households qualify for federal and state affordable housing programs based on household income. </w:t>
      </w:r>
    </w:p>
    <w:p>
      <w:pPr>
        <w:pStyle w:val="style0"/>
        <w:rPr>
          <w:rFonts w:ascii="Avenir Next" w:hAnsi="Avenir Next"/>
        </w:rPr>
      </w:pPr>
      <w:r>
        <w:rPr>
          <w:rFonts w:ascii="Avenir Next" w:hAnsi="Avenir Next"/>
        </w:rPr>
        <w:t>[[Bar graph of household projections by household income. Similar to household by age, expect bars will be filed in according to income.]]</w:t>
      </w:r>
    </w:p>
    <w:p>
      <w:pPr>
        <w:pStyle w:val="style2"/>
        <w:rPr>
          <w:rFonts w:ascii="Avenir Next" w:hAnsi="Avenir Next"/>
        </w:rPr>
      </w:pPr>
      <w:ins w:author="Unknown Author" w:date="2014-06-09T15:08:00Z" w:id="424">
        <w:r>
          <w:rPr>
            <w:rFonts w:ascii="Avenir Next" w:hAnsi="Avenir Next"/>
          </w:rPr>
          <w:t xml:space="preserve">Topic: </w:t>
        </w:r>
      </w:ins>
      <w:r>
        <w:rPr>
          <w:rFonts w:ascii="Avenir Next" w:hAnsi="Avenir Next"/>
        </w:rPr>
        <w:t>Housing Cost Burden</w:t>
      </w:r>
    </w:p>
    <w:p>
      <w:pPr>
        <w:pStyle w:val="style0"/>
        <w:rPr>
          <w:rFonts w:ascii="Avenir Next" w:hAnsi="Avenir Next"/>
        </w:rPr>
      </w:pPr>
      <w:bookmarkStart w:id="13" w:name="housing-cost-burden"/>
      <w:bookmarkEnd w:id="13"/>
      <w:r>
        <w:rPr>
          <w:rFonts w:ascii="Avenir Next" w:hAnsi="Avenir Next"/>
        </w:rPr>
        <w:t xml:space="preserve">The most common measure of housing affordability is the percent of income that households spend on housing costs. According to most federal and state agencies, households that spend more than 30% of income on housing costs are “cost burdened.” Households that spend more than 50% of income on housing are “severely cost burdened.” Areas where more than 30% of households are cost burdened face an affordable housing shortage. In </w:t>
      </w:r>
      <w:del w:author="Unknown Author" w:date="2014-06-09T15:03:00Z" w:id="427">
        <w:r>
          <w:rPr>
            <w:rFonts w:ascii="Avenir Next" w:hAnsi="Avenir Next"/>
          </w:rPr>
          <w:delText>cityFoo</w:delText>
        </w:r>
      </w:del>
      <w:ins w:author="Unknown Author" w:date="2014-06-09T15:03:00Z" w:id="428">
        <w:r>
          <w:rPr>
            <w:rFonts w:ascii="Avenir Next" w:cs="Cambria" w:eastAsia="Arial Unicode MS" w:hAnsi="Avenir Next"/>
            <w:color w:val="00000A"/>
            <w:sz w:val="24"/>
            <w:szCs w:val="24"/>
            <w:lang w:bidi="ar-SA" w:eastAsia="en-US" w:val="en-US"/>
          </w:rPr>
          <w:t>#{@report.muni}</w:t>
        </w:r>
      </w:ins>
      <w:r>
        <w:rPr>
          <w:rFonts w:ascii="Avenir Next" w:hAnsi="Avenir Next"/>
        </w:rPr>
        <w:t>, 100*(o_cb + r_cb)/( ownoccv2 + r_occv2)% and 100*(o_cb50 + r_cb50)/( ownoccv2 + r_occv2)%  of households are cost burdened and severely cost burdened, respectively, compared to 100*(o_cb + r_cb)/( ownoccv2 + r_occv2)% and 100*(o_cb50 + r_cb50)/( ownoccv2 + r_occv2)%  of households statewide.</w:t>
      </w:r>
    </w:p>
    <w:p>
      <w:pPr>
        <w:pStyle w:val="style3"/>
        <w:rPr>
          <w:rFonts w:ascii="Avenir Next" w:hAnsi="Avenir Next"/>
        </w:rPr>
      </w:pPr>
      <w:ins w:author="Unknown Author" w:date="2014-06-09T15:08:00Z" w:id="430">
        <w:r>
          <w:rPr>
            <w:rFonts w:ascii="Avenir Next" w:hAnsi="Avenir Next"/>
          </w:rPr>
          <w:t xml:space="preserve">Subtopic: </w:t>
        </w:r>
      </w:ins>
      <w:r>
        <w:rPr>
          <w:rFonts w:ascii="Avenir Next" w:hAnsi="Avenir Next"/>
        </w:rPr>
        <w:t>Cost Burden by Tenure</w:t>
      </w:r>
    </w:p>
    <w:p>
      <w:pPr>
        <w:pStyle w:val="style0"/>
        <w:rPr>
          <w:rFonts w:ascii="Avenir Next" w:hAnsi="Avenir Next"/>
        </w:rPr>
      </w:pPr>
      <w:bookmarkStart w:id="14" w:name="cost-burden-by-tenure"/>
      <w:bookmarkEnd w:id="14"/>
      <w:r>
        <w:rPr>
          <w:rFonts w:ascii="Avenir Next" w:hAnsi="Avenir Next"/>
        </w:rPr>
        <w:t xml:space="preserve">Cost burden rates are typically higher among renter households. Statewide, r_cb_p% of renter and o_cb_p% of owners are cost burdened, respectively. In </w:t>
      </w:r>
      <w:del w:author="Unknown Author" w:date="2014-06-09T15:03:00Z" w:id="433">
        <w:r>
          <w:rPr>
            <w:rFonts w:ascii="Avenir Next" w:hAnsi="Avenir Next"/>
          </w:rPr>
          <w:delText>cityFoo</w:delText>
        </w:r>
      </w:del>
      <w:ins w:author="Unknown Author" w:date="2014-06-09T15:03:00Z" w:id="434">
        <w:r>
          <w:rPr>
            <w:rFonts w:ascii="Avenir Next" w:cs="Cambria" w:eastAsia="Arial Unicode MS" w:hAnsi="Avenir Next"/>
            <w:color w:val="00000A"/>
            <w:sz w:val="24"/>
            <w:szCs w:val="24"/>
            <w:lang w:bidi="ar-SA" w:eastAsia="en-US" w:val="en-US"/>
          </w:rPr>
          <w:t>#{@report.muni}</w:t>
        </w:r>
      </w:ins>
      <w:r>
        <w:rPr>
          <w:rFonts w:ascii="Avenir Next" w:hAnsi="Avenir Next"/>
        </w:rPr>
        <w:t>, r_cb_p% of renters are cost burdened, versus o_cb_p% of owners.</w:t>
      </w:r>
    </w:p>
    <w:p>
      <w:pPr>
        <w:pStyle w:val="style3"/>
        <w:rPr>
          <w:rFonts w:ascii="Avenir Next" w:hAnsi="Avenir Next"/>
        </w:rPr>
      </w:pPr>
      <w:ins w:author="Unknown Author" w:date="2014-06-09T15:08:00Z" w:id="436">
        <w:r>
          <w:rPr>
            <w:rFonts w:ascii="Avenir Next" w:hAnsi="Avenir Next"/>
          </w:rPr>
          <w:t xml:space="preserve">Subtopic: </w:t>
        </w:r>
      </w:ins>
      <w:r>
        <w:rPr>
          <w:rFonts w:ascii="Avenir Next" w:hAnsi="Avenir Next"/>
        </w:rPr>
        <w:t>Cost Burden by Income</w:t>
      </w:r>
    </w:p>
    <w:p>
      <w:pPr>
        <w:pStyle w:val="style0"/>
        <w:rPr>
          <w:rFonts w:ascii="Avenir Next" w:hAnsi="Avenir Next"/>
        </w:rPr>
      </w:pPr>
      <w:bookmarkStart w:id="15" w:name="cost-burden-by-income"/>
      <w:bookmarkEnd w:id="15"/>
      <w:r>
        <w:rPr>
          <w:rFonts w:ascii="Avenir Next" w:hAnsi="Avenir Next"/>
        </w:rPr>
        <w:t xml:space="preserve">As expected, cost burden is also more common among low income households. Statewide, eli_cbp% of all extremely low income households,  vli_cbp% of very low income households, and li_cbp% of low income households are cost burdened, versus hi_cbp% of households with incomes above 100% AMI. Figure figNum shows the percent of </w:t>
      </w:r>
      <w:del w:author="Unknown Author" w:date="2014-06-09T15:03:00Z" w:id="439">
        <w:r>
          <w:rPr>
            <w:rFonts w:ascii="Avenir Next" w:hAnsi="Avenir Next"/>
          </w:rPr>
          <w:delText>cityFoo</w:delText>
        </w:r>
      </w:del>
      <w:ins w:author="Unknown Author" w:date="2014-06-09T15:03:00Z" w:id="440">
        <w:r>
          <w:rPr>
            <w:rFonts w:ascii="Avenir Next" w:cs="Cambria" w:eastAsia="Arial Unicode MS" w:hAnsi="Avenir Next"/>
            <w:color w:val="00000A"/>
            <w:sz w:val="24"/>
            <w:szCs w:val="24"/>
            <w:lang w:bidi="ar-SA" w:eastAsia="en-US" w:val="en-US"/>
          </w:rPr>
          <w:t>#{@report.muni}</w:t>
        </w:r>
      </w:ins>
      <w:r>
        <w:rPr>
          <w:rFonts w:ascii="Avenir Next" w:hAnsi="Avenir Next"/>
        </w:rPr>
        <w:t xml:space="preserve"> households that are cost burdened and severely cost burdened by income level.</w:t>
      </w:r>
    </w:p>
    <w:p>
      <w:pPr>
        <w:pStyle w:val="style0"/>
        <w:rPr>
          <w:rFonts w:ascii="Avenir Next" w:hAnsi="Avenir Next"/>
        </w:rPr>
      </w:pPr>
      <w:commentRangeStart w:id="17"/>
      <w:r>
        <w:rPr>
          <w:rFonts w:ascii="Avenir Next" w:hAnsi="Avenir Next"/>
        </w:rPr>
        <w:t>[[cost burden by income graph. Colors correspond to income category, y-axis corresponds to percent of total households, x-axis corresponds to municipality.]]</w:t>
      </w:r>
      <w:commentRangeEnd w:id="17"/>
      <w:r>
        <w:rPr>
          <w:rFonts w:ascii="Avenir Next" w:hAnsi="Avenir Next"/>
        </w:rPr>
      </w:r>
      <w:del w:author="Unknown Author" w:date="2014-06-09T15:03:00Z" w:id="444">
        <w:r>
          <w:rPr>
            <w:rFonts w:ascii="Avenir Next" w:hAnsi="Avenir Next"/>
          </w:rPr>
          <w:commentReference w:id="17"/>
        </w:r>
      </w:del>
    </w:p>
    <w:p>
      <w:pPr>
        <w:pStyle w:val="style3"/>
        <w:rPr>
          <w:rFonts w:ascii="Avenir Next" w:hAnsi="Avenir Next"/>
        </w:rPr>
      </w:pPr>
      <w:ins w:author="Unknown Author" w:date="2014-06-09T15:08:00Z" w:id="445">
        <w:r>
          <w:rPr>
            <w:rFonts w:ascii="Avenir Next" w:hAnsi="Avenir Next"/>
          </w:rPr>
          <w:t xml:space="preserve">Subtopic: </w:t>
        </w:r>
      </w:ins>
      <w:r>
        <w:rPr>
          <w:rFonts w:ascii="Avenir Next" w:hAnsi="Avenir Next"/>
        </w:rPr>
        <w:t>Cost Burden by Household Type</w:t>
      </w:r>
    </w:p>
    <w:p>
      <w:pPr>
        <w:pStyle w:val="style0"/>
        <w:rPr>
          <w:rFonts w:ascii="Avenir Next" w:hAnsi="Avenir Next"/>
        </w:rPr>
      </w:pPr>
      <w:bookmarkStart w:id="16" w:name="cost-burden-by-household-type"/>
      <w:bookmarkEnd w:id="16"/>
      <w:r>
        <w:rPr>
          <w:rFonts w:ascii="Avenir Next" w:hAnsi="Avenir Next"/>
        </w:rPr>
        <w:t xml:space="preserve">Younger households, non-family households, and elderly households typically have lower incomes, and are more likely to rent. They are also more likely to to be cost burdened. Statewide, ef_cbp% of elderly family households and oth_cbp% of non-elderly, non-family households are cost burdened, respectively. As the number of elderly households increases, the number of cost-burdened elderly households is likely to increase. In </w:t>
      </w:r>
      <w:del w:author="Unknown Author" w:date="2014-06-09T15:03:00Z" w:id="448">
        <w:r>
          <w:rPr>
            <w:rFonts w:ascii="Avenir Next" w:hAnsi="Avenir Next"/>
          </w:rPr>
          <w:delText>cityFoo</w:delText>
        </w:r>
      </w:del>
      <w:ins w:author="Unknown Author" w:date="2014-06-09T15:03:00Z" w:id="449">
        <w:r>
          <w:rPr>
            <w:rFonts w:ascii="Avenir Next" w:cs="Cambria" w:eastAsia="Arial Unicode MS" w:hAnsi="Avenir Next"/>
            <w:color w:val="00000A"/>
            <w:sz w:val="24"/>
            <w:szCs w:val="24"/>
            <w:lang w:bidi="ar-SA" w:eastAsia="en-US" w:val="en-US"/>
          </w:rPr>
          <w:t>#{@report.muni}</w:t>
        </w:r>
      </w:ins>
      <w:r>
        <w:rPr>
          <w:rFonts w:ascii="Avenir Next" w:hAnsi="Avenir Next"/>
        </w:rPr>
        <w:t>, cost burden among elderly family households and non-elderly, non-family households is ef_cbp% and oth_cbp%, respectively.</w:t>
      </w:r>
    </w:p>
    <w:p>
      <w:pPr>
        <w:pStyle w:val="style2"/>
        <w:rPr>
          <w:rFonts w:ascii="Avenir Next" w:hAnsi="Avenir Next"/>
        </w:rPr>
      </w:pPr>
      <w:ins w:author="Unknown Author" w:date="2014-06-09T15:08:00Z" w:id="451">
        <w:r>
          <w:rPr>
            <w:rFonts w:ascii="Avenir Next" w:hAnsi="Avenir Next"/>
          </w:rPr>
          <w:t xml:space="preserve">Topic: </w:t>
        </w:r>
      </w:ins>
      <w:r>
        <w:rPr>
          <w:rFonts w:ascii="Avenir Next" w:hAnsi="Avenir Next"/>
        </w:rPr>
        <w:t>Subsidized Housing Inventory</w:t>
      </w:r>
    </w:p>
    <w:p>
      <w:pPr>
        <w:pStyle w:val="style0"/>
        <w:rPr>
          <w:rFonts w:ascii="Avenir Next" w:hAnsi="Avenir Next"/>
        </w:rPr>
      </w:pPr>
      <w:bookmarkStart w:id="17" w:name="subsidized-housing-inventory"/>
      <w:bookmarkEnd w:id="17"/>
      <w:r>
        <w:rPr>
          <w:rFonts w:ascii="Avenir Next" w:hAnsi="Avenir Next"/>
        </w:rPr>
        <w:t>Massachusetts maintains a subsidized housing inventory (SHI) that tracks each municipality’s affordable housing stock</w:t>
      </w:r>
      <w:ins w:author="cmartin" w:date="2014-06-09T13:45:00Z" w:id="454">
        <w:r>
          <w:rPr>
            <w:rFonts w:ascii="Avenir Next" w:hAnsi="Avenir Next"/>
          </w:rPr>
          <w:t>, including deed restricted and subsidized units</w:t>
        </w:r>
      </w:ins>
      <w:ins w:author="cmartin" w:date="2014-06-09T13:46:00Z" w:id="455">
        <w:r>
          <w:rPr>
            <w:rFonts w:ascii="Avenir Next" w:hAnsi="Avenir Next"/>
          </w:rPr>
          <w:t xml:space="preserve">. </w:t>
        </w:r>
      </w:ins>
      <w:del w:author="cmartin" w:date="2014-06-09T13:43:00Z" w:id="456">
        <w:r>
          <w:rPr>
            <w:rFonts w:ascii="Avenir Next" w:hAnsi="Avenir Next"/>
          </w:rPr>
          <w:delText>.</w:delText>
        </w:r>
      </w:del>
      <w:ins w:author="cmartin" w:date="2014-06-09T13:46:00Z" w:id="457">
        <w:r>
          <w:rPr>
            <w:rFonts w:ascii="Avenir Next" w:hAnsi="Avenir Next"/>
          </w:rPr>
          <w:t xml:space="preserve"> </w:t>
        </w:r>
      </w:ins>
      <w:commentRangeStart w:id="18"/>
      <w:r>
        <w:rPr>
          <w:rFonts w:ascii="Avenir Next" w:hAnsi="Avenir Next"/>
        </w:rPr>
      </w:r>
      <w:del w:author="cmartin" w:date="2014-06-09T13:46:00Z" w:id="459">
        <w:r>
          <w:rPr>
            <w:rFonts w:ascii="Avenir Next" w:hAnsi="Avenir Next"/>
          </w:rPr>
          <w:delText xml:space="preserve"> </w:delText>
        </w:r>
      </w:del>
      <w:commentRangeEnd w:id="18"/>
      <w:r>
        <w:rPr>
          <w:rFonts w:ascii="Avenir Next" w:hAnsi="Avenir Next"/>
        </w:rPr>
      </w:r>
      <w:del w:author="Unknown Author" w:date="2014-06-09T15:03:00Z" w:id="461">
        <w:r>
          <w:rPr>
            <w:rFonts w:ascii="Avenir Next" w:hAnsi="Avenir Next"/>
          </w:rPr>
          <w:commentReference w:id="18"/>
        </w:r>
      </w:del>
      <w:del w:author="cmartin" w:date="2014-06-09T13:46:00Z" w:id="462">
        <w:r>
          <w:rPr>
            <w:rFonts w:ascii="Avenir Next" w:hAnsi="Avenir Next"/>
          </w:rPr>
          <w:delText>U</w:delText>
        </w:r>
      </w:del>
      <w:r>
        <w:rPr>
          <w:rFonts w:ascii="Avenir Next" w:hAnsi="Avenir Next"/>
        </w:rPr>
        <w:t>nder General Law Chapter 40B, in any municipality where less than 10% of units are included on the SHI, a developer can build more densely than the municipal zoning bylaws would permit, if at least 25% (or 20% in certain cases) of the new units are affordable.</w:t>
      </w:r>
    </w:p>
    <w:p>
      <w:pPr>
        <w:pStyle w:val="style0"/>
        <w:rPr>
          <w:rFonts w:ascii="Avenir Next" w:hAnsi="Avenir Next"/>
        </w:rPr>
      </w:pPr>
      <w:r>
        <w:rPr>
          <w:rFonts w:ascii="Avenir Next" w:hAnsi="Avenir Next"/>
        </w:rPr>
        <w:t xml:space="preserve">Statewide, shi_p% of housing unit are on the SHI, and 100*sum(shi_p &gt; 10)/351% of municipalities meet their 10% requirement under Chapter 40B. Figure figNum shows the percent of SHI unit within </w:t>
      </w:r>
      <w:del w:author="Unknown Author" w:date="2014-06-09T15:03:00Z" w:id="465">
        <w:r>
          <w:rPr>
            <w:rFonts w:ascii="Avenir Next" w:hAnsi="Avenir Next"/>
          </w:rPr>
          <w:delText>cityFoo</w:delText>
        </w:r>
      </w:del>
      <w:ins w:author="Unknown Author" w:date="2014-06-09T15:03:00Z" w:id="466">
        <w:r>
          <w:rPr>
            <w:rFonts w:ascii="Avenir Next" w:cs="Cambria" w:eastAsia="Arial Unicode MS" w:hAnsi="Avenir Next"/>
            <w:color w:val="00000A"/>
            <w:sz w:val="24"/>
            <w:szCs w:val="24"/>
            <w:lang w:bidi="ar-SA" w:eastAsia="en-US" w:val="en-US"/>
          </w:rPr>
          <w:t>#{@report.muni}</w:t>
        </w:r>
      </w:ins>
      <w:r>
        <w:rPr>
          <w:rFonts w:ascii="Avenir Next" w:hAnsi="Avenir Next"/>
        </w:rPr>
        <w:t xml:space="preserve"> and its nearest neighbors.</w:t>
      </w:r>
    </w:p>
    <w:p>
      <w:pPr>
        <w:pStyle w:val="style0"/>
        <w:rPr>
          <w:rFonts w:ascii="Avenir Next" w:hAnsi="Avenir Next"/>
        </w:rPr>
      </w:pPr>
      <w:r>
        <w:rPr>
          <w:rFonts w:ascii="Avenir Next" w:hAnsi="Avenir Next"/>
        </w:rPr>
        <w:t xml:space="preserve">[[Bar chart of percent SHI units for </w:t>
      </w:r>
      <w:del w:author="Unknown Author" w:date="2014-06-09T15:03:00Z" w:id="469">
        <w:r>
          <w:rPr>
            <w:rFonts w:ascii="Avenir Next" w:hAnsi="Avenir Next"/>
          </w:rPr>
          <w:delText>cityFoo</w:delText>
        </w:r>
      </w:del>
      <w:ins w:author="Unknown Author" w:date="2014-06-09T15:03:00Z" w:id="470">
        <w:r>
          <w:rPr>
            <w:rFonts w:ascii="Avenir Next" w:cs="Cambria" w:eastAsia="Arial Unicode MS" w:hAnsi="Avenir Next"/>
            <w:color w:val="00000A"/>
            <w:sz w:val="24"/>
            <w:szCs w:val="24"/>
            <w:lang w:bidi="ar-SA" w:eastAsia="en-US" w:val="en-US"/>
          </w:rPr>
          <w:t>#{@report.muni}</w:t>
        </w:r>
      </w:ins>
      <w:r>
        <w:rPr>
          <w:rFonts w:ascii="Avenir Next" w:hAnsi="Avenir Next"/>
        </w:rPr>
        <w:t xml:space="preserve"> and nearest neighborhoods.]]</w:t>
      </w:r>
    </w:p>
    <w:p>
      <w:pPr>
        <w:pStyle w:val="style2"/>
        <w:rPr>
          <w:rFonts w:ascii="Avenir Next" w:hAnsi="Avenir Next"/>
        </w:rPr>
      </w:pPr>
      <w:ins w:author="Unknown Author" w:date="2014-06-09T15:08:00Z" w:id="472">
        <w:r>
          <w:rPr>
            <w:rFonts w:ascii="Avenir Next" w:hAnsi="Avenir Next"/>
          </w:rPr>
          <w:t>Topi</w:t>
        </w:r>
      </w:ins>
      <w:ins w:author="Unknown Author" w:date="2014-06-09T15:09:00Z" w:id="473">
        <w:r>
          <w:rPr>
            <w:rFonts w:ascii="Avenir Next" w:hAnsi="Avenir Next"/>
          </w:rPr>
          <w:t xml:space="preserve">c: </w:t>
        </w:r>
      </w:ins>
      <w:r>
        <w:rPr>
          <w:rFonts w:ascii="Avenir Next" w:hAnsi="Avenir Next"/>
        </w:rPr>
        <w:t>Affordability of Recent Home Sales</w:t>
      </w:r>
    </w:p>
    <w:p>
      <w:pPr>
        <w:pStyle w:val="style0"/>
        <w:rPr>
          <w:rFonts w:ascii="Avenir Next" w:hAnsi="Avenir Next"/>
        </w:rPr>
      </w:pPr>
      <w:bookmarkStart w:id="18" w:name="affordability-of-recent-home-sales"/>
      <w:bookmarkEnd w:id="18"/>
      <w:r>
        <w:rPr>
          <w:rFonts w:ascii="Avenir Next" w:hAnsi="Avenir Next"/>
        </w:rPr>
        <w:t xml:space="preserve">Owner-occupied cost burden estimates reflect the housing costs of current owner households, not the prices that aspiring homeowners face in the current housing market. If prices have risen recently, new entrants my find themselves with fewer options of higher risk of cost burden than their counterparts who have been in the area for some time. To estimate how affordable recent sale prices are to low income families, we use 2000 to 2012 sales data from the Massachusetts parcel file Figure </w:t>
      </w:r>
      <w:ins w:author="Unknown Author" w:date="2014-06-09T15:09:00Z" w:id="476">
        <w:r>
          <w:rPr>
            <w:rFonts w:ascii="Avenir Next" w:hAnsi="Avenir Next"/>
          </w:rPr>
          <w:t>#{</w:t>
        </w:r>
      </w:ins>
      <w:r>
        <w:rPr>
          <w:rFonts w:ascii="Avenir Next" w:hAnsi="Avenir Next"/>
        </w:rPr>
        <w:t>figNum</w:t>
      </w:r>
      <w:ins w:author="Unknown Author" w:date="2014-06-09T15:09:00Z" w:id="478">
        <w:r>
          <w:rPr>
            <w:rFonts w:ascii="Avenir Next" w:hAnsi="Avenir Next"/>
          </w:rPr>
          <w:t>}</w:t>
        </w:r>
      </w:ins>
      <w:r>
        <w:rPr>
          <w:rFonts w:ascii="Avenir Next" w:hAnsi="Avenir Next"/>
        </w:rPr>
        <w:t xml:space="preserve"> shows the percent of single family home sales since 2000 that are affordable by household income.</w:t>
      </w:r>
    </w:p>
    <w:p>
      <w:pPr>
        <w:pStyle w:val="style0"/>
        <w:rPr>
          <w:rFonts w:ascii="Avenir Next" w:hAnsi="Avenir Next"/>
        </w:rPr>
      </w:pPr>
      <w:ins w:author="cmartin" w:date="2014-06-09T13:47:00Z" w:id="480">
        <w:r>
          <w:rPr>
            <w:rFonts w:ascii="Avenir Next" w:hAnsi="Avenir Next"/>
          </w:rPr>
          <w:t>[Note: If a graph does not appear</w:t>
        </w:r>
      </w:ins>
      <w:ins w:author="cmartin" w:date="2014-06-09T13:48:00Z" w:id="481">
        <w:r>
          <w:rPr>
            <w:rFonts w:ascii="Avenir Next" w:hAnsi="Avenir Next"/>
          </w:rPr>
          <w:t xml:space="preserve"> below</w:t>
        </w:r>
      </w:ins>
      <w:ins w:author="cmartin" w:date="2014-06-09T13:47:00Z" w:id="482">
        <w:r>
          <w:rPr>
            <w:rFonts w:ascii="Avenir Next" w:hAnsi="Avenir Next"/>
          </w:rPr>
          <w:t xml:space="preserve">, then </w:t>
        </w:r>
      </w:ins>
      <w:del w:author="Unknown Author" w:date="2014-06-09T15:03:00Z" w:id="483">
        <w:r>
          <w:rPr>
            <w:rFonts w:ascii="Avenir Next" w:hAnsi="Avenir Next"/>
          </w:rPr>
          <w:delText>cityFoo</w:delText>
        </w:r>
      </w:del>
      <w:ins w:author="Unknown Author" w:date="2014-06-09T15:03:00Z" w:id="484">
        <w:r>
          <w:rPr>
            <w:rFonts w:ascii="Avenir Next" w:cs="Cambria" w:eastAsia="Arial Unicode MS" w:hAnsi="Avenir Next"/>
            <w:color w:val="00000A"/>
            <w:sz w:val="24"/>
            <w:szCs w:val="24"/>
            <w:lang w:bidi="ar-SA" w:eastAsia="en-US" w:val="en-US"/>
          </w:rPr>
          <w:t>#{@report.muni}</w:t>
        </w:r>
      </w:ins>
      <w:ins w:author="cmartin" w:date="2014-06-09T13:47:00Z" w:id="485">
        <w:r>
          <w:rPr>
            <w:rFonts w:ascii="Avenir Next" w:hAnsi="Avenir Next"/>
          </w:rPr>
          <w:t xml:space="preserve"> either does not have </w:t>
        </w:r>
      </w:ins>
      <w:ins w:author="cmartin" w:date="2014-06-09T13:48:00Z" w:id="486">
        <w:r>
          <w:rPr>
            <w:rFonts w:ascii="Avenir Next" w:hAnsi="Avenir Next"/>
          </w:rPr>
          <w:t xml:space="preserve">data on </w:t>
        </w:r>
      </w:ins>
      <w:ins w:author="cmartin" w:date="2014-06-09T13:47:00Z" w:id="487">
        <w:r>
          <w:rPr>
            <w:rFonts w:ascii="Avenir Next" w:hAnsi="Avenir Next"/>
          </w:rPr>
          <w:t xml:space="preserve">sale price or sale date </w:t>
        </w:r>
      </w:ins>
      <w:ins w:author="cmartin" w:date="2014-06-09T13:48:00Z" w:id="488">
        <w:r>
          <w:rPr>
            <w:rFonts w:ascii="Avenir Next" w:hAnsi="Avenir Next"/>
          </w:rPr>
          <w:t>in the Massachusetts parcel file, or the data is in a non-standard format.]</w:t>
        </w:r>
      </w:ins>
    </w:p>
    <w:p>
      <w:pPr>
        <w:pStyle w:val="style0"/>
        <w:rPr>
          <w:rFonts w:ascii="Avenir Next" w:hAnsi="Avenir Next"/>
        </w:rPr>
      </w:pPr>
      <w:r>
        <w:rPr>
          <w:rFonts w:ascii="Avenir Next" w:hAnsi="Avenir Next"/>
        </w:rPr>
        <w:t>[[</w:t>
      </w:r>
      <w:commentRangeStart w:id="19"/>
      <w:r>
        <w:rPr>
          <w:rFonts w:ascii="Avenir Next" w:hAnsi="Avenir Next"/>
        </w:rPr>
        <w:t xml:space="preserve">Line graph. y-axis is </w:t>
      </w:r>
      <w:commentRangeEnd w:id="19"/>
      <w:r>
        <w:rPr>
          <w:rFonts w:ascii="Avenir Next" w:hAnsi="Avenir Next"/>
        </w:rPr>
      </w:r>
      <w:del w:author="Unknown Author" w:date="2014-06-09T15:03:00Z" w:id="492">
        <w:r>
          <w:rPr>
            <w:rFonts w:ascii="Avenir Next" w:hAnsi="Avenir Next"/>
          </w:rPr>
          <w:commentReference w:id="19"/>
        </w:r>
      </w:del>
      <w:r>
        <w:rPr>
          <w:rFonts w:ascii="Avenir Next" w:hAnsi="Avenir Next"/>
        </w:rPr>
        <w:t>percent of home sales/condo sales since 2000 that are affordable to households at each income level. Vertical lines show low income household cutoff and median households income.]]</w:t>
      </w:r>
    </w:p>
    <w:p>
      <w:pPr>
        <w:pStyle w:val="style2"/>
        <w:rPr>
          <w:rFonts w:ascii="Avenir Next" w:hAnsi="Avenir Next"/>
        </w:rPr>
      </w:pPr>
      <w:ins w:author="Unknown Author" w:date="2014-06-09T15:09:00Z" w:id="494">
        <w:r>
          <w:rPr>
            <w:rFonts w:ascii="Avenir Next" w:hAnsi="Avenir Next"/>
          </w:rPr>
          <w:t xml:space="preserve">Topic: </w:t>
        </w:r>
      </w:ins>
      <w:r>
        <w:rPr>
          <w:rFonts w:ascii="Avenir Next" w:hAnsi="Avenir Next"/>
        </w:rPr>
        <w:t>Affordability Gap</w:t>
      </w:r>
    </w:p>
    <w:p>
      <w:pPr>
        <w:pStyle w:val="style0"/>
        <w:rPr>
          <w:rFonts w:ascii="Avenir Next" w:hAnsi="Avenir Next"/>
        </w:rPr>
      </w:pPr>
      <w:bookmarkStart w:id="19" w:name="affordability-gap"/>
      <w:bookmarkEnd w:id="19"/>
      <w:r>
        <w:rPr>
          <w:rFonts w:ascii="Avenir Next" w:hAnsi="Avenir Next"/>
        </w:rPr>
        <w:t xml:space="preserve">Units that are affordable to low income households are not necessarily occupied by low income households. This mismatch between households’ incomes and the units they occupy can exacerbate affordability problems. To measure the extent to which affordability is a supply problem versus a distribution problem, we calculate the affordability gap. The gap is the difference between the number of households at a given income level and the number of units affordable to households at that income level. A positive gap indicates a shortage of units at a given income level, even if households and units were perfectly matched by incomes and costs. Table tableNum shows the gap </w:t>
      </w:r>
      <w:del w:author="Unknown Author" w:date="2014-06-09T15:03:00Z" w:id="497">
        <w:r>
          <w:rPr>
            <w:rFonts w:ascii="Avenir Next" w:hAnsi="Avenir Next"/>
          </w:rPr>
          <w:delText>cityFoo</w:delText>
        </w:r>
      </w:del>
      <w:ins w:author="Unknown Author" w:date="2014-06-09T15:03:00Z" w:id="498">
        <w:r>
          <w:rPr>
            <w:rFonts w:ascii="Avenir Next" w:cs="Cambria" w:eastAsia="Arial Unicode MS" w:hAnsi="Avenir Next"/>
            <w:color w:val="00000A"/>
            <w:sz w:val="24"/>
            <w:szCs w:val="24"/>
            <w:lang w:bidi="ar-SA" w:eastAsia="en-US" w:val="en-US"/>
          </w:rPr>
          <w:t>#{@report.muni}</w:t>
        </w:r>
      </w:ins>
      <w:r>
        <w:rPr>
          <w:rFonts w:ascii="Avenir Next" w:hAnsi="Avenir Next"/>
        </w:rPr>
        <w:t xml:space="preserve"> renter and owner households face at 50% AMI, 50 to 80% AMI, and above 80% AMI.</w:t>
      </w:r>
    </w:p>
    <w:p>
      <w:pPr>
        <w:pStyle w:val="style0"/>
        <w:rPr>
          <w:rFonts w:ascii="Avenir Next" w:hAnsi="Avenir Next"/>
        </w:rPr>
      </w:pPr>
      <w:r>
        <w:rPr>
          <w:rFonts w:ascii="Avenir Next" w:hAnsi="Avenir Next"/>
        </w:rPr>
        <w:t>[[Table based on Table 17 in Everett Housing Production Plan.]]</w:t>
      </w:r>
    </w:p>
    <w:p>
      <w:pPr>
        <w:pStyle w:val="style0"/>
        <w:widowControl/>
        <w:suppressAutoHyphens w:val="true"/>
        <w:spacing w:after="180" w:before="180"/>
        <w:contextualSpacing w:val="false"/>
        <w:rPr>
          <w:rFonts w:ascii="Avenir Next" w:hAnsi="Avenir Next"/>
        </w:rPr>
      </w:pPr>
      <w:r>
        <w:rPr>
          <w:rFonts w:ascii="Avenir Next" w:hAnsi="Avenir Next"/>
        </w:rPr>
      </w:r>
    </w:p>
    <w:sectPr>
      <w:footnotePr>
        <w:numFmt w:val="decimal"/>
      </w:footnotePr>
      <w:type w:val="nextPage"/>
      <w:pgSz w:h="15840" w:w="12240"/>
      <w:pgMar w:bottom="1440" w:footer="0" w:gutter="0" w:header="0" w:left="1800" w:right="1800" w:top="1440"/>
      <w:pgNumType w:fmt="decimal"/>
      <w:formProt w:val="false"/>
      <w:textDirection w:val="lrTb"/>
      <w:docGrid w:charSpace="0" w:linePitch="24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Mapcuser" w:date="2014-06-02T00:03:00Z" w:id="0" w:initials="M">
    <w:p>
      <w:r>
        <w:rPr/>
        <w:t xml:space="preserve">Is this what it’s called?  Never knew that.  </w:t>
      </w:r>
    </w:p>
  </w:comment>
  <w:comment w:author="Mapcuser" w:date="2014-06-02T00:03:00Z" w:id="1" w:initials="M">
    <w:p>
      <w:r>
        <w:rPr/>
        <w:t xml:space="preserve">I’m not sure this is exactly the right term, but you can look it up.  </w:t>
      </w:r>
    </w:p>
  </w:comment>
  <w:comment w:author="Mapcuser" w:date="2014-06-02T00:03:00Z" w:id="2" w:initials="M">
    <w:p>
      <w:r>
        <w:rPr/>
        <w:t xml:space="preserve">Which are these? </w:t>
      </w:r>
    </w:p>
  </w:comment>
  <w:comment w:author="Mapcuser" w:date="2014-06-02T00:03:00Z" w:id="3" w:initials="M">
    <w:p>
      <w:r>
        <w:rPr/>
        <w:t xml:space="preserve">I’m not really convinced this is needed here.  </w:t>
      </w:r>
    </w:p>
  </w:comment>
  <w:comment w:author="treardon" w:date="2014-06-02T00:03:00Z" w:id="4" w:initials="tr">
    <w:p>
      <w:r>
        <w:rPr/>
        <w:t>Let’s discuss how to do these calculations</w:t>
      </w:r>
    </w:p>
  </w:comment>
  <w:comment w:author="treardon" w:date="2014-06-02T00:03:00Z" w:id="5" w:initials="tr">
    <w:p>
      <w:r>
        <w:rPr/>
        <w:t xml:space="preserve">I think we should use a more specific term here.  </w:t>
      </w:r>
    </w:p>
  </w:comment>
  <w:comment w:author="treardon" w:date="2014-06-02T00:03:00Z" w:id="6" w:initials="tr">
    <w:p>
      <w:r>
        <w:rPr/>
        <w:t xml:space="preserve">Are there any in that category?  Should also mention countervailing factors: “doubling up” (combined households), above concentrations of some demographic groups that have above-average fertility rates.  </w:t>
      </w:r>
    </w:p>
  </w:comment>
  <w:comment w:author="treardon" w:date="2014-06-02T00:03:00Z" w:id="7" w:initials="tr">
    <w:p>
      <w:r>
        <w:rPr/>
        <w:t xml:space="preserve">This should be a stacked bar as per the municipal projections report.  </w:t>
      </w:r>
    </w:p>
  </w:comment>
  <w:comment w:author="treardon" w:date="2014-06-02T00:03:00Z" w:id="8" w:initials="tr">
    <w:p>
      <w:r>
        <w:rPr/>
        <w:t xml:space="preserve">I think this is 68% but I can check that. </w:t>
      </w:r>
    </w:p>
  </w:comment>
  <w:comment w:author="treardon" w:date="2014-06-05T16:11:00Z" w:id="9" w:initials="tr">
    <w:p>
      <w:r>
        <w:rPr/>
        <w:t xml:space="preserve">I think this is 68% but I can check that. </w:t>
      </w:r>
    </w:p>
  </w:comment>
  <w:comment w:author="treardon" w:date="2014-06-02T00:03:00Z" w:id="10" w:initials="tr">
    <w:p>
      <w:r>
        <w:rPr/>
        <w:t>Confirm breaks</w:t>
      </w:r>
    </w:p>
  </w:comment>
  <w:comment w:author="treardon" w:date="2014-06-02T00:03:00Z" w:id="11" w:initials="tr">
    <w:p>
      <w:r>
        <w:rPr/>
        <w:t xml:space="preserve">Should be four cohorts, consistent with municipal projections report. </w:t>
      </w:r>
    </w:p>
  </w:comment>
  <w:comment w:author="treardon" w:date="2014-06-02T00:03:00Z" w:id="12" w:initials="tr">
    <w:p>
      <w:r>
        <w:rPr/>
        <w:t xml:space="preserve">I don’t buy this.  Boston’s housing stock is “relatively old” but I wouldn’t say the city is growing slowly now.  </w:t>
      </w:r>
    </w:p>
  </w:comment>
  <w:comment w:author="treardon" w:date="2014-06-02T00:03:00Z" w:id="13" w:initials="tr">
    <w:p>
      <w:r>
        <w:rPr/>
        <w:t xml:space="preserve">Maybe you could add one sentence describing the relationship “Cityfoo permitted a X% increase in the number of units each year, whereas demand is likely to grow by X% annually for the next two decades,” </w:t>
      </w:r>
    </w:p>
  </w:comment>
  <w:comment w:author="treardon" w:date="2014-06-02T00:03:00Z" w:id="14" w:initials="tr">
    <w:p>
      <w:r>
        <w:rPr/>
        <w:t xml:space="preserve">This could be seen as a little simplistic. Maybe a better introduction would admit how complicated the issue is and speak to the specific policy interests in affordability.  </w:t>
      </w:r>
    </w:p>
  </w:comment>
  <w:comment w:author="treardon" w:date="2014-06-02T00:03:00Z" w:id="15" w:initials="tr">
    <w:p>
      <w:r>
        <w:rPr/>
        <w:t>What about the three measures of affordability defined in the projections report: Cost Burden Gap, Fair Share Gap, and Demographic Demand</w:t>
      </w:r>
    </w:p>
  </w:comment>
  <w:comment w:author="treardon" w:date="2014-06-02T00:03:00Z" w:id="16" w:initials="tr">
    <w:p>
      <w:r>
        <w:rPr/>
        <w:t xml:space="preserve">Are you using region-specific income measures for each municipality? </w:t>
      </w:r>
    </w:p>
  </w:comment>
  <w:comment w:author="treardon" w:date="2014-06-02T00:03:00Z" w:id="17" w:initials="tr">
    <w:p>
      <w:r>
        <w:rPr/>
        <w:t xml:space="preserve">How many series?  Are non-CB households represented? </w:t>
      </w:r>
    </w:p>
  </w:comment>
  <w:comment w:author="treardon" w:date="2014-06-02T00:03:00Z" w:id="18" w:initials="tr">
    <w:p>
      <w:r>
        <w:rPr/>
        <w:t>The SHI includes the following types of units.</w:t>
      </w:r>
    </w:p>
  </w:comment>
  <w:comment w:author="treardon" w:date="2014-06-02T00:03:00Z" w:id="19" w:initials="tr">
    <w:p>
      <w:r>
        <w:rPr/>
        <w:t xml:space="preserve">What is the X axis? </w:t>
      </w:r>
    </w:p>
  </w:comment>
</w:comment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Arial">
    <w:charset w:val="01"/>
    <w:family w:val="swiss"/>
    <w:pitch w:val="variable"/>
  </w:font>
  <w:font w:name="Avenir Next">
    <w:charset w:val="01"/>
    <w:family w:val="auto"/>
    <w:pitch w:val="variable"/>
  </w:font>
  <w:font w:name="Symbol">
    <w:charset w:val="01"/>
    <w:family w:val="auto"/>
    <w:pitch w:val="variable"/>
  </w:font>
</w:fonts>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67"/>
        <w:rPr/>
      </w:pPr>
      <w:r>
        <w:rPr>
          <w:rStyle w:val="style41"/>
        </w:rPr>
        <w:footnoteRef/>
        <w:tab/>
      </w:r>
      <w:r>
        <w:rPr>
          <w:rStyle w:val="style41"/>
        </w:rPr>
        <w:tab/>
      </w:r>
      <w:r>
        <w:rPr/>
        <w:t xml:space="preserve"> Insert report title.  </w:t>
      </w:r>
      <w:hyperlink r:id="rId1">
        <w:r>
          <w:rPr>
            <w:rStyle w:val="style42"/>
          </w:rPr>
          <w:t>www.mapc.org/projections</w:t>
        </w:r>
      </w:hyperlink>
      <w:r>
        <w:rPr/>
        <w:t xml:space="preserve"> </w:t>
      </w:r>
    </w:p>
  </w:footnote>
  <w:footnote w:id="3">
    <w:p>
      <w:pPr>
        <w:pStyle w:val="style67"/>
        <w:rPr/>
      </w:pPr>
      <w:r>
        <w:rPr>
          <w:rStyle w:val="style41"/>
        </w:rPr>
        <w:footnoteRef/>
        <w:tab/>
      </w:r>
      <w:r>
        <w:rPr>
          <w:rStyle w:val="style41"/>
        </w:rPr>
        <w:tab/>
      </w:r>
      <w:r>
        <w:rPr/>
        <w:t xml:space="preserve"> Insert url and report title</w:t>
      </w:r>
    </w:p>
  </w:footnote>
  <w:footnote w:id="4">
    <w:p>
      <w:pPr>
        <w:pStyle w:val="style58"/>
        <w:spacing w:after="180" w:before="180"/>
        <w:contextualSpacing w:val="false"/>
        <w:rPr/>
      </w:pPr>
      <w:r>
        <w:rPr>
          <w:rStyle w:val="style18"/>
        </w:rPr>
        <w:footnoteRef/>
        <w:tab/>
      </w:r>
      <w:r>
        <w:rPr>
          <w:rStyle w:val="style18"/>
        </w:rPr>
        <w:tab/>
        <w:tab/>
      </w:r>
      <w:r>
        <w:rPr/>
        <w:t>Low vacancy rates can result in upward pressure on housing prices and rental rates. In consultation with Barry Bluestone at the Dukakis Center at Northeastern University, we estimate a natural vacancy rate of 1.5% for ownership units and 7.0% for rental units.</w:t>
      </w:r>
    </w:p>
  </w:footnote>
  <w:footnote w:id="5">
    <w:p>
      <w:pPr>
        <w:pStyle w:val="style58"/>
        <w:spacing w:after="180" w:before="180"/>
        <w:contextualSpacing w:val="false"/>
        <w:rPr>
          <w:rStyle w:val="style17"/>
        </w:rPr>
      </w:pPr>
      <w:r>
        <w:rPr>
          <w:rStyle w:val="style18"/>
        </w:rPr>
        <w:footnoteRef/>
        <w:tab/>
      </w:r>
      <w:r>
        <w:rPr>
          <w:rStyle w:val="style18"/>
        </w:rPr>
        <w:tab/>
        <w:tab/>
      </w:r>
      <w:r>
        <w:rPr/>
        <w:t xml:space="preserve">A </w:t>
      </w:r>
      <w:r>
        <w:rPr>
          <w:i/>
        </w:rPr>
        <w:t>household</w:t>
      </w:r>
      <w:r>
        <w:rPr/>
        <w:t xml:space="preserve"> includes all the people who occupy a housing unit as their usual place of residence. A </w:t>
      </w:r>
      <w:r>
        <w:rPr>
          <w:i/>
        </w:rPr>
        <w:t>householder</w:t>
      </w:r>
      <w:r>
        <w:rPr/>
        <w:t xml:space="preserve"> is the person, or one of the people, in whose name the home is owned, being bought, or rented. A </w:t>
      </w:r>
      <w:r>
        <w:rPr>
          <w:i/>
        </w:rPr>
        <w:t>family</w:t>
      </w:r>
      <w:r>
        <w:rPr/>
        <w:t xml:space="preserve"> includes a householder and one or more people living in the same household who are related to the householder by birth, marriage, or adoption. See </w:t>
      </w:r>
      <w:r>
        <w:rPr>
          <w:rStyle w:val="style17"/>
        </w:rPr>
        <w:t>www.census.gov/glossary.</w:t>
      </w:r>
    </w:p>
  </w:footnote>
  <w:footnote w:id="6">
    <w:p>
      <w:pPr>
        <w:pStyle w:val="style58"/>
        <w:spacing w:after="180" w:before="180"/>
        <w:contextualSpacing w:val="false"/>
        <w:rPr/>
      </w:pPr>
      <w:r>
        <w:rPr>
          <w:rStyle w:val="style18"/>
        </w:rPr>
        <w:footnoteRef/>
        <w:tab/>
      </w:r>
      <w:r>
        <w:rPr>
          <w:rStyle w:val="style18"/>
        </w:rPr>
        <w:tab/>
        <w:tab/>
      </w:r>
      <w:r>
        <w:rPr>
          <w:i/>
        </w:rPr>
        <w:t>Elderly</w:t>
      </w:r>
      <w:r>
        <w:rPr/>
        <w:t xml:space="preserve"> includes people 62 and over. </w:t>
      </w:r>
      <w:r>
        <w:rPr>
          <w:i/>
        </w:rPr>
        <w:t>Elderly households</w:t>
      </w:r>
      <w:r>
        <w:rPr/>
        <w:t xml:space="preserve"> have an elderly householder.</w:t>
      </w:r>
    </w:p>
  </w:footnote>
  <w:footnote w:id="7">
    <w:p>
      <w:pPr>
        <w:pStyle w:val="style58"/>
        <w:spacing w:after="180" w:before="180"/>
        <w:contextualSpacing w:val="false"/>
        <w:rPr/>
      </w:pPr>
      <w:r>
        <w:rPr>
          <w:rStyle w:val="style18"/>
        </w:rPr>
        <w:footnoteRef/>
        <w:tab/>
      </w:r>
      <w:r>
        <w:rPr>
          <w:rStyle w:val="style18"/>
        </w:rPr>
        <w:tab/>
        <w:tab/>
      </w:r>
      <w:r>
        <w:rPr/>
        <w:t xml:space="preserve">Reported building permits are an imperfect measure of housing growth. In some cases, they overestimate the net increase in housing units if not all permitted projects are ultimately constructed or if demolition of preexisting units is required. In other cases, they may underestimate new growth due to lack of reporting or because adaptive reuse is not captured in the data. From 2000 to 2010, reported building permits for </w:t>
      </w:r>
      <w:del w:author="Unknown Author" w:date="2014-06-09T15:03:00Z" w:id="501">
        <w:r>
          <w:rPr/>
          <w:delText>cityFoo</w:delText>
        </w:r>
      </w:del>
      <w:ins w:author="Unknown Author" w:date="2014-06-09T15:03:00Z" w:id="502">
        <w:r>
          <w:rPr>
            <w:rFonts w:cs="Cambria" w:eastAsia="Arial Unicode MS"/>
            <w:color w:val="00000A"/>
            <w:sz w:val="24"/>
            <w:szCs w:val="24"/>
            <w:lang w:bidi="ar-SA" w:eastAsia="en-US" w:val="en-US"/>
          </w:rPr>
          <w:t>#{@report.muni}</w:t>
        </w:r>
      </w:ins>
      <w:r>
        <w:rPr/>
        <w:t xml:space="preserve"> [over/under]estimated the actual census-based housing change by NA%. </w:t>
      </w:r>
    </w:p>
  </w:footnote>
</w:footnote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20"/>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suppressAutoHyphens w:val="true"/>
      <w:spacing w:after="180" w:before="180" w:line="276" w:lineRule="auto"/>
      <w:contextualSpacing w:val="false"/>
    </w:pPr>
    <w:rPr>
      <w:rFonts w:ascii="Cambria" w:cs="Cambria" w:eastAsia="Arial Unicode MS" w:hAnsi="Cambria"/>
      <w:color w:val="00000A"/>
      <w:sz w:val="24"/>
      <w:szCs w:val="24"/>
      <w:lang w:bidi="ar-SA" w:eastAsia="en-US" w:val="en-US"/>
    </w:rPr>
  </w:style>
  <w:style w:styleId="style1" w:type="paragraph">
    <w:name w:val="Heading 1"/>
    <w:basedOn w:val="style0"/>
    <w:next w:val="style1"/>
    <w:pPr>
      <w:keepNext/>
      <w:keepLines/>
      <w:spacing w:after="0" w:before="480"/>
      <w:contextualSpacing w:val="false"/>
    </w:pPr>
    <w:rPr>
      <w:rFonts w:ascii="Calibri" w:hAnsi="Calibri"/>
      <w:b/>
      <w:bCs/>
      <w:color w:val="345A8A"/>
      <w:sz w:val="36"/>
      <w:szCs w:val="36"/>
    </w:rPr>
  </w:style>
  <w:style w:styleId="style2" w:type="paragraph">
    <w:name w:val="Heading 2"/>
    <w:basedOn w:val="style0"/>
    <w:next w:val="style2"/>
    <w:pPr>
      <w:keepNext/>
      <w:keepLines/>
      <w:spacing w:after="0" w:before="200"/>
      <w:contextualSpacing w:val="false"/>
    </w:pPr>
    <w:rPr>
      <w:rFonts w:ascii="Calibri" w:hAnsi="Calibri"/>
      <w:b/>
      <w:bCs/>
      <w:color w:val="4F81BD"/>
      <w:sz w:val="32"/>
      <w:szCs w:val="32"/>
    </w:rPr>
  </w:style>
  <w:style w:styleId="style3" w:type="paragraph">
    <w:name w:val="Heading 3"/>
    <w:basedOn w:val="style0"/>
    <w:next w:val="style3"/>
    <w:pPr>
      <w:keepNext/>
      <w:keepLines/>
      <w:spacing w:after="0" w:before="200"/>
      <w:contextualSpacing w:val="false"/>
    </w:pPr>
    <w:rPr>
      <w:rFonts w:ascii="Calibri" w:hAnsi="Calibri"/>
      <w:b/>
      <w:bCs/>
      <w:color w:val="4F81BD"/>
      <w:sz w:val="28"/>
      <w:szCs w:val="28"/>
    </w:rPr>
  </w:style>
  <w:style w:styleId="style4" w:type="paragraph">
    <w:name w:val="Heading 4"/>
    <w:basedOn w:val="style0"/>
    <w:next w:val="style4"/>
    <w:pPr>
      <w:keepNext/>
      <w:keepLines/>
      <w:spacing w:after="0" w:before="200"/>
      <w:contextualSpacing w:val="false"/>
    </w:pPr>
    <w:rPr>
      <w:rFonts w:ascii="Calibri" w:hAnsi="Calibri"/>
      <w:b/>
      <w:bCs/>
      <w:color w:val="4F81BD"/>
    </w:rPr>
  </w:style>
  <w:style w:styleId="style5" w:type="paragraph">
    <w:name w:val="Heading 5"/>
    <w:basedOn w:val="style0"/>
    <w:next w:val="style5"/>
    <w:pPr>
      <w:keepNext/>
      <w:keepLines/>
      <w:spacing w:after="0" w:before="200"/>
      <w:contextualSpacing w:val="false"/>
    </w:pPr>
    <w:rPr>
      <w:rFonts w:ascii="Calibri" w:hAnsi="Calibri"/>
      <w:i/>
      <w:iCs/>
      <w:color w:val="4F81BD"/>
    </w:rPr>
  </w:style>
  <w:style w:styleId="style15" w:type="character">
    <w:name w:val="Default Paragraph Font"/>
    <w:next w:val="style15"/>
    <w:rPr/>
  </w:style>
  <w:style w:styleId="style16" w:type="character">
    <w:name w:val="Body Text Char"/>
    <w:basedOn w:val="style15"/>
    <w:next w:val="style16"/>
    <w:rPr/>
  </w:style>
  <w:style w:styleId="style17" w:type="character">
    <w:name w:val="Verbatim Char"/>
    <w:basedOn w:val="style16"/>
    <w:next w:val="style17"/>
    <w:rPr>
      <w:rFonts w:ascii="Consolas" w:hAnsi="Consolas"/>
      <w:sz w:val="22"/>
    </w:rPr>
  </w:style>
  <w:style w:styleId="style18" w:type="character">
    <w:name w:val="Footnote Ref"/>
    <w:basedOn w:val="style16"/>
    <w:next w:val="style18"/>
    <w:rPr>
      <w:vertAlign w:val="superscript"/>
    </w:rPr>
  </w:style>
  <w:style w:styleId="style19" w:type="character">
    <w:name w:val="Link"/>
    <w:basedOn w:val="style16"/>
    <w:next w:val="style19"/>
    <w:rPr>
      <w:color w:val="4F81BD"/>
    </w:rPr>
  </w:style>
  <w:style w:styleId="style20" w:type="character">
    <w:name w:val="KeywordTok"/>
    <w:basedOn w:val="style17"/>
    <w:next w:val="style20"/>
    <w:rPr>
      <w:b/>
      <w:color w:val="007020"/>
    </w:rPr>
  </w:style>
  <w:style w:styleId="style21" w:type="character">
    <w:name w:val="DataTypeTok"/>
    <w:basedOn w:val="style17"/>
    <w:next w:val="style21"/>
    <w:rPr>
      <w:color w:val="902000"/>
    </w:rPr>
  </w:style>
  <w:style w:styleId="style22" w:type="character">
    <w:name w:val="DecValTok"/>
    <w:basedOn w:val="style17"/>
    <w:next w:val="style22"/>
    <w:rPr>
      <w:color w:val="40A070"/>
    </w:rPr>
  </w:style>
  <w:style w:styleId="style23" w:type="character">
    <w:name w:val="BaseNTok"/>
    <w:basedOn w:val="style17"/>
    <w:next w:val="style23"/>
    <w:rPr>
      <w:color w:val="40A070"/>
    </w:rPr>
  </w:style>
  <w:style w:styleId="style24" w:type="character">
    <w:name w:val="FloatTok"/>
    <w:basedOn w:val="style17"/>
    <w:next w:val="style24"/>
    <w:rPr>
      <w:color w:val="40A070"/>
    </w:rPr>
  </w:style>
  <w:style w:styleId="style25" w:type="character">
    <w:name w:val="CharTok"/>
    <w:basedOn w:val="style17"/>
    <w:next w:val="style25"/>
    <w:rPr>
      <w:color w:val="4070A0"/>
    </w:rPr>
  </w:style>
  <w:style w:styleId="style26" w:type="character">
    <w:name w:val="StringTok"/>
    <w:basedOn w:val="style17"/>
    <w:next w:val="style26"/>
    <w:rPr>
      <w:color w:val="4070A0"/>
    </w:rPr>
  </w:style>
  <w:style w:styleId="style27" w:type="character">
    <w:name w:val="CommentTok"/>
    <w:basedOn w:val="style17"/>
    <w:next w:val="style27"/>
    <w:rPr>
      <w:i/>
      <w:color w:val="60A0B0"/>
    </w:rPr>
  </w:style>
  <w:style w:styleId="style28" w:type="character">
    <w:name w:val="OtherTok"/>
    <w:basedOn w:val="style17"/>
    <w:next w:val="style28"/>
    <w:rPr>
      <w:color w:val="007020"/>
    </w:rPr>
  </w:style>
  <w:style w:styleId="style29" w:type="character">
    <w:name w:val="AlertTok"/>
    <w:basedOn w:val="style17"/>
    <w:next w:val="style29"/>
    <w:rPr>
      <w:b/>
      <w:color w:val="FF0000"/>
    </w:rPr>
  </w:style>
  <w:style w:styleId="style30" w:type="character">
    <w:name w:val="FunctionTok"/>
    <w:basedOn w:val="style17"/>
    <w:next w:val="style30"/>
    <w:rPr>
      <w:color w:val="06287E"/>
    </w:rPr>
  </w:style>
  <w:style w:styleId="style31" w:type="character">
    <w:name w:val="RegionMarkerTok"/>
    <w:basedOn w:val="style17"/>
    <w:next w:val="style31"/>
    <w:rPr/>
  </w:style>
  <w:style w:styleId="style32" w:type="character">
    <w:name w:val="ErrorTok"/>
    <w:basedOn w:val="style17"/>
    <w:next w:val="style32"/>
    <w:rPr>
      <w:b/>
      <w:color w:val="FF0000"/>
    </w:rPr>
  </w:style>
  <w:style w:styleId="style33" w:type="character">
    <w:name w:val="NormalTok"/>
    <w:basedOn w:val="style17"/>
    <w:next w:val="style33"/>
    <w:rPr/>
  </w:style>
  <w:style w:styleId="style34" w:type="character">
    <w:name w:val="Footnote Anchor"/>
    <w:next w:val="style34"/>
    <w:rPr>
      <w:vertAlign w:val="superscript"/>
    </w:rPr>
  </w:style>
  <w:style w:styleId="style35" w:type="character">
    <w:name w:val="Endnote Anchor"/>
    <w:next w:val="style35"/>
    <w:rPr>
      <w:vertAlign w:val="superscript"/>
    </w:rPr>
  </w:style>
  <w:style w:styleId="style36" w:type="character">
    <w:name w:val="annotation reference"/>
    <w:basedOn w:val="style15"/>
    <w:next w:val="style36"/>
    <w:rPr>
      <w:sz w:val="16"/>
      <w:szCs w:val="16"/>
    </w:rPr>
  </w:style>
  <w:style w:styleId="style37" w:type="character">
    <w:name w:val="Comment Text Char"/>
    <w:basedOn w:val="style15"/>
    <w:next w:val="style37"/>
    <w:rPr>
      <w:rFonts w:ascii="Cambria" w:cs="Cambria" w:eastAsia="Arial Unicode MS" w:hAnsi="Cambria"/>
      <w:sz w:val="20"/>
      <w:szCs w:val="20"/>
    </w:rPr>
  </w:style>
  <w:style w:styleId="style38" w:type="character">
    <w:name w:val="Comment Subject Char"/>
    <w:basedOn w:val="style37"/>
    <w:next w:val="style38"/>
    <w:rPr>
      <w:b/>
      <w:bCs/>
    </w:rPr>
  </w:style>
  <w:style w:styleId="style39" w:type="character">
    <w:name w:val="Balloon Text Char"/>
    <w:basedOn w:val="style15"/>
    <w:next w:val="style39"/>
    <w:rPr>
      <w:rFonts w:ascii="Tahoma" w:cs="Tahoma" w:eastAsia="Arial Unicode MS" w:hAnsi="Tahoma"/>
      <w:sz w:val="16"/>
      <w:szCs w:val="16"/>
    </w:rPr>
  </w:style>
  <w:style w:styleId="style40" w:type="character">
    <w:name w:val="Footnote Text Char"/>
    <w:basedOn w:val="style15"/>
    <w:next w:val="style40"/>
    <w:rPr>
      <w:rFonts w:ascii="Cambria" w:cs="Cambria" w:eastAsia="Arial Unicode MS" w:hAnsi="Cambria"/>
      <w:sz w:val="20"/>
      <w:szCs w:val="20"/>
    </w:rPr>
  </w:style>
  <w:style w:styleId="style41" w:type="character">
    <w:name w:val="footnote reference"/>
    <w:basedOn w:val="style15"/>
    <w:next w:val="style41"/>
    <w:rPr>
      <w:vertAlign w:val="superscript"/>
    </w:rPr>
  </w:style>
  <w:style w:styleId="style42" w:type="character">
    <w:name w:val="Internet Link"/>
    <w:basedOn w:val="style15"/>
    <w:next w:val="style42"/>
    <w:rPr>
      <w:color w:val="0000FF"/>
      <w:u w:val="single"/>
      <w:lang w:bidi="zxx-" w:eastAsia="zxx-" w:val="zxx-"/>
    </w:rPr>
  </w:style>
  <w:style w:styleId="style43" w:type="character">
    <w:name w:val="ListLabel 1"/>
    <w:next w:val="style43"/>
    <w:rPr>
      <w:rFonts w:cs="Symbol"/>
    </w:rPr>
  </w:style>
  <w:style w:styleId="style44" w:type="character">
    <w:name w:val="ListLabel 2"/>
    <w:next w:val="style44"/>
    <w:rPr>
      <w:rFonts w:cs="Symbol"/>
    </w:rPr>
  </w:style>
  <w:style w:styleId="style45" w:type="character">
    <w:name w:val="Footnote Characters"/>
    <w:next w:val="style45"/>
    <w:rPr/>
  </w:style>
  <w:style w:styleId="style46" w:type="character">
    <w:name w:val="Endnote Characters"/>
    <w:next w:val="style46"/>
    <w:rPr/>
  </w:style>
  <w:style w:styleId="style47" w:type="paragraph">
    <w:name w:val="Heading"/>
    <w:basedOn w:val="style0"/>
    <w:next w:val="style48"/>
    <w:pPr>
      <w:keepNext/>
      <w:spacing w:after="120" w:before="240"/>
      <w:contextualSpacing w:val="false"/>
    </w:pPr>
    <w:rPr>
      <w:rFonts w:ascii="Arial" w:cs="Arial Unicode MS" w:eastAsia="Arial Unicode MS" w:hAnsi="Arial"/>
      <w:sz w:val="28"/>
      <w:szCs w:val="28"/>
    </w:rPr>
  </w:style>
  <w:style w:styleId="style48" w:type="paragraph">
    <w:name w:val="Text Body"/>
    <w:basedOn w:val="style0"/>
    <w:next w:val="style48"/>
    <w:pPr>
      <w:spacing w:after="120" w:before="0"/>
      <w:contextualSpacing w:val="false"/>
    </w:pPr>
    <w:rPr/>
  </w:style>
  <w:style w:styleId="style49" w:type="paragraph">
    <w:name w:val="List"/>
    <w:basedOn w:val="style48"/>
    <w:next w:val="style49"/>
    <w:pPr/>
    <w:rPr/>
  </w:style>
  <w:style w:styleId="style50" w:type="paragraph">
    <w:name w:val="Caption"/>
    <w:basedOn w:val="style0"/>
    <w:next w:val="style50"/>
    <w:pPr>
      <w:suppressLineNumbers/>
      <w:spacing w:after="120" w:before="120"/>
      <w:contextualSpacing w:val="false"/>
    </w:pPr>
    <w:rPr>
      <w:i/>
      <w:iCs/>
      <w:sz w:val="24"/>
      <w:szCs w:val="24"/>
    </w:rPr>
  </w:style>
  <w:style w:styleId="style51" w:type="paragraph">
    <w:name w:val="Index"/>
    <w:basedOn w:val="style0"/>
    <w:next w:val="style51"/>
    <w:pPr>
      <w:suppressLineNumbers/>
    </w:pPr>
    <w:rPr/>
  </w:style>
  <w:style w:styleId="style52" w:type="paragraph">
    <w:name w:val="caption"/>
    <w:basedOn w:val="style0"/>
    <w:next w:val="style52"/>
    <w:pPr>
      <w:suppressLineNumbers/>
      <w:spacing w:after="120" w:before="120"/>
      <w:contextualSpacing w:val="false"/>
    </w:pPr>
    <w:rPr>
      <w:i/>
      <w:iCs/>
    </w:rPr>
  </w:style>
  <w:style w:styleId="style53" w:type="paragraph">
    <w:name w:val="Compact"/>
    <w:basedOn w:val="style0"/>
    <w:next w:val="style53"/>
    <w:pPr>
      <w:spacing w:after="36" w:before="36"/>
      <w:contextualSpacing w:val="false"/>
    </w:pPr>
    <w:rPr/>
  </w:style>
  <w:style w:styleId="style54" w:type="paragraph">
    <w:name w:val="Title"/>
    <w:basedOn w:val="style0"/>
    <w:next w:val="style54"/>
    <w:pPr>
      <w:keepNext/>
      <w:keepLines/>
      <w:spacing w:after="240" w:before="480"/>
      <w:contextualSpacing w:val="false"/>
      <w:jc w:val="center"/>
    </w:pPr>
    <w:rPr>
      <w:rFonts w:ascii="Calibri" w:hAnsi="Calibri"/>
      <w:b/>
      <w:bCs/>
      <w:color w:val="345A8A"/>
      <w:sz w:val="36"/>
      <w:szCs w:val="36"/>
    </w:rPr>
  </w:style>
  <w:style w:styleId="style55" w:type="paragraph">
    <w:name w:val="Authors"/>
    <w:next w:val="style55"/>
    <w:pPr>
      <w:keepNext/>
      <w:keepLines/>
      <w:widowControl/>
      <w:suppressAutoHyphens w:val="true"/>
      <w:spacing w:after="200" w:before="0" w:line="276" w:lineRule="auto"/>
      <w:contextualSpacing w:val="false"/>
      <w:jc w:val="center"/>
    </w:pPr>
    <w:rPr>
      <w:rFonts w:ascii="Cambria" w:cs="Cambria" w:eastAsia="Arial Unicode MS" w:hAnsi="Cambria"/>
      <w:color w:val="00000A"/>
      <w:sz w:val="24"/>
      <w:szCs w:val="24"/>
      <w:lang w:bidi="ar-SA" w:eastAsia="en-US" w:val="en-US"/>
    </w:rPr>
  </w:style>
  <w:style w:styleId="style56" w:type="paragraph">
    <w:name w:val="Date"/>
    <w:next w:val="style56"/>
    <w:pPr>
      <w:keepNext/>
      <w:keepLines/>
      <w:widowControl/>
      <w:suppressAutoHyphens w:val="true"/>
      <w:spacing w:after="200" w:before="0" w:line="276" w:lineRule="auto"/>
      <w:contextualSpacing w:val="false"/>
      <w:jc w:val="center"/>
    </w:pPr>
    <w:rPr>
      <w:rFonts w:ascii="Cambria" w:cs="Cambria" w:eastAsia="Arial Unicode MS" w:hAnsi="Cambria"/>
      <w:color w:val="00000A"/>
      <w:sz w:val="24"/>
      <w:szCs w:val="24"/>
      <w:lang w:bidi="ar-SA" w:eastAsia="en-US" w:val="en-US"/>
    </w:rPr>
  </w:style>
  <w:style w:styleId="style57" w:type="paragraph">
    <w:name w:val="Block Quote"/>
    <w:basedOn w:val="style0"/>
    <w:next w:val="style57"/>
    <w:pPr>
      <w:spacing w:after="100" w:before="100"/>
      <w:contextualSpacing w:val="false"/>
    </w:pPr>
    <w:rPr>
      <w:rFonts w:ascii="Calibri" w:hAnsi="Calibri"/>
      <w:bCs/>
      <w:sz w:val="20"/>
      <w:szCs w:val="20"/>
    </w:rPr>
  </w:style>
  <w:style w:styleId="style58" w:type="paragraph">
    <w:name w:val="Footnote"/>
    <w:basedOn w:val="style0"/>
    <w:next w:val="style58"/>
    <w:pPr/>
    <w:rPr/>
  </w:style>
  <w:style w:styleId="style59" w:type="paragraph">
    <w:name w:val="Definition Term"/>
    <w:basedOn w:val="style0"/>
    <w:next w:val="style59"/>
    <w:pPr>
      <w:keepNext/>
      <w:keepLines/>
      <w:spacing w:after="0" w:before="180"/>
      <w:contextualSpacing w:val="false"/>
    </w:pPr>
    <w:rPr>
      <w:b/>
    </w:rPr>
  </w:style>
  <w:style w:styleId="style60" w:type="paragraph">
    <w:name w:val="Definition"/>
    <w:basedOn w:val="style0"/>
    <w:next w:val="style60"/>
    <w:pPr/>
    <w:rPr/>
  </w:style>
  <w:style w:styleId="style61" w:type="paragraph">
    <w:name w:val="Table Caption"/>
    <w:basedOn w:val="style0"/>
    <w:next w:val="style61"/>
    <w:pPr>
      <w:spacing w:after="120" w:before="0"/>
      <w:contextualSpacing w:val="false"/>
    </w:pPr>
    <w:rPr>
      <w:i/>
    </w:rPr>
  </w:style>
  <w:style w:styleId="style62" w:type="paragraph">
    <w:name w:val="Image Caption"/>
    <w:basedOn w:val="style0"/>
    <w:next w:val="style62"/>
    <w:pPr>
      <w:spacing w:after="120" w:before="0"/>
      <w:contextualSpacing w:val="false"/>
    </w:pPr>
    <w:rPr>
      <w:i/>
    </w:rPr>
  </w:style>
  <w:style w:styleId="style63" w:type="paragraph">
    <w:name w:val="Source Code"/>
    <w:basedOn w:val="style0"/>
    <w:next w:val="style63"/>
    <w:pPr/>
    <w:rPr/>
  </w:style>
  <w:style w:styleId="style64" w:type="paragraph">
    <w:name w:val="annotation text"/>
    <w:basedOn w:val="style0"/>
    <w:next w:val="style64"/>
    <w:pPr>
      <w:spacing w:line="100" w:lineRule="atLeast"/>
    </w:pPr>
    <w:rPr>
      <w:sz w:val="20"/>
      <w:szCs w:val="20"/>
    </w:rPr>
  </w:style>
  <w:style w:styleId="style65" w:type="paragraph">
    <w:name w:val="annotation subject"/>
    <w:basedOn w:val="style64"/>
    <w:next w:val="style65"/>
    <w:pPr/>
    <w:rPr>
      <w:b/>
      <w:bCs/>
    </w:rPr>
  </w:style>
  <w:style w:styleId="style66" w:type="paragraph">
    <w:name w:val="Balloon Text"/>
    <w:basedOn w:val="style0"/>
    <w:next w:val="style66"/>
    <w:pPr>
      <w:spacing w:after="0" w:before="0" w:line="100" w:lineRule="atLeast"/>
      <w:contextualSpacing w:val="false"/>
    </w:pPr>
    <w:rPr>
      <w:rFonts w:ascii="Tahoma" w:cs="Tahoma" w:hAnsi="Tahoma"/>
      <w:sz w:val="16"/>
      <w:szCs w:val="16"/>
    </w:rPr>
  </w:style>
  <w:style w:styleId="style67" w:type="paragraph">
    <w:name w:val="footnote text"/>
    <w:basedOn w:val="style0"/>
    <w:next w:val="style67"/>
    <w:pPr>
      <w:spacing w:after="0" w:before="0" w:line="100" w:lineRule="atLeast"/>
      <w:contextualSpacing w:val="false"/>
    </w:pPr>
    <w:rPr>
      <w:sz w:val="20"/>
      <w:szCs w:val="20"/>
    </w:rPr>
  </w:style>
  <w:style w:styleId="style68" w:type="paragraph">
    <w:name w:val="Revision"/>
    <w:next w:val="style68"/>
    <w:pPr>
      <w:widowControl/>
      <w:suppressAutoHyphens w:val="true"/>
      <w:spacing w:after="0" w:before="0" w:line="100" w:lineRule="atLeast"/>
      <w:contextualSpacing w:val="false"/>
    </w:pPr>
    <w:rPr>
      <w:rFonts w:ascii="Cambria" w:cs="Cambria" w:eastAsia="Arial Unicode MS" w:hAnsi="Cambria"/>
      <w:color w:val="00000A"/>
      <w:sz w:val="24"/>
      <w:szCs w:val="24"/>
      <w:lang w:bidi="ar-SA" w:eastAsia="en-US" w:val="en-US"/>
    </w:rPr>
  </w:style>
  <w:style w:styleId="style69" w:type="paragraph">
    <w:name w:val="Quotations"/>
    <w:basedOn w:val="style0"/>
    <w:next w:val="style69"/>
    <w:pPr/>
    <w:rPr/>
  </w:style>
  <w:style w:styleId="style70" w:type="paragraph">
    <w:name w:val="Subtitle"/>
    <w:basedOn w:val="style47"/>
    <w:next w:val="style7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www.mapc.org/projections" TargetMode="External"/>
</Relationships>
</file>

<file path=docProps/app.xml><?xml version="1.0" encoding="utf-8"?>
<Properties xmlns="http://schemas.openxmlformats.org/officeDocument/2006/extended-properties" xmlns:vt="http://schemas.openxmlformats.org/officeDocument/2006/docPropsVTypes">
  <Template>Normal.dotm</Template>
  <TotalTime>8</TotalTime>
  <Application>LibreOffice/4.1.1.2$MacOSX_x86 LibreOffice_project/7e4286b58adc75a14f6d83f53a03b6c11fa2903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2014-06-09T17:49:00Z</dcterms:created>
  <dc:creator>Mapcuser</dc:creator>
  <cp:lastModifiedBy>cmartin</cp:lastModifiedBy>
  <cp:lastPrinted>2014-06-09T14:58:00Z</cp:lastPrinted>
  <dcterms:modified xsi:type="dcterms:W3CDTF">2014-06-09T17:49:00Z</dcterms:modified>
  <cp:revision>2</cp:revision>
  <dc:title>cityFoo Housing Needs Assessment: The good parts</dc:title>
</cp:coreProperties>
</file>