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TRY</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%h1 Topic Area: Introduction</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%p 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%p This report provides an overview of the current demographics of #{@report.muni}, the projected changes in housing demand over the coming decades, and the types of new housing that are needed to meet that need.  </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The Legal Context for Housing Production Planning</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%p For the purposes of this statute, affordable housing is defined as a unit that could be purchased or rented by a household making up to 80% of the area median income (AMI). </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%h1 Topic Area: Demographics</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#{@report.muni} is home to #{@report.pop_2010} residents,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Calc.new(@report.pop_2000, @report.pop_2010).percent_change_increase(context: :of) } from 2000. In 2010, working-age adults between 20 and 65 made up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Calc.new(@report.working_age_adults_20_65, @report.pop_2010).percent_text } of the population and seniors over 65 made up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Calc.new(@report.pop10_65p, @report.pop_2010).percent_text } School-age children, between 5 and 19, make up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Calc.new(@report.pop10_5_19, @report.pop_2010).percent_text } of current residents. Between 2005 and 2012, school enrollment</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Calc.new(@report.enroll_chg).number_increase(tense: :past) }, or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Calc.new(@report.enroll_chg, (@report.enrolled - @report.enroll_chg)).percent_text }</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MAPC, the regional planning agency for Metro Boston, has prepared population and housing demand projections for 164 cities and towns in Metropolitan Boston1, and the University of Massachusetts Donahue Institute has prepared population projections for the balance of the cities and towns in the state2.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With the aging of the Baby Boomers, Massachusetts is growing older. The senior population is expected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Calc.new(@report.pop10_65p, @report.pop30_65p).percent_change_increase } over the next two decades, an increase mirrored in almost every city and town.</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In #{@report.muni}, the aging of the Baby Boomers will cause the senior population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Calc.new(@report.pop10_65p, @report.pop30_65p).number_increase } people, or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Calc.new(@report.pop10_65p, @report.pop30_65p).percent_change_text }, through 2030, as seen in Figure 1. The total population is projected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Calc.new(@report.pop_2010, @report.pop_30sr).number_increase }, or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Calc.new(@report.pop_2010, @report.pop_30sr).percent_change_text }, over the same period.</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%p [[Figure 1: Bar chart of population projections by age variable. Bars are filled by year. Age  variable mapped to x-axis. See ”Total Population by Age, 1990 - 2030”  in municipal projections. report. </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Population</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by Race</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Massachusetts has grown more diverse since 2000. Between 2000 and 2010, the non-white population</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#{Calc.new(@report.minor_00, @report.minor_10).percent_change_increase(tense: :past)}. Meanwhile, the white, non-Hispanic population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#{Calc.new(@report.whi_00, @report.nhwhi).percent_change_increase(tense: :past)}. Figure {figNum} shows the distribution of population by race in #{@report.muni} and its ten nearest neighbors.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[[Stacked bar chart that adds up to 100%. Bars are shaded by percent of population that is White, Black, Asian, Native American, Pacific Islander, Other, Two or More, and Hispanic. Bars correspond to #{@report.muni} and its nearest neighbors.]]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%h1 Topic Area: Demand</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 This section looks at the current distribution of household types in #{@report.muni}, projected household changes, and net housing unit demand through 2030.</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Key findings: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%ul</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total households in #{@report.muni}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Calc.new(@report.hh_00, @report.hh_10).percent_change_increase(tense: :past) } between 2000 and 2010, from #{@report.hh_00} to #{@report.hh_10},4</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average household size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Calc.new(@report.hh_avg00, @report.hh_avg10).increase(context: :none, tense: :past) } from</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#{@report.hh_avg00(round: false)} in 2000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#{@report.hh_avg10(round: false)} in 2010, and is projected to be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#{@report.hhs_30sr(round: false)} by 2030,</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family households with children make up #{@report.hhf_c_p}% of #{@report.muni} households,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single person households and elderly5 single person households make up #{@report.hh1_p}% and #{@report.hh1_65o_p}% of #{@report.muni} households, respectively,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total households in #{@report.muni} are projected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Calc.new(@report.hh_10, @report.hh_30sr).number_increase(context: :by) } through 2030,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Calc.new(@report.hh_10, @report.hh_30sr).percent_change_increase(context: :of) } from 2010,</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householders between 30 and 60 are projected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Calc.new(@report.househld_30_60_2010, @report.househld_30_60_2030).number_increase(context: :by) }, or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Calc.new(@report.househld_30_60_2010, @report.househld_30_60_2030).percent_change_text },</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%ul</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As the Baby Boomer generation ages, the number of householders over 60 will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@report.househld_60_pl_2030).number_increase }, from</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@report.hh_10).percent_text }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Calc.new(@report.househld_60_pl_2030, @report.hh_30sr).percent_text } of the total households in #{@report.muni}.</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Net housing unit demand will be #{@report.net_housing_demand_2020} through 2020, or #{@report.net_housing_demand_2020_ann} annually,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Net housing unit demand for householders currently between the ages of 15 and 35 will be #{@report.hu1534_20}, or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@report.net_annual_demand</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annually,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Over the next ten years, householders currently older than 55 will need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units = Calc.new(@report.net_housing_demand_55_pl_2020).more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units than they do today</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if units.include?('fewer')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putting #{@report.putting_back_sf} single family houses back onto the market on average each year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Households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Total Households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In #{@report.muni}, total households</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Calc.new(@report.hh_00, @report.hh_10).number_increase(tense: :past) }, or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Calc.new(@report.hh_00, @report.hh_10).percent_change_text }, between 2000 and 2010. At the same time, average household size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Calc.new(@report.hh_avg00, @report.hh_avg10).increase(tense: :past, context: :none) } from</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@report.hh_avg00(round: false) } to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@report.hh_avg10(round: false) }.</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Households by Age Cohort</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@report.househld_60_pl_2030).percent_change_text } statewide through 2030, and their share of all households will increase from</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@report.hh_10).percent_text(percent: nil.to_s) }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In #{@report.muni}, householders over 60 will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Calc.new(@report.househld_60_pl_2010_p, @report.househld_60_pl_2030_p).increase(context: :none) } from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@report.hh_10).percent_text } of the population in 2010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Calc.new(@report.househld_60_pl_2030, @report.hh_30sr).percent_text } in 2030,</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Calc.new(@report.househld_60_pl_2010, @report.househld_60_pl_2030).percent_change_increase(context: :of, percent: nil.to_s) } percent. Meanwhile, under-60 householders will</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Calc.new(@report.under_60_househld_2010, @report.under_60_househld_2030).number_increase }, or</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Calc.new(@report.under_60_househld_2010, @report.under_60_househld_2030).percent_change_text }, as seen in Figure 2.</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[[Figure 2: Bar chart of household projections by age variable. Essentially identical to Figure 1.]]</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Housing Units</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Housing Unit Demand Change</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decline in demand from older householders will partly offset increased demand from their younger counterparts. In Metro Boston, for example, the decline in demand for single-family homes among householders over 55 and over will accommodate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Calc.new(@report.mf_homes_over_55_2020, @report.mf_homes_under_55_2020).percent_text } percent of new multifamily demand will be met through existing units freed up by householder over 55.</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Through 2020, new households headed by someone currently under the age of 35 will need an additional #{@report.hu1534_20} housing units.  Households headed by someone currently between the ages of 35 and 55 will demand</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 Calc.new(@report.hu3554_20).more } units. Householders currently over the age of 55 will need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multi-family units. Figure {figNum} breaks projected demand down by householder cohort, unit type, and tenure.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[[Figure {figNum}: Bar chart of housing unit demand by cohort: 2010 through 2030. Age breaks on the x-axis: 15 - 34, 35-54, 55 - 74, and 75+. Bars are stacked and colored by unit type and tenure (single family rental and owner, and multifamily rental and owner. See figure Housing Unit Demand by Cohort, 2010 - 2020 in Abington HPP report.]]</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Supply</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Housing Units by Age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Housing Units by Type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Housing Permits</w:t>
      </w:r>
    </w:p>
    <w:p>
      <w:pPr>
        <w:pStyle w:val="style53"/>
        <w:spacing w:after="240" w:before="480"/>
        <w:contextualSpacing w:val="false"/>
        <w:jc w:val="left"/>
        <w:rPr/>
      </w:pPr>
      <w:r>
        <w:rPr/>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2000 - 2012</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future.1 From 2000 to 2012, #{@report.muni} permitted #{@report.sf_units12} single family and #{@report.mf_units12} multifamily housing units annually, as seen in {figNum}.  By comparison, #{@report.muni} faces an annual projected demand of #{@report.sf_demand_2020_ann} single family units and #{@report.mf_demand_2020_ann} multifamily units.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[[Line graph with permitted single family and multifamily units per year from 2000 to 2013. Overall horizontal lines to indicate the average annual demand for new single family and multifamily units. These may also work better as separate graphs, especially in communities with historically low multifamily permitting.]]</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%h1 Topic Area: Affordability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Affordability is measured in several ways. In this section, we will measure affordability according to:</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%ul </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 the percent of households that pay more than 30% and 50% of income on housing costs (“cost burdened” and “severely cost burdened,” respectively), by household tenure, income, and type;</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 the percent of housing units listed on the Massachusetts Subsidized Housing Inventory (SHI),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 the percent of recent home sales affordable to low and median income households, and</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 the gap between the number of households by income level, and the number of housing units affordable by income level.</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Households by Income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tableNum below.</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[[Table modeled after Table 11 in Everett HPP, page 23.]]</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In #{@report.muni}, #{@report.amiu30p}%, #{@report.ami3050p}%, and #{@report.ami5080p}% of households are extremely low, very low, and low income, respectively. This means that</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@report.amiu30p + @report.ami3050p + @report.ami5080p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xml:space="preserve">percent of all households qualify for federal and state affordable housing programs based on household income. </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[[Bar graph of household projections by household income. Similar to household by age, expect bars will be filed in according to income.]]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Housing Cost Burden</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Calc.new(@report.cost_burdened_units, @report.occupied_units).percent_text } and</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Calc.new(@report.sev_cost_burdened_units, @report.occupied_units).percent_text } of households are cost burdened and severely cost burdened, respectively, compared to</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Calc.new(@report.state.average_cost_burdened_units, @report.state.average_occupied_units).percent_text } and</w:t>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 Calc.new(@report.state.average_sev_cost_burdened_units, @report.state.average_occupied_units).percent_text } of households statewide.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Cost Burden by Tenure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Cost burden rates are typically higher among renter households. Statewide, #{@report.r_cb_p}% of renter and #{@report.o_cb_p}% of owners are cost burdened, respectively. In #{@report.muni}, #{@report.r_cb_p}% of renters are cost burdened, versus #{@report.o_cb_p}% of owners.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Cost Burden by Income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As expected, cost burden is also more common among low income households. Statewide, #{@report.eli_cbp}% of all extremely low income households, #{@report.vli_cbp}% of very low income households, and #{@report.li_cbp}% of low income households are cost burdened, versus #{@report.hi_cbp}% of households with incomes above 100% AMI. Figure {figNum} shows the percent of #{@report.muni} households that are cost burdened and severely cost burdened by income level.</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[[cost burden by income graph. Colors correspond to income category, y-axis corresponds to percent of total households, x-axis corresponds to municipality.]]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%h3 Subtopic: Cost Burden by Household Type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Subsidized Housing Inventory</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Massachusetts maintains a subsidized housing inventory (SHI) that tracks each municipality’s affordable housing stock, including deed restricted and subsidized units.  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Statewide, #{@report.shi_p}% of housing unit are on the SHI, and 100*sum(#{@report.shi_p} &gt; 10)/351% of municipalities meet their 10% requirement under Chapter 40B. Figure {figNum} shows the percent of SHI unit within #{@report.muni} and its nearest neighbors.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[[Bar chart of percent SHI units for #{@report.muni} and nearest neighborhoods.]]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Affordability of Recent Home Sales</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{figNum} shows the percent of single family home sales since 2000 that are affordable by household income.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[Note: If a graph does not appear below, then #{@report.muni} either does not have data on sale price or sale date in the Massachusetts parcel file, or the data is in a non-standard format.]</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[[Line graph. y-axis is percent of home sales/condo sales since 2000 that are affordable to households at each income level. Vertical lines show low income household cutoff and median households income.]]</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%h2 Topic: Affordability Gap</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Table tableNum shows the gap #{@report.muni} renter and owner households face at 50% AMI, 50 to 80% AMI, and above 80% AMI.</w:t>
      </w:r>
    </w:p>
    <w:p>
      <w:pPr>
        <w:pStyle w:val="style53"/>
        <w:spacing w:after="240" w:before="480"/>
        <w:contextualSpacing w:val="false"/>
        <w:jc w:val="left"/>
        <w:rPr/>
      </w:pPr>
      <w:r>
        <w:rPr/>
      </w:r>
    </w:p>
    <w:p>
      <w:pPr>
        <w:pStyle w:val="style53"/>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%p [[Table based on Table 17 in Everett Housing Production Plan.]]</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Arial">
    <w:charset w:val="01"/>
    <w:family w:val="swiss"/>
    <w:pitch w:val="variable"/>
  </w:font>
  <w:font w:name="Avenir Next">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tru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paragraph">
    <w:name w:val="Heading"/>
    <w:basedOn w:val="style0"/>
    <w:next w:val="style47"/>
    <w:pPr>
      <w:keepNext/>
      <w:spacing w:after="120" w:before="240"/>
      <w:contextualSpacing w:val="false"/>
    </w:pPr>
    <w:rPr>
      <w:rFonts w:ascii="Arial" w:cs="Arial Unicode MS" w:eastAsia="Arial Unicode MS" w:hAnsi="Arial"/>
      <w:sz w:val="28"/>
      <w:szCs w:val="28"/>
    </w:rPr>
  </w:style>
  <w:style w:styleId="style47" w:type="paragraph">
    <w:name w:val="Text Body"/>
    <w:basedOn w:val="style0"/>
    <w:next w:val="style47"/>
    <w:pPr>
      <w:spacing w:after="120" w:before="0"/>
      <w:contextualSpacing w:val="false"/>
    </w:pPr>
    <w:rPr/>
  </w:style>
  <w:style w:styleId="style48" w:type="paragraph">
    <w:name w:val="List"/>
    <w:basedOn w:val="style47"/>
    <w:next w:val="style48"/>
    <w:pPr/>
    <w:rPr/>
  </w:style>
  <w:style w:styleId="style49" w:type="paragraph">
    <w:name w:val="Caption"/>
    <w:basedOn w:val="style0"/>
    <w:next w:val="style49"/>
    <w:pPr>
      <w:suppressLineNumbers/>
      <w:spacing w:after="120" w:before="120"/>
      <w:contextualSpacing w:val="false"/>
    </w:pPr>
    <w:rPr>
      <w:i/>
      <w:iCs/>
      <w:sz w:val="24"/>
      <w:szCs w:val="24"/>
    </w:rPr>
  </w:style>
  <w:style w:styleId="style50" w:type="paragraph">
    <w:name w:val="Index"/>
    <w:basedOn w:val="style0"/>
    <w:next w:val="style50"/>
    <w:pPr>
      <w:suppressLineNumbers/>
    </w:pPr>
    <w:rPr/>
  </w:style>
  <w:style w:styleId="style51" w:type="paragraph">
    <w:name w:val="caption"/>
    <w:basedOn w:val="style0"/>
    <w:next w:val="style51"/>
    <w:pPr>
      <w:suppressLineNumbers/>
      <w:spacing w:after="120" w:before="120"/>
      <w:contextualSpacing w:val="false"/>
    </w:pPr>
    <w:rPr>
      <w:i/>
      <w:iCs/>
    </w:rPr>
  </w:style>
  <w:style w:styleId="style52" w:type="paragraph">
    <w:name w:val="Compact"/>
    <w:basedOn w:val="style0"/>
    <w:next w:val="style52"/>
    <w:pPr>
      <w:spacing w:after="36" w:before="36"/>
      <w:contextualSpacing w:val="false"/>
    </w:pPr>
    <w:rPr/>
  </w:style>
  <w:style w:styleId="style53" w:type="paragraph">
    <w:name w:val="Title"/>
    <w:basedOn w:val="style0"/>
    <w:next w:val="style53"/>
    <w:pPr>
      <w:keepNext/>
      <w:keepLines/>
      <w:spacing w:after="240" w:before="480"/>
      <w:contextualSpacing w:val="false"/>
      <w:jc w:val="center"/>
    </w:pPr>
    <w:rPr>
      <w:rFonts w:ascii="Calibri" w:hAnsi="Calibri"/>
      <w:b/>
      <w:bCs/>
      <w:color w:val="345A8A"/>
      <w:sz w:val="36"/>
      <w:szCs w:val="36"/>
    </w:rPr>
  </w:style>
  <w:style w:styleId="style54" w:type="paragraph">
    <w:name w:val="Authors"/>
    <w:next w:val="style54"/>
    <w:pPr>
      <w:keepNext/>
      <w:keepLines/>
      <w:widowControl/>
      <w:suppressAutoHyphens w:val="true"/>
      <w:overflowPunct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5" w:type="paragraph">
    <w:name w:val="Date"/>
    <w:next w:val="style55"/>
    <w:pPr>
      <w:keepNext/>
      <w:keepLines/>
      <w:widowControl/>
      <w:suppressAutoHyphens w:val="true"/>
      <w:overflowPunct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6" w:type="paragraph">
    <w:name w:val="Block Quote"/>
    <w:basedOn w:val="style0"/>
    <w:next w:val="style56"/>
    <w:pPr>
      <w:spacing w:after="100" w:before="100"/>
      <w:contextualSpacing w:val="false"/>
    </w:pPr>
    <w:rPr>
      <w:rFonts w:ascii="Calibri" w:hAnsi="Calibri"/>
      <w:bCs/>
      <w:sz w:val="20"/>
      <w:szCs w:val="20"/>
    </w:rPr>
  </w:style>
  <w:style w:styleId="style57" w:type="paragraph">
    <w:name w:val="Footnote"/>
    <w:basedOn w:val="style0"/>
    <w:next w:val="style57"/>
    <w:pPr/>
    <w:rPr/>
  </w:style>
  <w:style w:styleId="style58" w:type="paragraph">
    <w:name w:val="Definition Term"/>
    <w:basedOn w:val="style0"/>
    <w:next w:val="style58"/>
    <w:pPr>
      <w:keepNext/>
      <w:keepLines/>
      <w:spacing w:after="0" w:before="180"/>
      <w:contextualSpacing w:val="false"/>
    </w:pPr>
    <w:rPr>
      <w:b/>
    </w:rPr>
  </w:style>
  <w:style w:styleId="style59" w:type="paragraph">
    <w:name w:val="Definition"/>
    <w:basedOn w:val="style0"/>
    <w:next w:val="style59"/>
    <w:pPr/>
    <w:rPr/>
  </w:style>
  <w:style w:styleId="style60" w:type="paragraph">
    <w:name w:val="Table Caption"/>
    <w:basedOn w:val="style0"/>
    <w:next w:val="style60"/>
    <w:pPr>
      <w:spacing w:after="120" w:before="0"/>
      <w:contextualSpacing w:val="false"/>
    </w:pPr>
    <w:rPr>
      <w:i/>
    </w:rPr>
  </w:style>
  <w:style w:styleId="style61" w:type="paragraph">
    <w:name w:val="Image Caption"/>
    <w:basedOn w:val="style0"/>
    <w:next w:val="style61"/>
    <w:pPr>
      <w:spacing w:after="120" w:before="0"/>
      <w:contextualSpacing w:val="false"/>
    </w:pPr>
    <w:rPr>
      <w:i/>
    </w:rPr>
  </w:style>
  <w:style w:styleId="style62" w:type="paragraph">
    <w:name w:val="Source Code"/>
    <w:basedOn w:val="style0"/>
    <w:next w:val="style62"/>
    <w:pPr/>
    <w:rPr/>
  </w:style>
  <w:style w:styleId="style63" w:type="paragraph">
    <w:name w:val="annotation text"/>
    <w:basedOn w:val="style0"/>
    <w:next w:val="style63"/>
    <w:pPr>
      <w:spacing w:line="100" w:lineRule="atLeast"/>
    </w:pPr>
    <w:rPr>
      <w:sz w:val="20"/>
      <w:szCs w:val="20"/>
    </w:rPr>
  </w:style>
  <w:style w:styleId="style64" w:type="paragraph">
    <w:name w:val="annotation subject"/>
    <w:basedOn w:val="style63"/>
    <w:next w:val="style64"/>
    <w:pPr/>
    <w:rPr>
      <w:b/>
      <w:bCs/>
    </w:rPr>
  </w:style>
  <w:style w:styleId="style65" w:type="paragraph">
    <w:name w:val="Balloon Text"/>
    <w:basedOn w:val="style0"/>
    <w:next w:val="style65"/>
    <w:pPr>
      <w:spacing w:after="0" w:before="0" w:line="100" w:lineRule="atLeast"/>
      <w:contextualSpacing w:val="false"/>
    </w:pPr>
    <w:rPr>
      <w:rFonts w:ascii="Tahoma" w:cs="Tahoma" w:hAnsi="Tahoma"/>
      <w:sz w:val="16"/>
      <w:szCs w:val="16"/>
    </w:rPr>
  </w:style>
  <w:style w:styleId="style66" w:type="paragraph">
    <w:name w:val="footnote text"/>
    <w:basedOn w:val="style0"/>
    <w:next w:val="style66"/>
    <w:pPr>
      <w:spacing w:after="0" w:before="0" w:line="100" w:lineRule="atLeast"/>
      <w:contextualSpacing w:val="false"/>
    </w:pPr>
    <w:rPr>
      <w:sz w:val="20"/>
      <w:szCs w:val="20"/>
    </w:rPr>
  </w:style>
  <w:style w:styleId="style67" w:type="paragraph">
    <w:name w:val="Revision"/>
    <w:next w:val="style67"/>
    <w:pPr>
      <w:widowControl/>
      <w:suppressAutoHyphens w:val="true"/>
      <w:overflowPunct w:val="true"/>
      <w:spacing w:after="0" w:before="0" w:line="100" w:lineRule="atLeast"/>
      <w:contextualSpacing w:val="false"/>
    </w:pPr>
    <w:rPr>
      <w:rFonts w:ascii="Cambria" w:cs="Cambria" w:eastAsia="Arial Unicode MS" w:hAnsi="Cambria"/>
      <w:color w:val="00000A"/>
      <w:sz w:val="24"/>
      <w:szCs w:val="24"/>
      <w:lang w:bidi="ar-SA" w:eastAsia="en-US" w:val="en-US"/>
    </w:rPr>
  </w:style>
  <w:style w:styleId="style68" w:type="paragraph">
    <w:name w:val="Quotations"/>
    <w:basedOn w:val="style0"/>
    <w:next w:val="style68"/>
    <w:pPr/>
    <w:rPr/>
  </w:style>
  <w:style w:styleId="style69" w:type="paragraph">
    <w:name w:val="Subtitle"/>
    <w:basedOn w:val="style46"/>
    <w:next w:val="style69"/>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