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4F" w:rsidRDefault="00D245CB" w:rsidP="00B60E5F">
      <w:pPr>
        <w:pStyle w:val="Heading1"/>
        <w:spacing w:before="0" w:after="200" w:line="20" w:lineRule="atLeast"/>
        <w:rPr>
          <w:szCs w:val="56"/>
        </w:rPr>
      </w:pPr>
      <w:r>
        <w:rPr>
          <w:noProof/>
          <w:szCs w:val="56"/>
        </w:rPr>
        <w:drawing>
          <wp:inline distT="0" distB="0" distL="0" distR="0">
            <wp:extent cx="1895475" cy="1219200"/>
            <wp:effectExtent l="19050" t="0" r="9525" b="0"/>
            <wp:docPr id="3" name="Picture 2" descr="MAP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C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63" w:rsidRPr="000469E3" w:rsidRDefault="00F65132" w:rsidP="00B60E5F">
      <w:pPr>
        <w:pStyle w:val="Heading1"/>
        <w:spacing w:before="0" w:after="200" w:line="20" w:lineRule="atLeast"/>
        <w:rPr>
          <w:szCs w:val="56"/>
        </w:rPr>
      </w:pPr>
      <w:r>
        <w:rPr>
          <w:szCs w:val="56"/>
        </w:rPr>
        <w:t>Estimate</w:t>
      </w:r>
      <w:r w:rsidR="00945E63" w:rsidRPr="000469E3">
        <w:rPr>
          <w:szCs w:val="56"/>
        </w:rPr>
        <w:t xml:space="preserve"> Local Energy </w:t>
      </w:r>
      <w:r w:rsidR="00D17B53">
        <w:rPr>
          <w:szCs w:val="56"/>
        </w:rPr>
        <w:t xml:space="preserve">Use </w:t>
      </w:r>
      <w:r w:rsidR="00132694">
        <w:rPr>
          <w:szCs w:val="56"/>
        </w:rPr>
        <w:t>Baseline</w:t>
      </w:r>
    </w:p>
    <w:p w:rsidR="00945E63" w:rsidRPr="00255E4A" w:rsidRDefault="00F815A8" w:rsidP="006E22C9">
      <w:pPr>
        <w:pStyle w:val="Regulartext"/>
        <w:spacing w:after="200" w:line="20" w:lineRule="atLeast"/>
      </w:pPr>
      <w:r>
        <w:t>Before</w:t>
      </w:r>
      <w:r w:rsidR="006E53FD">
        <w:t xml:space="preserve"> </w:t>
      </w:r>
      <w:r>
        <w:t>identifying energy goals</w:t>
      </w:r>
      <w:r w:rsidR="00A612E7">
        <w:t>,</w:t>
      </w:r>
      <w:r>
        <w:t xml:space="preserve"> and </w:t>
      </w:r>
      <w:r w:rsidR="00A612E7">
        <w:t xml:space="preserve">consequent </w:t>
      </w:r>
      <w:r>
        <w:t xml:space="preserve">strategies to reach those goals, communities must first </w:t>
      </w:r>
      <w:r w:rsidR="00945E63" w:rsidRPr="00255E4A">
        <w:t>develop</w:t>
      </w:r>
      <w:r>
        <w:t xml:space="preserve"> an energy use profile of the community as a whole, including the municipal, residential, commercial and industrial sectors</w:t>
      </w:r>
      <w:r w:rsidRPr="00F815A8">
        <w:t xml:space="preserve">. Unfortunately, </w:t>
      </w:r>
      <w:r>
        <w:t>residential, commercial</w:t>
      </w:r>
      <w:r w:rsidRPr="00F815A8">
        <w:t xml:space="preserve"> and industrial data is</w:t>
      </w:r>
      <w:r>
        <w:t xml:space="preserve"> currently </w:t>
      </w:r>
      <w:r w:rsidRPr="00F815A8">
        <w:t xml:space="preserve">not available at the </w:t>
      </w:r>
      <w:r>
        <w:t>municipal</w:t>
      </w:r>
      <w:r w:rsidRPr="00F815A8">
        <w:t xml:space="preserve"> level</w:t>
      </w:r>
      <w:r>
        <w:t xml:space="preserve"> </w:t>
      </w:r>
      <w:r w:rsidRPr="00F815A8">
        <w:t xml:space="preserve">from utilities, so that portion of the </w:t>
      </w:r>
      <w:r>
        <w:t>profile must</w:t>
      </w:r>
      <w:r w:rsidRPr="00F815A8">
        <w:t xml:space="preserve"> be estimated</w:t>
      </w:r>
      <w:r>
        <w:t xml:space="preserve"> </w:t>
      </w:r>
      <w:r w:rsidR="00945E63" w:rsidRPr="00255E4A">
        <w:t xml:space="preserve">based on census data, labor statistics and building energy survey analyses. </w:t>
      </w:r>
      <w:r>
        <w:t>T</w:t>
      </w:r>
      <w:r w:rsidRPr="00255E4A">
        <w:t xml:space="preserve">his methodology </w:t>
      </w:r>
      <w:r w:rsidR="00EC11A9">
        <w:t>can</w:t>
      </w:r>
      <w:r w:rsidR="00945E63" w:rsidRPr="00255E4A">
        <w:t xml:space="preserve"> serve as a baseline for local energy planning efforts and provide insight as to the types and scale of energy use within a community. However, since </w:t>
      </w:r>
      <w:r w:rsidR="00DE25EB">
        <w:t>they are</w:t>
      </w:r>
      <w:r w:rsidR="00945E63" w:rsidRPr="00255E4A">
        <w:t xml:space="preserve"> based on static data sources, the baselines derived using this methodology cannot be used to benchmark and monitor subsequent changes in </w:t>
      </w:r>
      <w:r w:rsidR="00DE25EB">
        <w:t>consumption</w:t>
      </w:r>
      <w:r w:rsidR="002C1782">
        <w:t xml:space="preserve"> due to</w:t>
      </w:r>
      <w:r w:rsidR="00945E63" w:rsidRPr="00255E4A">
        <w:t xml:space="preserve"> an energy efficiency outreach program.</w:t>
      </w:r>
    </w:p>
    <w:p w:rsidR="00945E63" w:rsidRPr="00255E4A" w:rsidRDefault="00DE25EB" w:rsidP="006E22C9">
      <w:pPr>
        <w:pStyle w:val="Regulartext"/>
        <w:spacing w:after="200" w:line="20" w:lineRule="atLeast"/>
      </w:pPr>
      <w:r>
        <w:t>This strategy</w:t>
      </w:r>
      <w:r w:rsidR="00945E63" w:rsidRPr="00255E4A">
        <w:t xml:space="preserve"> describes how to derive local energy </w:t>
      </w:r>
      <w:r>
        <w:t xml:space="preserve">use </w:t>
      </w:r>
      <w:r w:rsidR="00945E63" w:rsidRPr="00255E4A">
        <w:t>baselines for</w:t>
      </w:r>
      <w:r>
        <w:t xml:space="preserve"> the</w:t>
      </w:r>
      <w:r w:rsidR="00945E63" w:rsidRPr="00255E4A">
        <w:t xml:space="preserve"> </w:t>
      </w:r>
      <w:r w:rsidRPr="00255E4A">
        <w:t>residential</w:t>
      </w:r>
      <w:r>
        <w:t xml:space="preserve">, </w:t>
      </w:r>
      <w:r w:rsidRPr="00255E4A">
        <w:t xml:space="preserve">commercial </w:t>
      </w:r>
      <w:r>
        <w:t xml:space="preserve">and industrial </w:t>
      </w:r>
      <w:r w:rsidRPr="00255E4A">
        <w:t xml:space="preserve">sectors </w:t>
      </w:r>
      <w:r w:rsidR="00945E63" w:rsidRPr="00255E4A">
        <w:t>in Massachusetts</w:t>
      </w:r>
      <w:r>
        <w:t xml:space="preserve"> communities</w:t>
      </w:r>
      <w:r w:rsidR="00945E63" w:rsidRPr="00255E4A">
        <w:t>. However, this data is publically available on the national level and could be replicated for a community anywhere in the United States (with some modifications to regional-specific assumptions). In the interest of simplicity, these baselines include only electricity, natural gas and fuel oil consumption. Communities that rely heavily on other fuels (</w:t>
      </w:r>
      <w:r>
        <w:t>e.g.,</w:t>
      </w:r>
      <w:r w:rsidR="00945E63" w:rsidRPr="00255E4A">
        <w:t xml:space="preserve"> wood, propane</w:t>
      </w:r>
      <w:r>
        <w:t xml:space="preserve"> or </w:t>
      </w:r>
      <w:r w:rsidR="00945E63" w:rsidRPr="00255E4A">
        <w:t>district heating) should consider expanding the methodology to account for those fuel types.</w:t>
      </w:r>
    </w:p>
    <w:p w:rsidR="00945E63" w:rsidRPr="00255E4A" w:rsidRDefault="006E53FD" w:rsidP="006E22C9">
      <w:pPr>
        <w:pStyle w:val="Regulartext"/>
        <w:spacing w:after="200" w:line="20" w:lineRule="atLeast"/>
      </w:pPr>
      <w:r>
        <w:t xml:space="preserve">Since different energy types have different units of measure, in order to compare them a common measurement must be used, in this case, </w:t>
      </w:r>
      <w:proofErr w:type="spellStart"/>
      <w:r w:rsidRPr="001E4E65">
        <w:t>Btu</w:t>
      </w:r>
      <w:r>
        <w:t>s</w:t>
      </w:r>
      <w:proofErr w:type="spellEnd"/>
      <w:r w:rsidRPr="001E4E65">
        <w:t xml:space="preserve"> (British thermal units</w:t>
      </w:r>
      <w:r>
        <w:t>).</w:t>
      </w:r>
      <w:r w:rsidRPr="001E4E65">
        <w:t xml:space="preserve"> </w:t>
      </w:r>
      <w:r w:rsidR="00945E63" w:rsidRPr="00255E4A">
        <w:t xml:space="preserve">For reference, the following conversion factors are used to compare physical fuel units with </w:t>
      </w:r>
      <w:proofErr w:type="spellStart"/>
      <w:r w:rsidR="00945E63" w:rsidRPr="00255E4A">
        <w:t>Btu</w:t>
      </w:r>
      <w:r>
        <w:t>s</w:t>
      </w:r>
      <w:proofErr w:type="spellEnd"/>
      <w:r w:rsidR="00945E63" w:rsidRPr="00255E4A">
        <w:t xml:space="preserve">: </w:t>
      </w:r>
    </w:p>
    <w:p w:rsidR="00AF69D6" w:rsidRDefault="00AF69D6" w:rsidP="00AF69D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Energy Unit Conversion Factors.</w:t>
      </w:r>
    </w:p>
    <w:tbl>
      <w:tblPr>
        <w:tblStyle w:val="ColorfulList-Accent5"/>
        <w:tblW w:w="5000" w:type="pct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08"/>
        <w:gridCol w:w="4418"/>
        <w:gridCol w:w="2926"/>
      </w:tblGrid>
      <w:tr w:rsidR="00945E63" w:rsidRPr="006C0141" w:rsidTr="000469E3">
        <w:trPr>
          <w:cnfStyle w:val="100000000000"/>
          <w:trHeight w:val="180"/>
        </w:trPr>
        <w:tc>
          <w:tcPr>
            <w:cnfStyle w:val="001000000000"/>
            <w:tcW w:w="5000" w:type="pct"/>
            <w:gridSpan w:val="3"/>
            <w:tcBorders>
              <w:bottom w:val="none" w:sz="0" w:space="0" w:color="auto"/>
            </w:tcBorders>
            <w:noWrap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rFonts w:eastAsia="Times New Roman" w:cs="Calibri"/>
                <w:bCs w:val="0"/>
                <w:sz w:val="20"/>
              </w:rPr>
            </w:pPr>
            <w:r w:rsidRPr="006C0141">
              <w:rPr>
                <w:rFonts w:eastAsia="Times New Roman" w:cs="Calibri"/>
                <w:bCs w:val="0"/>
                <w:sz w:val="20"/>
              </w:rPr>
              <w:t>Energy Unit Conversion Factors</w:t>
            </w:r>
          </w:p>
        </w:tc>
      </w:tr>
      <w:tr w:rsidR="00945E63" w:rsidRPr="006C0141" w:rsidTr="000469E3">
        <w:trPr>
          <w:cnfStyle w:val="000000100000"/>
          <w:trHeight w:val="197"/>
        </w:trPr>
        <w:tc>
          <w:tcPr>
            <w:cnfStyle w:val="001000000000"/>
            <w:tcW w:w="1383" w:type="pct"/>
            <w:noWrap/>
          </w:tcPr>
          <w:p w:rsidR="00945E63" w:rsidRPr="006C0141" w:rsidRDefault="00945E63" w:rsidP="006E22C9">
            <w:pPr>
              <w:spacing w:line="20" w:lineRule="atLeast"/>
              <w:rPr>
                <w:rFonts w:eastAsia="Times New Roman" w:cs="Calibri"/>
                <w:color w:val="auto"/>
                <w:sz w:val="20"/>
              </w:rPr>
            </w:pPr>
            <w:r w:rsidRPr="006C0141">
              <w:rPr>
                <w:rFonts w:eastAsia="Times New Roman" w:cs="Calibri"/>
                <w:color w:val="auto"/>
                <w:sz w:val="20"/>
              </w:rPr>
              <w:t>Fuel Type</w:t>
            </w:r>
          </w:p>
        </w:tc>
        <w:tc>
          <w:tcPr>
            <w:tcW w:w="2176" w:type="pct"/>
            <w:noWrap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100000"/>
              <w:rPr>
                <w:rFonts w:eastAsia="Times New Roman" w:cs="Calibri"/>
                <w:b/>
                <w:color w:val="auto"/>
                <w:sz w:val="20"/>
              </w:rPr>
            </w:pPr>
            <w:r w:rsidRPr="006C0141">
              <w:rPr>
                <w:rFonts w:eastAsia="Times New Roman" w:cs="Calibri"/>
                <w:b/>
                <w:color w:val="auto"/>
                <w:sz w:val="20"/>
              </w:rPr>
              <w:t>Units</w:t>
            </w:r>
          </w:p>
        </w:tc>
        <w:tc>
          <w:tcPr>
            <w:tcW w:w="1441" w:type="pct"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100000"/>
              <w:rPr>
                <w:rFonts w:eastAsia="Times New Roman" w:cs="Calibri"/>
                <w:b/>
                <w:color w:val="auto"/>
                <w:sz w:val="20"/>
              </w:rPr>
            </w:pPr>
            <w:r w:rsidRPr="006C0141">
              <w:rPr>
                <w:rFonts w:eastAsia="Times New Roman" w:cs="Calibri"/>
                <w:b/>
                <w:color w:val="auto"/>
                <w:sz w:val="20"/>
              </w:rPr>
              <w:t>Factor</w:t>
            </w:r>
          </w:p>
        </w:tc>
      </w:tr>
      <w:tr w:rsidR="00945E63" w:rsidRPr="006C0141" w:rsidTr="000469E3">
        <w:trPr>
          <w:trHeight w:val="233"/>
        </w:trPr>
        <w:tc>
          <w:tcPr>
            <w:cnfStyle w:val="001000000000"/>
            <w:tcW w:w="1383" w:type="pct"/>
            <w:noWrap/>
          </w:tcPr>
          <w:p w:rsidR="00945E63" w:rsidRPr="006C0141" w:rsidRDefault="00945E63" w:rsidP="006E22C9">
            <w:pPr>
              <w:spacing w:line="20" w:lineRule="atLeast"/>
              <w:rPr>
                <w:rFonts w:eastAsia="Times New Roman" w:cs="Calibri"/>
                <w:sz w:val="20"/>
              </w:rPr>
            </w:pPr>
            <w:r w:rsidRPr="006C0141">
              <w:rPr>
                <w:rFonts w:eastAsia="Times New Roman" w:cs="Calibri"/>
                <w:sz w:val="20"/>
              </w:rPr>
              <w:t>Electricity</w:t>
            </w:r>
          </w:p>
        </w:tc>
        <w:tc>
          <w:tcPr>
            <w:tcW w:w="2176" w:type="pct"/>
            <w:noWrap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0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>MMBTU/ kWh</w:t>
            </w:r>
          </w:p>
        </w:tc>
        <w:tc>
          <w:tcPr>
            <w:tcW w:w="1441" w:type="pct"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0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>0.003412</w:t>
            </w:r>
          </w:p>
        </w:tc>
      </w:tr>
      <w:tr w:rsidR="00945E63" w:rsidRPr="006C0141" w:rsidTr="000469E3">
        <w:trPr>
          <w:cnfStyle w:val="000000100000"/>
          <w:trHeight w:val="152"/>
        </w:trPr>
        <w:tc>
          <w:tcPr>
            <w:cnfStyle w:val="001000000000"/>
            <w:tcW w:w="1383" w:type="pct"/>
            <w:noWrap/>
          </w:tcPr>
          <w:p w:rsidR="00945E63" w:rsidRPr="006C0141" w:rsidRDefault="00945E63" w:rsidP="006E22C9">
            <w:pPr>
              <w:spacing w:line="20" w:lineRule="atLeast"/>
              <w:rPr>
                <w:rFonts w:eastAsia="Times New Roman" w:cs="Calibri"/>
                <w:sz w:val="20"/>
              </w:rPr>
            </w:pPr>
            <w:r w:rsidRPr="006C0141">
              <w:rPr>
                <w:rFonts w:eastAsia="Times New Roman" w:cs="Calibri"/>
                <w:sz w:val="20"/>
              </w:rPr>
              <w:t>Natural Gas</w:t>
            </w:r>
          </w:p>
        </w:tc>
        <w:tc>
          <w:tcPr>
            <w:tcW w:w="2176" w:type="pct"/>
            <w:noWrap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1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 xml:space="preserve">MMBTU/ </w:t>
            </w:r>
            <w:proofErr w:type="spellStart"/>
            <w:r w:rsidRPr="006C0141">
              <w:rPr>
                <w:rFonts w:eastAsia="Times New Roman" w:cs="Calibri"/>
                <w:color w:val="000000"/>
                <w:sz w:val="20"/>
              </w:rPr>
              <w:t>therm</w:t>
            </w:r>
            <w:proofErr w:type="spellEnd"/>
          </w:p>
        </w:tc>
        <w:tc>
          <w:tcPr>
            <w:tcW w:w="1441" w:type="pct"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1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>0.1</w:t>
            </w:r>
          </w:p>
        </w:tc>
      </w:tr>
      <w:tr w:rsidR="00945E63" w:rsidRPr="006C0141" w:rsidTr="000469E3">
        <w:trPr>
          <w:trHeight w:val="170"/>
        </w:trPr>
        <w:tc>
          <w:tcPr>
            <w:cnfStyle w:val="001000000000"/>
            <w:tcW w:w="1383" w:type="pct"/>
            <w:noWrap/>
          </w:tcPr>
          <w:p w:rsidR="00945E63" w:rsidRPr="006C0141" w:rsidRDefault="00945E63" w:rsidP="006E22C9">
            <w:pPr>
              <w:spacing w:line="20" w:lineRule="atLeast"/>
              <w:rPr>
                <w:rFonts w:eastAsia="Times New Roman" w:cs="Calibri"/>
                <w:sz w:val="20"/>
              </w:rPr>
            </w:pPr>
            <w:r w:rsidRPr="006C0141">
              <w:rPr>
                <w:rFonts w:eastAsia="Times New Roman" w:cs="Calibri"/>
                <w:sz w:val="20"/>
              </w:rPr>
              <w:t>Fuel Oil</w:t>
            </w:r>
          </w:p>
        </w:tc>
        <w:tc>
          <w:tcPr>
            <w:tcW w:w="2176" w:type="pct"/>
            <w:noWrap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0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>MMBTU/ gallon</w:t>
            </w:r>
          </w:p>
        </w:tc>
        <w:tc>
          <w:tcPr>
            <w:tcW w:w="1441" w:type="pct"/>
          </w:tcPr>
          <w:p w:rsidR="00945E63" w:rsidRPr="006C0141" w:rsidRDefault="00945E63" w:rsidP="006E22C9">
            <w:pPr>
              <w:spacing w:line="20" w:lineRule="atLeast"/>
              <w:jc w:val="center"/>
              <w:cnfStyle w:val="000000000000"/>
              <w:rPr>
                <w:rFonts w:eastAsia="Times New Roman" w:cs="Calibri"/>
                <w:color w:val="000000"/>
                <w:sz w:val="20"/>
              </w:rPr>
            </w:pPr>
            <w:r w:rsidRPr="006C0141">
              <w:rPr>
                <w:rFonts w:eastAsia="Times New Roman" w:cs="Calibri"/>
                <w:color w:val="000000"/>
                <w:sz w:val="20"/>
              </w:rPr>
              <w:t>0.139</w:t>
            </w:r>
          </w:p>
        </w:tc>
      </w:tr>
    </w:tbl>
    <w:p w:rsidR="000469E3" w:rsidRDefault="000469E3" w:rsidP="000469E3">
      <w:pPr>
        <w:rPr>
          <w:rFonts w:eastAsiaTheme="majorEastAsia" w:cstheme="majorBidi"/>
          <w:color w:val="365F91" w:themeColor="accent1" w:themeShade="BF"/>
          <w:sz w:val="36"/>
          <w:szCs w:val="24"/>
        </w:rPr>
      </w:pPr>
      <w:r>
        <w:br w:type="page"/>
      </w:r>
    </w:p>
    <w:p w:rsidR="00945E63" w:rsidRPr="00C07AFA" w:rsidRDefault="002A79F0" w:rsidP="00732E64">
      <w:pPr>
        <w:pStyle w:val="Heading3"/>
      </w:pPr>
      <w:r w:rsidRPr="002A79F0">
        <w:lastRenderedPageBreak/>
        <w:t>Residential Sector</w:t>
      </w:r>
    </w:p>
    <w:p w:rsidR="002A79F0" w:rsidRDefault="009C3E4D" w:rsidP="002A79F0">
      <w:pPr>
        <w:pStyle w:val="Heading4"/>
      </w:pPr>
      <w:r>
        <w:t>Referenced Data Sets</w:t>
      </w:r>
    </w:p>
    <w:p w:rsidR="00945E63" w:rsidRPr="003A7997" w:rsidRDefault="00BD604D" w:rsidP="006E22C9">
      <w:pPr>
        <w:pStyle w:val="Regulartext"/>
        <w:numPr>
          <w:ilvl w:val="0"/>
          <w:numId w:val="26"/>
        </w:numPr>
        <w:spacing w:after="200" w:line="20" w:lineRule="atLeast"/>
      </w:pPr>
      <w:hyperlink r:id="rId9" w:history="1">
        <w:r w:rsidR="00945E63" w:rsidRPr="00112F84">
          <w:rPr>
            <w:rStyle w:val="Hyperlink"/>
          </w:rPr>
          <w:t>American Community Survey (ACS), 2</w:t>
        </w:r>
        <w:r w:rsidR="009126EE">
          <w:rPr>
            <w:rStyle w:val="Hyperlink"/>
          </w:rPr>
          <w:t>005-2011</w:t>
        </w:r>
        <w:r w:rsidR="00945E63" w:rsidRPr="00112F84">
          <w:rPr>
            <w:rStyle w:val="Hyperlink"/>
          </w:rPr>
          <w:t xml:space="preserve"> 5-Year Community Estimates</w:t>
        </w:r>
      </w:hyperlink>
    </w:p>
    <w:p w:rsidR="002A79F0" w:rsidRDefault="002A79F0" w:rsidP="002A79F0">
      <w:pPr>
        <w:pStyle w:val="Regulartext"/>
        <w:numPr>
          <w:ilvl w:val="1"/>
          <w:numId w:val="27"/>
        </w:numPr>
        <w:spacing w:before="240" w:after="200" w:line="20" w:lineRule="atLeast"/>
      </w:pPr>
      <w:r w:rsidRPr="002A79F0">
        <w:t>Units in Structure</w:t>
      </w:r>
      <w:r w:rsidR="005E35DE">
        <w:t xml:space="preserve"> </w:t>
      </w:r>
    </w:p>
    <w:p w:rsidR="00945E63" w:rsidRPr="003A7997" w:rsidRDefault="002A79F0" w:rsidP="006E22C9">
      <w:pPr>
        <w:pStyle w:val="Regulartext"/>
        <w:numPr>
          <w:ilvl w:val="1"/>
          <w:numId w:val="27"/>
        </w:numPr>
        <w:spacing w:after="200" w:line="20" w:lineRule="atLeast"/>
      </w:pPr>
      <w:r w:rsidRPr="002A79F0">
        <w:t>Heating Fuel</w:t>
      </w:r>
    </w:p>
    <w:p w:rsidR="00945E63" w:rsidRDefault="00BD604D" w:rsidP="006E22C9">
      <w:pPr>
        <w:pStyle w:val="Regulartext"/>
        <w:numPr>
          <w:ilvl w:val="0"/>
          <w:numId w:val="26"/>
        </w:numPr>
        <w:spacing w:after="200" w:line="20" w:lineRule="atLeast"/>
      </w:pPr>
      <w:hyperlink r:id="rId10" w:history="1">
        <w:r w:rsidR="00945E63" w:rsidRPr="00A71685">
          <w:rPr>
            <w:rStyle w:val="Hyperlink"/>
          </w:rPr>
          <w:t>Energy Information Administration (EIA) Residential Energy Consumption Survey (RECS) , 200</w:t>
        </w:r>
        <w:r w:rsidR="001E078A">
          <w:rPr>
            <w:rStyle w:val="Hyperlink"/>
          </w:rPr>
          <w:t>9</w:t>
        </w:r>
      </w:hyperlink>
    </w:p>
    <w:p w:rsidR="002A79F0" w:rsidRDefault="00F367F0" w:rsidP="002A79F0">
      <w:pPr>
        <w:pStyle w:val="Regulartext"/>
        <w:numPr>
          <w:ilvl w:val="1"/>
          <w:numId w:val="26"/>
        </w:numPr>
        <w:spacing w:after="200" w:line="20" w:lineRule="atLeast"/>
      </w:pPr>
      <w:r>
        <w:t>Fuel Consumption Totals and Averages, US Homes</w:t>
      </w:r>
    </w:p>
    <w:p w:rsidR="002A79F0" w:rsidRDefault="00F367F0" w:rsidP="002A79F0">
      <w:pPr>
        <w:pStyle w:val="Regulartext"/>
        <w:numPr>
          <w:ilvl w:val="1"/>
          <w:numId w:val="26"/>
        </w:numPr>
        <w:spacing w:after="200" w:line="20" w:lineRule="atLeast"/>
      </w:pPr>
      <w:r>
        <w:t>Fuel Expenditures Totals and Averages, US Homes</w:t>
      </w:r>
    </w:p>
    <w:p w:rsidR="002A79F0" w:rsidRDefault="00F367F0" w:rsidP="002A79F0">
      <w:pPr>
        <w:pStyle w:val="Regulartext"/>
        <w:numPr>
          <w:ilvl w:val="1"/>
          <w:numId w:val="26"/>
        </w:numPr>
        <w:spacing w:after="200" w:line="20" w:lineRule="atLeast"/>
      </w:pPr>
      <w:r w:rsidRPr="002C7AD0">
        <w:t xml:space="preserve">Structural and Geographic Characteristics, </w:t>
      </w:r>
      <w:r>
        <w:t>in Northeast Region, Division, and States</w:t>
      </w:r>
    </w:p>
    <w:p w:rsidR="002A79F0" w:rsidRDefault="00F367F0" w:rsidP="002A79F0">
      <w:pPr>
        <w:pStyle w:val="Regulartext"/>
        <w:numPr>
          <w:ilvl w:val="1"/>
          <w:numId w:val="26"/>
        </w:numPr>
        <w:spacing w:after="200" w:line="20" w:lineRule="atLeast"/>
      </w:pPr>
      <w:r>
        <w:t>Consumption and Expenditures</w:t>
      </w:r>
      <w:r w:rsidRPr="002C7AD0">
        <w:t xml:space="preserve">, </w:t>
      </w:r>
      <w:r>
        <w:t>Fuel Consumption Totals and Averages, Northeast Homes</w:t>
      </w:r>
    </w:p>
    <w:p w:rsidR="002A79F0" w:rsidRPr="002A79F0" w:rsidRDefault="002A79F0" w:rsidP="002A79F0">
      <w:pPr>
        <w:pStyle w:val="Heading4"/>
      </w:pPr>
      <w:r w:rsidRPr="002A79F0">
        <w:t>Step-by-Step Instructions</w:t>
      </w:r>
    </w:p>
    <w:p w:rsidR="002A79F0" w:rsidRDefault="00945E63" w:rsidP="002A79F0">
      <w:pPr>
        <w:pStyle w:val="Heading5"/>
        <w:numPr>
          <w:ilvl w:val="0"/>
          <w:numId w:val="60"/>
        </w:numPr>
      </w:pPr>
      <w:r w:rsidRPr="006C0141">
        <w:t xml:space="preserve">Find the number of housing units, by type. </w:t>
      </w:r>
    </w:p>
    <w:p w:rsidR="002A79F0" w:rsidRDefault="00171C28" w:rsidP="002A79F0">
      <w:pPr>
        <w:pStyle w:val="Regulartext"/>
        <w:spacing w:after="200" w:line="20" w:lineRule="atLeast"/>
        <w:ind w:left="360"/>
      </w:pPr>
      <w:r>
        <w:t xml:space="preserve">Search for </w:t>
      </w:r>
      <w:r w:rsidR="00523678">
        <w:t>“</w:t>
      </w:r>
      <w:r>
        <w:t>Units in Structure</w:t>
      </w:r>
      <w:r w:rsidR="00523678">
        <w:t>”</w:t>
      </w:r>
      <w:r>
        <w:t xml:space="preserve"> for the </w:t>
      </w:r>
      <w:r w:rsidR="008E63FB">
        <w:t>community</w:t>
      </w:r>
      <w:r>
        <w:t xml:space="preserve"> in the </w:t>
      </w:r>
      <w:r w:rsidR="00945E63" w:rsidRPr="006C0141">
        <w:t>ACS 201</w:t>
      </w:r>
      <w:r w:rsidR="00183B3B">
        <w:t>0</w:t>
      </w:r>
      <w:r w:rsidR="00945E63" w:rsidRPr="006C0141">
        <w:t xml:space="preserve"> </w:t>
      </w:r>
      <w:r w:rsidR="00523678">
        <w:t>5</w:t>
      </w:r>
      <w:r w:rsidR="005E35DE">
        <w:t xml:space="preserve">-year </w:t>
      </w:r>
      <w:r w:rsidR="00945E63" w:rsidRPr="006C0141">
        <w:t xml:space="preserve">estimates </w:t>
      </w:r>
      <w:r w:rsidR="00945E63" w:rsidRPr="001E1252">
        <w:t>to determine the total number of housing units for the following types:</w:t>
      </w:r>
    </w:p>
    <w:p w:rsidR="00945E63" w:rsidRPr="0044455A" w:rsidRDefault="00945E63" w:rsidP="006E22C9">
      <w:pPr>
        <w:pStyle w:val="Regulartext"/>
        <w:numPr>
          <w:ilvl w:val="0"/>
          <w:numId w:val="28"/>
        </w:numPr>
        <w:spacing w:after="200" w:line="20" w:lineRule="atLeast"/>
      </w:pPr>
      <w:r w:rsidRPr="0044455A">
        <w:t>Single-Family, Detached</w:t>
      </w:r>
    </w:p>
    <w:p w:rsidR="00945E63" w:rsidRPr="0044455A" w:rsidRDefault="00945E63" w:rsidP="006E22C9">
      <w:pPr>
        <w:pStyle w:val="Regulartext"/>
        <w:numPr>
          <w:ilvl w:val="0"/>
          <w:numId w:val="28"/>
        </w:numPr>
        <w:spacing w:after="200" w:line="20" w:lineRule="atLeast"/>
      </w:pPr>
      <w:r w:rsidRPr="0044455A">
        <w:t>Single-Family, Attached</w:t>
      </w:r>
    </w:p>
    <w:p w:rsidR="00945E63" w:rsidRPr="0044455A" w:rsidRDefault="00945E63" w:rsidP="006E22C9">
      <w:pPr>
        <w:pStyle w:val="Regulartext"/>
        <w:numPr>
          <w:ilvl w:val="0"/>
          <w:numId w:val="28"/>
        </w:numPr>
        <w:spacing w:after="200" w:line="20" w:lineRule="atLeast"/>
      </w:pPr>
      <w:r w:rsidRPr="0044455A">
        <w:t>Multi-Family, 2-4 Units (Sum of 2-Family and 3-4 Units categories)</w:t>
      </w:r>
    </w:p>
    <w:p w:rsidR="00945E63" w:rsidRPr="0044455A" w:rsidRDefault="00945E63" w:rsidP="006E22C9">
      <w:pPr>
        <w:pStyle w:val="Regulartext"/>
        <w:numPr>
          <w:ilvl w:val="0"/>
          <w:numId w:val="28"/>
        </w:numPr>
        <w:spacing w:after="200" w:line="20" w:lineRule="atLeast"/>
      </w:pPr>
      <w:r w:rsidRPr="0044455A">
        <w:t>Multi-Family, 5+ Units (Sum of 5-19 Units, 20-49 Units, and 50+ Units categories)</w:t>
      </w:r>
    </w:p>
    <w:p w:rsidR="00D20F82" w:rsidRPr="006C0141" w:rsidRDefault="00945E63" w:rsidP="006E22C9">
      <w:pPr>
        <w:pStyle w:val="Regulartext"/>
        <w:numPr>
          <w:ilvl w:val="0"/>
          <w:numId w:val="28"/>
        </w:numPr>
        <w:spacing w:after="200" w:line="20" w:lineRule="atLeast"/>
      </w:pPr>
      <w:r w:rsidRPr="006C0141">
        <w:t>Other</w:t>
      </w:r>
    </w:p>
    <w:p w:rsidR="002A79F0" w:rsidRDefault="00945E63" w:rsidP="002A79F0">
      <w:pPr>
        <w:pStyle w:val="Heading5"/>
        <w:numPr>
          <w:ilvl w:val="0"/>
          <w:numId w:val="60"/>
        </w:numPr>
      </w:pPr>
      <w:r w:rsidRPr="0083329B">
        <w:t>Determine the percentage of homes within a community that heat with different fuel types</w:t>
      </w:r>
      <w:r w:rsidRPr="006C0141">
        <w:t xml:space="preserve">. </w:t>
      </w:r>
    </w:p>
    <w:p w:rsidR="002A79F0" w:rsidRDefault="00D807ED" w:rsidP="002A79F0">
      <w:pPr>
        <w:pStyle w:val="Regulartext"/>
        <w:spacing w:after="200" w:line="20" w:lineRule="atLeast"/>
        <w:ind w:left="360"/>
      </w:pPr>
      <w:r>
        <w:t>Search for</w:t>
      </w:r>
      <w:r w:rsidR="00945E63" w:rsidRPr="006C0141">
        <w:t xml:space="preserve"> </w:t>
      </w:r>
      <w:r w:rsidR="00523678">
        <w:t>“</w:t>
      </w:r>
      <w:r>
        <w:t xml:space="preserve">House </w:t>
      </w:r>
      <w:r w:rsidR="00945E63" w:rsidRPr="006C0141">
        <w:t>Heating Fuel</w:t>
      </w:r>
      <w:r w:rsidR="00523678">
        <w:t>”</w:t>
      </w:r>
      <w:r w:rsidR="00945E63" w:rsidRPr="006C0141">
        <w:t xml:space="preserve"> </w:t>
      </w:r>
      <w:r>
        <w:t>for th</w:t>
      </w:r>
      <w:r w:rsidR="00784BF9">
        <w:t xml:space="preserve">e </w:t>
      </w:r>
      <w:r w:rsidR="008E63FB">
        <w:t>community</w:t>
      </w:r>
      <w:r w:rsidR="009126EE">
        <w:t xml:space="preserve"> in the ACS 201</w:t>
      </w:r>
      <w:r w:rsidR="00183B3B">
        <w:t>0</w:t>
      </w:r>
      <w:r w:rsidR="00784BF9">
        <w:t xml:space="preserve"> 5</w:t>
      </w:r>
      <w:r>
        <w:t xml:space="preserve">-year estimates </w:t>
      </w:r>
      <w:r w:rsidR="00F77C77">
        <w:t xml:space="preserve">and divide the number of units that heat with each of the following major fuel types by the total </w:t>
      </w:r>
      <w:r w:rsidR="00945E63" w:rsidRPr="006C0141">
        <w:t xml:space="preserve">to determine the </w:t>
      </w:r>
      <w:r w:rsidR="00F77C77">
        <w:t>percentage</w:t>
      </w:r>
      <w:r w:rsidR="00945E63" w:rsidRPr="00D20F82">
        <w:t>:</w:t>
      </w:r>
    </w:p>
    <w:p w:rsidR="00945E63" w:rsidRPr="0044455A" w:rsidRDefault="00945E63" w:rsidP="006E22C9">
      <w:pPr>
        <w:pStyle w:val="Regulartext"/>
        <w:numPr>
          <w:ilvl w:val="0"/>
          <w:numId w:val="29"/>
        </w:numPr>
        <w:spacing w:after="200" w:line="20" w:lineRule="atLeast"/>
      </w:pPr>
      <w:r w:rsidRPr="0044455A">
        <w:t>Utility Gas (natural gas)</w:t>
      </w:r>
    </w:p>
    <w:p w:rsidR="00945E63" w:rsidRPr="0044455A" w:rsidRDefault="00945E63" w:rsidP="006E22C9">
      <w:pPr>
        <w:pStyle w:val="Regulartext"/>
        <w:numPr>
          <w:ilvl w:val="0"/>
          <w:numId w:val="29"/>
        </w:numPr>
        <w:spacing w:after="200" w:line="20" w:lineRule="atLeast"/>
      </w:pPr>
      <w:r w:rsidRPr="0044455A">
        <w:lastRenderedPageBreak/>
        <w:t>Fuel Oil</w:t>
      </w:r>
    </w:p>
    <w:p w:rsidR="002A79F0" w:rsidRDefault="00945E63" w:rsidP="002A79F0">
      <w:pPr>
        <w:pStyle w:val="Regulartext"/>
        <w:numPr>
          <w:ilvl w:val="0"/>
          <w:numId w:val="29"/>
        </w:numPr>
        <w:spacing w:after="200" w:line="20" w:lineRule="atLeast"/>
        <w:rPr>
          <w:b/>
          <w:szCs w:val="26"/>
          <w:u w:val="single"/>
        </w:rPr>
      </w:pPr>
      <w:r w:rsidRPr="00D20F82">
        <w:t>Electricity</w:t>
      </w:r>
    </w:p>
    <w:p w:rsidR="00C41F9D" w:rsidRDefault="00221403">
      <w:pPr>
        <w:pStyle w:val="Caption"/>
        <w:keepNext/>
      </w:pPr>
      <w:r>
        <w:t xml:space="preserve">Table </w:t>
      </w:r>
      <w:r w:rsidR="00BD604D">
        <w:fldChar w:fldCharType="begin"/>
      </w:r>
      <w:r>
        <w:instrText xml:space="preserve"> SEQ Table \* ARABIC </w:instrText>
      </w:r>
      <w:r w:rsidR="00BD604D">
        <w:fldChar w:fldCharType="separate"/>
      </w:r>
      <w:r w:rsidR="00AF69D6">
        <w:rPr>
          <w:noProof/>
        </w:rPr>
        <w:t>2</w:t>
      </w:r>
      <w:r w:rsidR="00BD604D">
        <w:fldChar w:fldCharType="end"/>
      </w:r>
      <w:r>
        <w:t>: Sample results table for different heating fuel sources in a community.</w:t>
      </w:r>
    </w:p>
    <w:tbl>
      <w:tblPr>
        <w:tblStyle w:val="ColorfulList-Accent5"/>
        <w:tblW w:w="5000" w:type="pct"/>
        <w:tblBorders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471"/>
        <w:gridCol w:w="1351"/>
        <w:gridCol w:w="1435"/>
        <w:gridCol w:w="1529"/>
        <w:gridCol w:w="901"/>
        <w:gridCol w:w="897"/>
        <w:gridCol w:w="1346"/>
        <w:gridCol w:w="1222"/>
      </w:tblGrid>
      <w:tr w:rsidR="006C0141" w:rsidRPr="006C0141" w:rsidTr="00221403">
        <w:trPr>
          <w:cnfStyle w:val="100000000000"/>
          <w:trHeight w:val="242"/>
        </w:trPr>
        <w:tc>
          <w:tcPr>
            <w:cnfStyle w:val="001000000000"/>
            <w:tcW w:w="724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rPr>
                <w:sz w:val="20"/>
              </w:rPr>
            </w:pPr>
            <w:r w:rsidRPr="006C0141">
              <w:rPr>
                <w:sz w:val="20"/>
              </w:rPr>
              <w:t>MUNICIPALITY</w:t>
            </w:r>
          </w:p>
        </w:tc>
        <w:tc>
          <w:tcPr>
            <w:tcW w:w="665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TOTAL UNITS</w:t>
            </w:r>
          </w:p>
        </w:tc>
        <w:tc>
          <w:tcPr>
            <w:tcW w:w="707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SF_DETACHED</w:t>
            </w:r>
          </w:p>
        </w:tc>
        <w:tc>
          <w:tcPr>
            <w:tcW w:w="753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SF_ATTACHED</w:t>
            </w:r>
          </w:p>
        </w:tc>
        <w:tc>
          <w:tcPr>
            <w:tcW w:w="444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2-4 UNITS</w:t>
            </w:r>
          </w:p>
        </w:tc>
        <w:tc>
          <w:tcPr>
            <w:tcW w:w="442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5+ UNITS</w:t>
            </w:r>
          </w:p>
        </w:tc>
        <w:tc>
          <w:tcPr>
            <w:tcW w:w="663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% GAS HEAT</w:t>
            </w:r>
          </w:p>
        </w:tc>
        <w:tc>
          <w:tcPr>
            <w:tcW w:w="602" w:type="pct"/>
            <w:tcBorders>
              <w:bottom w:val="none" w:sz="0" w:space="0" w:color="auto"/>
            </w:tcBorders>
          </w:tcPr>
          <w:p w:rsidR="00945E63" w:rsidRPr="006C0141" w:rsidRDefault="00945E63" w:rsidP="006C0141">
            <w:pPr>
              <w:spacing w:line="20" w:lineRule="atLeast"/>
              <w:jc w:val="center"/>
              <w:cnfStyle w:val="100000000000"/>
              <w:rPr>
                <w:sz w:val="20"/>
              </w:rPr>
            </w:pPr>
            <w:r w:rsidRPr="006C0141">
              <w:rPr>
                <w:sz w:val="20"/>
              </w:rPr>
              <w:t>% FUEL OIL HEAT</w:t>
            </w:r>
          </w:p>
        </w:tc>
      </w:tr>
      <w:tr w:rsidR="006C0141" w:rsidRPr="006C0141" w:rsidTr="00221403">
        <w:trPr>
          <w:cnfStyle w:val="000000100000"/>
        </w:trPr>
        <w:tc>
          <w:tcPr>
            <w:cnfStyle w:val="001000000000"/>
            <w:tcW w:w="724" w:type="pct"/>
          </w:tcPr>
          <w:p w:rsidR="00945E63" w:rsidRPr="006C0141" w:rsidRDefault="00945E63" w:rsidP="006E22C9">
            <w:pPr>
              <w:spacing w:line="20" w:lineRule="atLeast"/>
              <w:rPr>
                <w:sz w:val="20"/>
              </w:rPr>
            </w:pPr>
            <w:r w:rsidRPr="006C0141">
              <w:rPr>
                <w:sz w:val="20"/>
              </w:rPr>
              <w:t>Chelsea</w:t>
            </w:r>
          </w:p>
        </w:tc>
        <w:tc>
          <w:tcPr>
            <w:tcW w:w="665" w:type="pct"/>
          </w:tcPr>
          <w:p w:rsidR="00945E63" w:rsidRPr="006C0141" w:rsidRDefault="00945E63" w:rsidP="006E22C9">
            <w:pPr>
              <w:spacing w:line="20" w:lineRule="atLeast"/>
              <w:jc w:val="right"/>
              <w:cnfStyle w:val="000000100000"/>
              <w:rPr>
                <w:rFonts w:cs="Calibri"/>
                <w:sz w:val="20"/>
              </w:rPr>
            </w:pPr>
            <w:r w:rsidRPr="006C0141">
              <w:rPr>
                <w:rFonts w:cs="Calibri"/>
                <w:sz w:val="20"/>
              </w:rPr>
              <w:t>13,009</w:t>
            </w:r>
          </w:p>
        </w:tc>
        <w:tc>
          <w:tcPr>
            <w:tcW w:w="707" w:type="pct"/>
          </w:tcPr>
          <w:p w:rsidR="00945E63" w:rsidRPr="006C0141" w:rsidRDefault="00945E63" w:rsidP="006E22C9">
            <w:pPr>
              <w:spacing w:line="20" w:lineRule="atLeast"/>
              <w:jc w:val="right"/>
              <w:cnfStyle w:val="000000100000"/>
              <w:rPr>
                <w:rFonts w:cs="Calibri"/>
                <w:sz w:val="20"/>
              </w:rPr>
            </w:pPr>
            <w:r w:rsidRPr="006C0141">
              <w:rPr>
                <w:rFonts w:cs="Calibri"/>
                <w:sz w:val="20"/>
              </w:rPr>
              <w:t>1,345</w:t>
            </w:r>
          </w:p>
        </w:tc>
        <w:tc>
          <w:tcPr>
            <w:tcW w:w="753" w:type="pct"/>
          </w:tcPr>
          <w:p w:rsidR="00945E63" w:rsidRPr="006C0141" w:rsidRDefault="00945E63" w:rsidP="006E22C9">
            <w:pPr>
              <w:spacing w:line="20" w:lineRule="atLeast"/>
              <w:jc w:val="right"/>
              <w:cnfStyle w:val="000000100000"/>
              <w:rPr>
                <w:rFonts w:cs="Calibri"/>
                <w:sz w:val="20"/>
              </w:rPr>
            </w:pPr>
            <w:r w:rsidRPr="006C0141">
              <w:rPr>
                <w:rFonts w:cs="Calibri"/>
                <w:sz w:val="20"/>
              </w:rPr>
              <w:t>594</w:t>
            </w:r>
          </w:p>
        </w:tc>
        <w:tc>
          <w:tcPr>
            <w:tcW w:w="444" w:type="pct"/>
          </w:tcPr>
          <w:p w:rsidR="00945E63" w:rsidRPr="006C0141" w:rsidRDefault="00945E63" w:rsidP="006E22C9">
            <w:pPr>
              <w:spacing w:line="20" w:lineRule="atLeast"/>
              <w:jc w:val="right"/>
              <w:cnfStyle w:val="000000100000"/>
              <w:rPr>
                <w:rFonts w:cs="Calibri"/>
                <w:sz w:val="20"/>
              </w:rPr>
            </w:pPr>
            <w:r w:rsidRPr="006C0141">
              <w:rPr>
                <w:rFonts w:cs="Calibri"/>
                <w:sz w:val="20"/>
              </w:rPr>
              <w:t>6,748</w:t>
            </w:r>
          </w:p>
        </w:tc>
        <w:tc>
          <w:tcPr>
            <w:tcW w:w="442" w:type="pct"/>
          </w:tcPr>
          <w:p w:rsidR="00945E63" w:rsidRPr="006C0141" w:rsidRDefault="00945E63" w:rsidP="006E22C9">
            <w:pPr>
              <w:spacing w:line="20" w:lineRule="atLeast"/>
              <w:jc w:val="right"/>
              <w:cnfStyle w:val="000000100000"/>
              <w:rPr>
                <w:rFonts w:cs="Calibri"/>
                <w:sz w:val="20"/>
              </w:rPr>
            </w:pPr>
            <w:r w:rsidRPr="006C0141">
              <w:rPr>
                <w:rFonts w:cs="Calibri"/>
                <w:sz w:val="20"/>
              </w:rPr>
              <w:t>4,322</w:t>
            </w:r>
          </w:p>
        </w:tc>
        <w:tc>
          <w:tcPr>
            <w:tcW w:w="663" w:type="pct"/>
          </w:tcPr>
          <w:p w:rsidR="00945E63" w:rsidRPr="006C0141" w:rsidRDefault="00945E63" w:rsidP="006E22C9">
            <w:pPr>
              <w:spacing w:line="20" w:lineRule="atLeast"/>
              <w:cnfStyle w:val="000000100000"/>
              <w:rPr>
                <w:sz w:val="20"/>
              </w:rPr>
            </w:pPr>
            <w:r w:rsidRPr="006C0141">
              <w:rPr>
                <w:sz w:val="20"/>
              </w:rPr>
              <w:t>48%</w:t>
            </w:r>
          </w:p>
        </w:tc>
        <w:tc>
          <w:tcPr>
            <w:tcW w:w="602" w:type="pct"/>
          </w:tcPr>
          <w:p w:rsidR="00945E63" w:rsidRPr="006C0141" w:rsidRDefault="00945E63" w:rsidP="006E22C9">
            <w:pPr>
              <w:spacing w:line="20" w:lineRule="atLeast"/>
              <w:cnfStyle w:val="000000100000"/>
              <w:rPr>
                <w:sz w:val="20"/>
              </w:rPr>
            </w:pPr>
            <w:r w:rsidRPr="006C0141">
              <w:rPr>
                <w:sz w:val="20"/>
              </w:rPr>
              <w:t>18%</w:t>
            </w:r>
          </w:p>
        </w:tc>
      </w:tr>
    </w:tbl>
    <w:p w:rsidR="002A79F0" w:rsidRDefault="00945E63" w:rsidP="002A79F0">
      <w:pPr>
        <w:pStyle w:val="Heading5"/>
        <w:numPr>
          <w:ilvl w:val="0"/>
          <w:numId w:val="60"/>
        </w:numPr>
      </w:pPr>
      <w:r w:rsidRPr="00255E4A">
        <w:t xml:space="preserve">Determine </w:t>
      </w:r>
      <w:r w:rsidR="005D0646">
        <w:t xml:space="preserve">state </w:t>
      </w:r>
      <w:r w:rsidRPr="00255E4A">
        <w:t>average use and expenditure by fuel type for each housing unit type.</w:t>
      </w:r>
    </w:p>
    <w:p w:rsidR="002A79F0" w:rsidRDefault="00945E63" w:rsidP="002A79F0">
      <w:pPr>
        <w:pStyle w:val="Regulartext"/>
        <w:spacing w:before="240" w:after="0" w:line="20" w:lineRule="atLeast"/>
        <w:ind w:left="360"/>
      </w:pPr>
      <w:r w:rsidRPr="001E1252">
        <w:t xml:space="preserve">Start with EIA RECS </w:t>
      </w:r>
      <w:r w:rsidR="00106DFD" w:rsidRPr="001E1252">
        <w:t>200</w:t>
      </w:r>
      <w:r w:rsidR="00106DFD">
        <w:t>9</w:t>
      </w:r>
      <w:r w:rsidR="00106DFD" w:rsidRPr="001E1252">
        <w:t xml:space="preserve"> </w:t>
      </w:r>
      <w:r w:rsidRPr="001E1252">
        <w:t>Consumption and Expenditures</w:t>
      </w:r>
      <w:r w:rsidR="00106DFD">
        <w:t>,</w:t>
      </w:r>
      <w:r w:rsidRPr="001E1252">
        <w:t xml:space="preserve"> </w:t>
      </w:r>
      <w:r w:rsidR="00490D47">
        <w:t>By Fuel</w:t>
      </w:r>
      <w:r w:rsidR="00EC5210">
        <w:t xml:space="preserve"> and use </w:t>
      </w:r>
      <w:r w:rsidR="00106DFD">
        <w:t>“</w:t>
      </w:r>
      <w:r w:rsidR="00490D47">
        <w:t>Fuel Consumption Totals and Averages, US Homes</w:t>
      </w:r>
      <w:r w:rsidR="00106DFD">
        <w:t>”</w:t>
      </w:r>
      <w:r w:rsidR="00982E5F" w:rsidRPr="001E1252">
        <w:t xml:space="preserve"> </w:t>
      </w:r>
      <w:r w:rsidR="00490D47">
        <w:t xml:space="preserve">and “Fuel Expenditures Totals and Averages, US Homes” </w:t>
      </w:r>
      <w:r w:rsidRPr="001E1252">
        <w:t xml:space="preserve">to determine average consumption and expenditures by housing type. These numbers are </w:t>
      </w:r>
      <w:r w:rsidR="002A79F0" w:rsidRPr="002A79F0">
        <w:t>national averages.</w:t>
      </w:r>
      <w:r w:rsidRPr="001E1252">
        <w:t xml:space="preserve"> </w:t>
      </w:r>
      <w:r w:rsidR="001E078A">
        <w:t xml:space="preserve">Because there are some differences in the percentage breakdown of housing unit types in </w:t>
      </w:r>
      <w:r w:rsidR="002C7AD0">
        <w:t>Massachusetts</w:t>
      </w:r>
      <w:r w:rsidR="001E078A">
        <w:t xml:space="preserve"> </w:t>
      </w:r>
      <w:r w:rsidR="00106DFD">
        <w:t>and</w:t>
      </w:r>
      <w:r w:rsidR="001E078A">
        <w:t xml:space="preserve"> the US</w:t>
      </w:r>
      <w:r w:rsidRPr="001E1252">
        <w:t xml:space="preserve">, the national averages must first be weighted by the percentages of housing unit types at the state level. </w:t>
      </w:r>
    </w:p>
    <w:p w:rsidR="002A79F0" w:rsidRDefault="002A79F0" w:rsidP="002A79F0">
      <w:pPr>
        <w:pStyle w:val="Regulartext"/>
        <w:spacing w:before="240" w:after="0" w:line="20" w:lineRule="atLeast"/>
        <w:ind w:left="360"/>
      </w:pPr>
      <w:r w:rsidRPr="002A79F0">
        <w:t>Example:</w:t>
      </w:r>
      <w:r w:rsidR="00945E63" w:rsidRPr="00B76E78">
        <w:t xml:space="preserve"> Calculate the average annual electricity consumption of a single-family, detached home in </w:t>
      </w:r>
      <w:r w:rsidR="002C7AD0">
        <w:t>Massachusetts</w:t>
      </w:r>
      <w:r w:rsidR="00945E63" w:rsidRPr="00B76E78">
        <w:t xml:space="preserve">. </w:t>
      </w:r>
      <w:r w:rsidR="002C7AD0">
        <w:t>Data on types of housing units in Massachusetts</w:t>
      </w:r>
      <w:r w:rsidR="00DD0FDA">
        <w:t xml:space="preserve"> can be found in the EIA survey under </w:t>
      </w:r>
      <w:r w:rsidR="002C7AD0">
        <w:t>“</w:t>
      </w:r>
      <w:r w:rsidR="009B4535" w:rsidRPr="002C7AD0">
        <w:t xml:space="preserve">Structural and Geographic Characteristics, </w:t>
      </w:r>
      <w:r w:rsidR="002C7AD0">
        <w:t>in Northeast Region, Division, and States</w:t>
      </w:r>
      <w:r w:rsidR="00DD0FDA">
        <w:t>.</w:t>
      </w:r>
      <w:r w:rsidR="002C7AD0">
        <w:t>”</w:t>
      </w:r>
      <w:r w:rsidR="00DD0FDA">
        <w:t xml:space="preserve"> </w:t>
      </w:r>
      <w:r w:rsidR="008B5E88">
        <w:t>EIA provides the number of units for each type; divide them by the total of all households to get the percentage.</w:t>
      </w:r>
      <w:r w:rsidR="007D0735">
        <w:t xml:space="preserve"> Data on Massachusetts average electricity consumption </w:t>
      </w:r>
      <w:r w:rsidR="00B657EF">
        <w:t>can be found</w:t>
      </w:r>
      <w:r w:rsidR="007D0735">
        <w:t xml:space="preserve"> </w:t>
      </w:r>
      <w:r w:rsidR="00B657EF">
        <w:t>in the EIA survey under “Consumption and Expenditures</w:t>
      </w:r>
      <w:r w:rsidR="00B657EF" w:rsidRPr="002C7AD0">
        <w:t xml:space="preserve">, </w:t>
      </w:r>
      <w:r w:rsidR="00B657EF">
        <w:t xml:space="preserve">Fuel Consumption Totals and Averages, Northeast Homes.” </w:t>
      </w:r>
      <w:r w:rsidR="00EC5210">
        <w:br/>
      </w:r>
    </w:p>
    <w:p w:rsidR="00C41F9D" w:rsidRDefault="00221403">
      <w:pPr>
        <w:pStyle w:val="Caption"/>
        <w:keepNext/>
      </w:pPr>
      <w:r>
        <w:t xml:space="preserve">Table </w:t>
      </w:r>
      <w:r w:rsidR="00BD604D">
        <w:fldChar w:fldCharType="begin"/>
      </w:r>
      <w:r>
        <w:instrText xml:space="preserve"> SEQ Table \* ARABIC </w:instrText>
      </w:r>
      <w:r w:rsidR="00BD604D">
        <w:fldChar w:fldCharType="separate"/>
      </w:r>
      <w:r w:rsidR="00AF69D6">
        <w:rPr>
          <w:noProof/>
        </w:rPr>
        <w:t>3</w:t>
      </w:r>
      <w:r w:rsidR="00BD604D">
        <w:fldChar w:fldCharType="end"/>
      </w:r>
      <w:r>
        <w:t>: Calculating average electricity consumption by housing type in Massachusetts.</w:t>
      </w:r>
    </w:p>
    <w:tbl>
      <w:tblPr>
        <w:tblStyle w:val="TableGrid"/>
        <w:tblW w:w="5000" w:type="pct"/>
        <w:tblLook w:val="04A0"/>
      </w:tblPr>
      <w:tblGrid>
        <w:gridCol w:w="455"/>
        <w:gridCol w:w="1831"/>
        <w:gridCol w:w="2053"/>
        <w:gridCol w:w="1529"/>
        <w:gridCol w:w="1620"/>
        <w:gridCol w:w="2664"/>
      </w:tblGrid>
      <w:tr w:rsidR="00945E63" w:rsidRPr="006C0141" w:rsidTr="00EC5210">
        <w:trPr>
          <w:trHeight w:val="70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:rsidR="002A79F0" w:rsidRDefault="002A79F0" w:rsidP="002A79F0">
            <w:pPr>
              <w:spacing w:line="20" w:lineRule="atLeast"/>
              <w:rPr>
                <w:i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A</w:t>
            </w: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B</w:t>
            </w:r>
          </w:p>
        </w:tc>
        <w:tc>
          <w:tcPr>
            <w:tcW w:w="753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C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D</w:t>
            </w:r>
          </w:p>
        </w:tc>
        <w:tc>
          <w:tcPr>
            <w:tcW w:w="1312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E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1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11" w:type="pct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US Average Electricity Consumption (kWh)</w:t>
            </w:r>
          </w:p>
        </w:tc>
        <w:tc>
          <w:tcPr>
            <w:tcW w:w="753" w:type="pct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% Units in US</w:t>
            </w:r>
          </w:p>
        </w:tc>
        <w:tc>
          <w:tcPr>
            <w:tcW w:w="798" w:type="pct"/>
          </w:tcPr>
          <w:p w:rsidR="00945E63" w:rsidRPr="006C0141" w:rsidRDefault="00945E63" w:rsidP="007D0735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 xml:space="preserve">% Units in </w:t>
            </w:r>
            <w:r w:rsidR="007D0735">
              <w:rPr>
                <w:sz w:val="20"/>
                <w:szCs w:val="20"/>
              </w:rPr>
              <w:t>MA</w:t>
            </w:r>
          </w:p>
        </w:tc>
        <w:tc>
          <w:tcPr>
            <w:tcW w:w="1312" w:type="pct"/>
          </w:tcPr>
          <w:p w:rsidR="00945E63" w:rsidRPr="006C0141" w:rsidRDefault="007D0735" w:rsidP="006E22C9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945E63" w:rsidRPr="006C0141">
              <w:rPr>
                <w:sz w:val="20"/>
                <w:szCs w:val="20"/>
              </w:rPr>
              <w:t xml:space="preserve"> Average Electricity Consumption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2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All Households</w:t>
            </w:r>
          </w:p>
        </w:tc>
        <w:tc>
          <w:tcPr>
            <w:tcW w:w="1011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11,320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100%</w:t>
            </w:r>
          </w:p>
        </w:tc>
        <w:tc>
          <w:tcPr>
            <w:tcW w:w="798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100%</w:t>
            </w:r>
          </w:p>
        </w:tc>
        <w:tc>
          <w:tcPr>
            <w:tcW w:w="1312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6,967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3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Single Family, Detached</w:t>
            </w:r>
          </w:p>
        </w:tc>
        <w:tc>
          <w:tcPr>
            <w:tcW w:w="1011" w:type="pct"/>
            <w:vAlign w:val="bottom"/>
          </w:tcPr>
          <w:p w:rsidR="00945E63" w:rsidRPr="006C0141" w:rsidRDefault="00945E63" w:rsidP="007D0735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13,</w:t>
            </w:r>
            <w:r w:rsidR="007D0735">
              <w:rPr>
                <w:rFonts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63%</w:t>
            </w:r>
          </w:p>
        </w:tc>
        <w:tc>
          <w:tcPr>
            <w:tcW w:w="798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  <w:r w:rsidR="00945E63" w:rsidRPr="006C0141">
              <w:rPr>
                <w:rFonts w:cs="Calibri"/>
                <w:sz w:val="20"/>
                <w:szCs w:val="20"/>
              </w:rPr>
              <w:t>8%</w:t>
            </w:r>
          </w:p>
        </w:tc>
        <w:tc>
          <w:tcPr>
            <w:tcW w:w="1312" w:type="pct"/>
            <w:shd w:val="clear" w:color="auto" w:fill="F2DBDB" w:themeFill="accent2" w:themeFillTint="33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?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4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Single Family, Attached</w:t>
            </w:r>
          </w:p>
        </w:tc>
        <w:tc>
          <w:tcPr>
            <w:tcW w:w="1011" w:type="pct"/>
            <w:vAlign w:val="bottom"/>
          </w:tcPr>
          <w:p w:rsidR="00945E63" w:rsidRPr="006C0141" w:rsidRDefault="00945E63" w:rsidP="007D0735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9,</w:t>
            </w:r>
            <w:r w:rsidR="007D0735">
              <w:rPr>
                <w:rFonts w:cs="Calibri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6%</w:t>
            </w:r>
          </w:p>
        </w:tc>
        <w:tc>
          <w:tcPr>
            <w:tcW w:w="798" w:type="pct"/>
            <w:vAlign w:val="bottom"/>
          </w:tcPr>
          <w:p w:rsidR="00945E63" w:rsidRPr="006C0141" w:rsidRDefault="0099499E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  <w:r w:rsidR="00945E63" w:rsidRPr="006C0141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1312" w:type="pct"/>
            <w:shd w:val="clear" w:color="auto" w:fill="F2DBDB" w:themeFill="accent2" w:themeFillTint="33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?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5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2-4 Units</w:t>
            </w:r>
          </w:p>
        </w:tc>
        <w:tc>
          <w:tcPr>
            <w:tcW w:w="1011" w:type="pct"/>
            <w:vAlign w:val="bottom"/>
          </w:tcPr>
          <w:p w:rsidR="00945E63" w:rsidRPr="006C0141" w:rsidRDefault="00945E63" w:rsidP="007D0735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7,</w:t>
            </w:r>
            <w:r w:rsidR="007D0735">
              <w:rPr>
                <w:rFonts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8%</w:t>
            </w:r>
          </w:p>
        </w:tc>
        <w:tc>
          <w:tcPr>
            <w:tcW w:w="798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24</w:t>
            </w:r>
            <w:r w:rsidR="00945E63" w:rsidRPr="006C0141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1312" w:type="pct"/>
            <w:shd w:val="clear" w:color="auto" w:fill="F2DBDB" w:themeFill="accent2" w:themeFillTint="33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?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6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5+ Units</w:t>
            </w:r>
          </w:p>
        </w:tc>
        <w:tc>
          <w:tcPr>
            <w:tcW w:w="1011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6,376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17%</w:t>
            </w:r>
          </w:p>
        </w:tc>
        <w:tc>
          <w:tcPr>
            <w:tcW w:w="798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</w:t>
            </w:r>
            <w:r w:rsidR="00945E63" w:rsidRPr="006C0141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1312" w:type="pct"/>
            <w:shd w:val="clear" w:color="auto" w:fill="F2DBDB" w:themeFill="accent2" w:themeFillTint="33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?</w:t>
            </w:r>
          </w:p>
        </w:tc>
      </w:tr>
      <w:tr w:rsidR="00945E63" w:rsidRPr="006C0141" w:rsidTr="00EC5210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7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011" w:type="pct"/>
            <w:vAlign w:val="bottom"/>
          </w:tcPr>
          <w:p w:rsidR="00945E63" w:rsidRPr="006C0141" w:rsidRDefault="007D0735" w:rsidP="006E22C9">
            <w:pPr>
              <w:spacing w:line="2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13,362</w:t>
            </w:r>
          </w:p>
        </w:tc>
        <w:tc>
          <w:tcPr>
            <w:tcW w:w="753" w:type="pct"/>
            <w:vAlign w:val="bottom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6%</w:t>
            </w:r>
          </w:p>
        </w:tc>
        <w:tc>
          <w:tcPr>
            <w:tcW w:w="798" w:type="pct"/>
            <w:vAlign w:val="bottom"/>
          </w:tcPr>
          <w:p w:rsidR="00945E63" w:rsidRPr="006C0141" w:rsidRDefault="0099499E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4%</w:t>
            </w:r>
          </w:p>
        </w:tc>
        <w:tc>
          <w:tcPr>
            <w:tcW w:w="1312" w:type="pct"/>
            <w:shd w:val="clear" w:color="auto" w:fill="F2DBDB" w:themeFill="accent2" w:themeFillTint="33"/>
          </w:tcPr>
          <w:p w:rsidR="00945E63" w:rsidRPr="006C0141" w:rsidRDefault="00945E63" w:rsidP="006E22C9">
            <w:pPr>
              <w:spacing w:line="20" w:lineRule="atLeas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?</w:t>
            </w:r>
          </w:p>
        </w:tc>
      </w:tr>
    </w:tbl>
    <w:p w:rsidR="002A79F0" w:rsidRDefault="001E078A" w:rsidP="002A79F0">
      <w:pPr>
        <w:pStyle w:val="Regulartext"/>
        <w:tabs>
          <w:tab w:val="left" w:pos="1815"/>
        </w:tabs>
        <w:spacing w:after="0" w:line="20" w:lineRule="atLeast"/>
        <w:ind w:left="360"/>
      </w:pPr>
      <w:r>
        <w:tab/>
      </w:r>
      <w:r w:rsidR="00EC5210">
        <w:br/>
      </w:r>
      <w:r w:rsidR="006A0036">
        <w:t>Massachusetts</w:t>
      </w:r>
      <w:r w:rsidR="00945E63">
        <w:t xml:space="preserve"> has </w:t>
      </w:r>
      <w:r>
        <w:t>a lower concentration of single family homes and a higher concentration</w:t>
      </w:r>
      <w:r w:rsidR="00945E63">
        <w:t xml:space="preserve"> of two- to four-unit apartments.</w:t>
      </w:r>
      <w:r>
        <w:t xml:space="preserve"> </w:t>
      </w:r>
      <w:r w:rsidR="00945E63">
        <w:t xml:space="preserve">In order to account for this when comparing </w:t>
      </w:r>
      <w:r>
        <w:t>a</w:t>
      </w:r>
      <w:r w:rsidR="000711B9">
        <w:t xml:space="preserve">n average </w:t>
      </w:r>
      <w:r w:rsidR="006A0036">
        <w:t>Massachusetts</w:t>
      </w:r>
      <w:r w:rsidR="00945E63">
        <w:t xml:space="preserve"> home with an average US home</w:t>
      </w:r>
      <w:r>
        <w:t xml:space="preserve"> (averaged across all housing units)</w:t>
      </w:r>
      <w:r w:rsidR="00945E63">
        <w:t xml:space="preserve">, the first step is to obtain a weighted US Average Electricity Consumption based on the percentage breakdown of housing unit types in </w:t>
      </w:r>
      <w:r w:rsidR="006A0036">
        <w:t>Massachusetts</w:t>
      </w:r>
      <w:r w:rsidR="00945E63">
        <w:t>. The following formula is used:</w:t>
      </w:r>
    </w:p>
    <w:p w:rsidR="002A79F0" w:rsidRDefault="002A79F0" w:rsidP="002A79F0">
      <w:pPr>
        <w:pStyle w:val="Regulartext"/>
        <w:tabs>
          <w:tab w:val="left" w:pos="1815"/>
        </w:tabs>
        <w:spacing w:after="0" w:line="20" w:lineRule="atLeast"/>
        <w:ind w:left="360"/>
      </w:pPr>
    </w:p>
    <w:p w:rsidR="00945E63" w:rsidRPr="003C4DB6" w:rsidRDefault="002A79F0" w:rsidP="006E22C9">
      <w:pPr>
        <w:spacing w:after="200" w:line="20" w:lineRule="atLeast"/>
        <w:jc w:val="center"/>
        <w:rPr>
          <w:szCs w:val="24"/>
        </w:rPr>
      </w:pPr>
      <w:r w:rsidRPr="002A79F0">
        <w:rPr>
          <w:szCs w:val="24"/>
        </w:rPr>
        <w:t>=</w:t>
      </w:r>
      <w:proofErr w:type="gramStart"/>
      <w:r w:rsidRPr="002A79F0">
        <w:rPr>
          <w:szCs w:val="24"/>
        </w:rPr>
        <w:t>SUMPRODUCT(</w:t>
      </w:r>
      <w:proofErr w:type="gramEnd"/>
      <w:r w:rsidRPr="002A79F0">
        <w:rPr>
          <w:szCs w:val="24"/>
        </w:rPr>
        <w:t xml:space="preserve">B3:B7, </w:t>
      </w:r>
      <w:r w:rsidR="006A4E64">
        <w:rPr>
          <w:szCs w:val="24"/>
        </w:rPr>
        <w:t>D</w:t>
      </w:r>
      <w:r w:rsidRPr="002A79F0">
        <w:rPr>
          <w:szCs w:val="24"/>
        </w:rPr>
        <w:t>3:</w:t>
      </w:r>
      <w:r w:rsidR="006A4E64">
        <w:rPr>
          <w:szCs w:val="24"/>
        </w:rPr>
        <w:t>D</w:t>
      </w:r>
      <w:r w:rsidRPr="002A79F0">
        <w:rPr>
          <w:szCs w:val="24"/>
        </w:rPr>
        <w:t>7)/SUM(</w:t>
      </w:r>
      <w:r w:rsidR="006A4E64">
        <w:rPr>
          <w:szCs w:val="24"/>
        </w:rPr>
        <w:t>D</w:t>
      </w:r>
      <w:r w:rsidRPr="002A79F0">
        <w:rPr>
          <w:szCs w:val="24"/>
        </w:rPr>
        <w:t>3:</w:t>
      </w:r>
      <w:r w:rsidR="006A4E64">
        <w:rPr>
          <w:szCs w:val="24"/>
        </w:rPr>
        <w:t>D</w:t>
      </w:r>
      <w:r w:rsidRPr="002A79F0">
        <w:rPr>
          <w:szCs w:val="24"/>
        </w:rPr>
        <w:t>7)</w:t>
      </w:r>
    </w:p>
    <w:p w:rsidR="002A79F0" w:rsidRDefault="00945E63" w:rsidP="002A79F0">
      <w:pPr>
        <w:pStyle w:val="Regulartext"/>
        <w:spacing w:after="200" w:line="20" w:lineRule="atLeast"/>
        <w:ind w:left="360"/>
      </w:pPr>
      <w:r>
        <w:lastRenderedPageBreak/>
        <w:t xml:space="preserve">In other words, </w:t>
      </w:r>
      <w:r w:rsidRPr="00F065ED">
        <w:t xml:space="preserve">this represents what average US household electricity consumption would be if housing unit types in the US were the same as </w:t>
      </w:r>
      <w:r w:rsidR="007D1A27">
        <w:t>they are</w:t>
      </w:r>
      <w:r w:rsidRPr="00F065ED">
        <w:t xml:space="preserve"> in </w:t>
      </w:r>
      <w:r w:rsidR="00EB05B8">
        <w:t>Massachusetts</w:t>
      </w:r>
      <w:r w:rsidRPr="00F065ED">
        <w:t>.</w:t>
      </w:r>
      <w:r>
        <w:t xml:space="preserve"> </w:t>
      </w:r>
      <w:r w:rsidR="0062114A">
        <w:t xml:space="preserve">Calculate </w:t>
      </w:r>
      <w:r w:rsidR="00356629">
        <w:t>the</w:t>
      </w:r>
      <w:r w:rsidR="0062114A">
        <w:t xml:space="preserve"> </w:t>
      </w:r>
      <w:r w:rsidR="007D1A27">
        <w:t>ratio</w:t>
      </w:r>
      <w:r w:rsidR="0062114A">
        <w:t xml:space="preserve"> </w:t>
      </w:r>
      <w:r w:rsidR="00356629">
        <w:t>of</w:t>
      </w:r>
      <w:r w:rsidR="0062114A">
        <w:t xml:space="preserve"> </w:t>
      </w:r>
      <w:r w:rsidR="00870254">
        <w:t xml:space="preserve">Massachusetts average electricity consumption to this </w:t>
      </w:r>
      <w:r w:rsidR="007D1A27">
        <w:t>weighted US</w:t>
      </w:r>
      <w:r w:rsidR="00356629">
        <w:t xml:space="preserve"> number </w:t>
      </w:r>
      <w:r w:rsidR="00EC1B91">
        <w:t>().</w:t>
      </w:r>
    </w:p>
    <w:p w:rsidR="00C41F9D" w:rsidRDefault="00221403">
      <w:pPr>
        <w:pStyle w:val="Caption"/>
        <w:keepNext/>
        <w:jc w:val="center"/>
      </w:pPr>
      <w:r>
        <w:t xml:space="preserve">Table </w:t>
      </w:r>
      <w:r w:rsidR="00BD604D">
        <w:fldChar w:fldCharType="begin"/>
      </w:r>
      <w:r>
        <w:instrText xml:space="preserve"> SEQ Table \* ARABIC </w:instrText>
      </w:r>
      <w:r w:rsidR="00BD604D">
        <w:fldChar w:fldCharType="separate"/>
      </w:r>
      <w:r w:rsidR="00AF69D6">
        <w:rPr>
          <w:noProof/>
        </w:rPr>
        <w:t>4</w:t>
      </w:r>
      <w:r w:rsidR="00BD604D">
        <w:fldChar w:fldCharType="end"/>
      </w:r>
      <w:r>
        <w:t>: Calculating an adjustment ratio.</w:t>
      </w:r>
    </w:p>
    <w:tbl>
      <w:tblPr>
        <w:tblStyle w:val="ColorfulList-Accent5"/>
        <w:tblW w:w="0" w:type="auto"/>
        <w:jc w:val="center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98"/>
        <w:gridCol w:w="1407"/>
      </w:tblGrid>
      <w:tr w:rsidR="00945E63" w:rsidRPr="006C0141" w:rsidTr="000469E3">
        <w:trPr>
          <w:cnfStyle w:val="100000000000"/>
          <w:trHeight w:val="70"/>
          <w:jc w:val="center"/>
        </w:trPr>
        <w:tc>
          <w:tcPr>
            <w:cnfStyle w:val="001000000000"/>
            <w:tcW w:w="2898" w:type="dxa"/>
            <w:tcBorders>
              <w:bottom w:val="none" w:sz="0" w:space="0" w:color="auto"/>
            </w:tcBorders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bottom w:val="none" w:sz="0" w:space="0" w:color="auto"/>
            </w:tcBorders>
          </w:tcPr>
          <w:p w:rsidR="00945E63" w:rsidRPr="006C0141" w:rsidRDefault="00945E63" w:rsidP="006E22C9">
            <w:pPr>
              <w:spacing w:line="20" w:lineRule="atLeast"/>
              <w:cnfStyle w:val="100000000000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Electricity Consumption (kWh)</w:t>
            </w:r>
          </w:p>
        </w:tc>
      </w:tr>
      <w:tr w:rsidR="00945E63" w:rsidRPr="006C0141" w:rsidTr="000469E3">
        <w:trPr>
          <w:cnfStyle w:val="000000100000"/>
          <w:jc w:val="center"/>
        </w:trPr>
        <w:tc>
          <w:tcPr>
            <w:cnfStyle w:val="001000000000"/>
            <w:tcW w:w="2898" w:type="dxa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 xml:space="preserve">Average </w:t>
            </w:r>
            <w:r w:rsidR="00D8016E">
              <w:rPr>
                <w:sz w:val="20"/>
                <w:szCs w:val="20"/>
              </w:rPr>
              <w:t>MA</w:t>
            </w:r>
            <w:r w:rsidRPr="006C0141">
              <w:rPr>
                <w:sz w:val="20"/>
                <w:szCs w:val="20"/>
              </w:rPr>
              <w:t xml:space="preserve"> Household</w:t>
            </w:r>
          </w:p>
        </w:tc>
        <w:tc>
          <w:tcPr>
            <w:tcW w:w="1407" w:type="dxa"/>
          </w:tcPr>
          <w:p w:rsidR="00945E63" w:rsidRPr="006C0141" w:rsidRDefault="00EB05B8" w:rsidP="006E22C9">
            <w:pPr>
              <w:spacing w:line="20" w:lineRule="atLeas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</w:t>
            </w:r>
            <w:r w:rsidR="00356629">
              <w:rPr>
                <w:sz w:val="20"/>
                <w:szCs w:val="20"/>
              </w:rPr>
              <w:t>7</w:t>
            </w:r>
          </w:p>
        </w:tc>
      </w:tr>
      <w:tr w:rsidR="00945E63" w:rsidRPr="006C0141" w:rsidTr="000469E3">
        <w:trPr>
          <w:jc w:val="center"/>
        </w:trPr>
        <w:tc>
          <w:tcPr>
            <w:cnfStyle w:val="001000000000"/>
            <w:tcW w:w="2898" w:type="dxa"/>
          </w:tcPr>
          <w:p w:rsidR="00945E63" w:rsidRPr="006C0141" w:rsidRDefault="00945E63" w:rsidP="006E22C9">
            <w:pPr>
              <w:spacing w:line="20" w:lineRule="atLeas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 xml:space="preserve">Average US Household, </w:t>
            </w:r>
            <w:r w:rsidR="00D8016E">
              <w:rPr>
                <w:sz w:val="20"/>
                <w:szCs w:val="20"/>
              </w:rPr>
              <w:t>MA</w:t>
            </w:r>
            <w:r w:rsidRPr="006C0141">
              <w:rPr>
                <w:sz w:val="20"/>
                <w:szCs w:val="20"/>
              </w:rPr>
              <w:t>-Adjusted</w:t>
            </w:r>
          </w:p>
        </w:tc>
        <w:tc>
          <w:tcPr>
            <w:tcW w:w="1407" w:type="dxa"/>
          </w:tcPr>
          <w:p w:rsidR="001A7033" w:rsidRDefault="00945E63" w:rsidP="006E22C9">
            <w:pPr>
              <w:spacing w:line="20" w:lineRule="atLeast"/>
              <w:cnfStyle w:val="000000000000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10,</w:t>
            </w:r>
            <w:r w:rsidR="001A7033">
              <w:rPr>
                <w:sz w:val="20"/>
                <w:szCs w:val="20"/>
              </w:rPr>
              <w:t>212</w:t>
            </w:r>
          </w:p>
          <w:p w:rsidR="00945E63" w:rsidRPr="006C0141" w:rsidRDefault="00945E63" w:rsidP="006E22C9">
            <w:pPr>
              <w:spacing w:line="20" w:lineRule="atLeast"/>
              <w:cnfStyle w:val="000000000000"/>
              <w:rPr>
                <w:sz w:val="20"/>
                <w:szCs w:val="20"/>
              </w:rPr>
            </w:pPr>
          </w:p>
        </w:tc>
      </w:tr>
      <w:tr w:rsidR="00945E63" w:rsidRPr="006C0141" w:rsidTr="000469E3">
        <w:trPr>
          <w:cnfStyle w:val="000000100000"/>
          <w:jc w:val="center"/>
        </w:trPr>
        <w:tc>
          <w:tcPr>
            <w:cnfStyle w:val="001000000000"/>
            <w:tcW w:w="2898" w:type="dxa"/>
          </w:tcPr>
          <w:p w:rsidR="00945E63" w:rsidRPr="006C0141" w:rsidRDefault="00F63442" w:rsidP="00A76082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Adjustment Ratio</w:t>
            </w:r>
          </w:p>
        </w:tc>
        <w:tc>
          <w:tcPr>
            <w:tcW w:w="1407" w:type="dxa"/>
          </w:tcPr>
          <w:p w:rsidR="00945E63" w:rsidRPr="006C0141" w:rsidRDefault="001A7033" w:rsidP="006E22C9">
            <w:pPr>
              <w:spacing w:line="20" w:lineRule="atLeas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945E63" w:rsidRPr="006C0141">
              <w:rPr>
                <w:sz w:val="20"/>
                <w:szCs w:val="20"/>
              </w:rPr>
              <w:t>%</w:t>
            </w:r>
          </w:p>
        </w:tc>
      </w:tr>
    </w:tbl>
    <w:p w:rsidR="002A79F0" w:rsidRDefault="00945E63" w:rsidP="002A79F0">
      <w:pPr>
        <w:pStyle w:val="Regulartext"/>
        <w:spacing w:before="240" w:line="20" w:lineRule="atLeast"/>
        <w:ind w:left="360"/>
      </w:pPr>
      <w:r>
        <w:t xml:space="preserve">The average </w:t>
      </w:r>
      <w:r w:rsidR="00A76082">
        <w:t>M</w:t>
      </w:r>
      <w:r w:rsidR="00AB64E1">
        <w:t>assachusetts</w:t>
      </w:r>
      <w:r>
        <w:t xml:space="preserve"> household uses approximately </w:t>
      </w:r>
      <w:r w:rsidR="001A7033">
        <w:t>68</w:t>
      </w:r>
      <w:r>
        <w:t xml:space="preserve">% </w:t>
      </w:r>
      <w:r w:rsidR="00A76082">
        <w:t>of the electricity that</w:t>
      </w:r>
      <w:r>
        <w:t xml:space="preserve"> </w:t>
      </w:r>
      <w:r w:rsidR="00A76082">
        <w:t>the average</w:t>
      </w:r>
      <w:r>
        <w:t xml:space="preserve"> US household</w:t>
      </w:r>
      <w:r w:rsidR="00A76082">
        <w:t xml:space="preserve"> does</w:t>
      </w:r>
      <w:r>
        <w:t xml:space="preserve">, with variations in housing stock held constant. To obtain average electricity use by housing unit type in </w:t>
      </w:r>
      <w:r w:rsidR="00AB64E1">
        <w:t>Massachusetts</w:t>
      </w:r>
      <w:r>
        <w:t xml:space="preserve">, simply </w:t>
      </w:r>
      <w:r w:rsidR="00AB64E1">
        <w:t xml:space="preserve">multiply </w:t>
      </w:r>
      <w:r>
        <w:t xml:space="preserve">the amounts in cells B3:B7 by </w:t>
      </w:r>
      <w:r w:rsidR="001A7033">
        <w:t>68</w:t>
      </w:r>
      <w:r>
        <w:t xml:space="preserve">%. </w:t>
      </w:r>
      <w:r w:rsidR="0043228B">
        <w:br/>
      </w:r>
    </w:p>
    <w:tbl>
      <w:tblPr>
        <w:tblStyle w:val="TableGrid"/>
        <w:tblW w:w="5000" w:type="pct"/>
        <w:tblLook w:val="04A0"/>
      </w:tblPr>
      <w:tblGrid>
        <w:gridCol w:w="455"/>
        <w:gridCol w:w="1831"/>
        <w:gridCol w:w="2694"/>
        <w:gridCol w:w="1338"/>
        <w:gridCol w:w="1440"/>
        <w:gridCol w:w="2394"/>
      </w:tblGrid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spacing w:after="100"/>
              <w:rPr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A</w:t>
            </w:r>
          </w:p>
        </w:tc>
        <w:tc>
          <w:tcPr>
            <w:tcW w:w="1327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B</w:t>
            </w:r>
          </w:p>
        </w:tc>
        <w:tc>
          <w:tcPr>
            <w:tcW w:w="659" w:type="pct"/>
            <w:shd w:val="clear" w:color="auto" w:fill="D9D9D9" w:themeFill="background1" w:themeFillShade="D9"/>
          </w:tcPr>
          <w:p w:rsidR="00945E63" w:rsidRPr="006C0141" w:rsidRDefault="00945E63" w:rsidP="006C0141">
            <w:pPr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C</w:t>
            </w:r>
          </w:p>
        </w:tc>
        <w:tc>
          <w:tcPr>
            <w:tcW w:w="709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D</w:t>
            </w:r>
          </w:p>
        </w:tc>
        <w:tc>
          <w:tcPr>
            <w:tcW w:w="1179" w:type="pct"/>
            <w:shd w:val="clear" w:color="auto" w:fill="D9D9D9" w:themeFill="background1" w:themeFillShade="D9"/>
          </w:tcPr>
          <w:p w:rsidR="00945E63" w:rsidRPr="006C0141" w:rsidRDefault="00945E63" w:rsidP="006C0141">
            <w:pPr>
              <w:jc w:val="center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E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1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327" w:type="pct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US Average Electricity Consumption (kWh)</w:t>
            </w:r>
          </w:p>
        </w:tc>
        <w:tc>
          <w:tcPr>
            <w:tcW w:w="659" w:type="pct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% Units in US</w:t>
            </w:r>
          </w:p>
        </w:tc>
        <w:tc>
          <w:tcPr>
            <w:tcW w:w="709" w:type="pct"/>
          </w:tcPr>
          <w:p w:rsidR="00945E63" w:rsidRPr="006C0141" w:rsidRDefault="00945E63" w:rsidP="00AB64E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 xml:space="preserve">% Units in </w:t>
            </w:r>
            <w:r w:rsidR="00AB64E1">
              <w:rPr>
                <w:sz w:val="20"/>
                <w:szCs w:val="20"/>
              </w:rPr>
              <w:t>MA</w:t>
            </w:r>
          </w:p>
        </w:tc>
        <w:tc>
          <w:tcPr>
            <w:tcW w:w="1179" w:type="pct"/>
          </w:tcPr>
          <w:p w:rsidR="00945E63" w:rsidRPr="006C0141" w:rsidRDefault="00AB64E1" w:rsidP="006C0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945E63" w:rsidRPr="006C0141">
              <w:rPr>
                <w:sz w:val="20"/>
                <w:szCs w:val="20"/>
              </w:rPr>
              <w:t xml:space="preserve"> Average Electricity Consumption</w:t>
            </w:r>
          </w:p>
        </w:tc>
      </w:tr>
      <w:tr w:rsidR="00945E63" w:rsidRPr="006C0141" w:rsidTr="0002612C">
        <w:trPr>
          <w:trHeight w:val="197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2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All Households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11,480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100%</w:t>
            </w:r>
          </w:p>
        </w:tc>
        <w:tc>
          <w:tcPr>
            <w:tcW w:w="70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100%</w:t>
            </w:r>
          </w:p>
        </w:tc>
        <w:tc>
          <w:tcPr>
            <w:tcW w:w="1179" w:type="pct"/>
            <w:vAlign w:val="bottom"/>
          </w:tcPr>
          <w:p w:rsidR="00945E63" w:rsidRPr="006C0141" w:rsidRDefault="00650965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6,967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3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Single Family, Detached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13,159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63%</w:t>
            </w:r>
          </w:p>
        </w:tc>
        <w:tc>
          <w:tcPr>
            <w:tcW w:w="709" w:type="pct"/>
            <w:vAlign w:val="bottom"/>
          </w:tcPr>
          <w:p w:rsidR="00945E63" w:rsidRPr="006C0141" w:rsidRDefault="0099499E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  <w:r w:rsidR="00945E63" w:rsidRPr="006C0141">
              <w:rPr>
                <w:rFonts w:cs="Calibri"/>
                <w:sz w:val="20"/>
                <w:szCs w:val="20"/>
              </w:rPr>
              <w:t>8%</w:t>
            </w:r>
          </w:p>
        </w:tc>
        <w:tc>
          <w:tcPr>
            <w:tcW w:w="1179" w:type="pct"/>
            <w:shd w:val="clear" w:color="auto" w:fill="DBE5F1" w:themeFill="accent1" w:themeFillTint="33"/>
            <w:vAlign w:val="bottom"/>
          </w:tcPr>
          <w:p w:rsidR="00945E63" w:rsidRPr="006C0141" w:rsidRDefault="00650965" w:rsidP="00AB64E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8,987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4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Single Family, Attached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9,240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6%</w:t>
            </w:r>
          </w:p>
        </w:tc>
        <w:tc>
          <w:tcPr>
            <w:tcW w:w="70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4%</w:t>
            </w:r>
          </w:p>
        </w:tc>
        <w:tc>
          <w:tcPr>
            <w:tcW w:w="1179" w:type="pct"/>
            <w:shd w:val="clear" w:color="auto" w:fill="DBE5F1" w:themeFill="accent1" w:themeFillTint="33"/>
            <w:vAlign w:val="bottom"/>
          </w:tcPr>
          <w:p w:rsidR="00945E63" w:rsidRPr="006C0141" w:rsidRDefault="00650965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6,164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5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2-4 Units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7,460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8%</w:t>
            </w:r>
          </w:p>
        </w:tc>
        <w:tc>
          <w:tcPr>
            <w:tcW w:w="709" w:type="pct"/>
            <w:vAlign w:val="bottom"/>
          </w:tcPr>
          <w:p w:rsidR="00945E63" w:rsidRPr="006C0141" w:rsidRDefault="0099499E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24</w:t>
            </w:r>
            <w:r w:rsidR="00945E63" w:rsidRPr="006C0141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1179" w:type="pct"/>
            <w:shd w:val="clear" w:color="auto" w:fill="DBE5F1" w:themeFill="accent1" w:themeFillTint="33"/>
            <w:vAlign w:val="bottom"/>
          </w:tcPr>
          <w:p w:rsidR="00945E63" w:rsidRPr="006C0141" w:rsidRDefault="00650965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4,884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6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5+ Units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7,001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17%</w:t>
            </w:r>
          </w:p>
        </w:tc>
        <w:tc>
          <w:tcPr>
            <w:tcW w:w="709" w:type="pct"/>
            <w:vAlign w:val="bottom"/>
          </w:tcPr>
          <w:p w:rsidR="00945E63" w:rsidRPr="006C0141" w:rsidRDefault="0099499E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</w:t>
            </w:r>
            <w:r w:rsidR="00945E63" w:rsidRPr="006C0141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1179" w:type="pct"/>
            <w:shd w:val="clear" w:color="auto" w:fill="DBE5F1" w:themeFill="accent1" w:themeFillTint="33"/>
            <w:vAlign w:val="bottom"/>
          </w:tcPr>
          <w:p w:rsidR="00945E63" w:rsidRPr="006C0141" w:rsidRDefault="00650965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4,350</w:t>
            </w:r>
          </w:p>
        </w:tc>
      </w:tr>
      <w:tr w:rsidR="00945E63" w:rsidRPr="006C0141" w:rsidTr="00732E64">
        <w:tc>
          <w:tcPr>
            <w:tcW w:w="224" w:type="pct"/>
            <w:shd w:val="clear" w:color="auto" w:fill="D9D9D9" w:themeFill="background1" w:themeFillShade="D9"/>
            <w:vAlign w:val="center"/>
          </w:tcPr>
          <w:p w:rsidR="00945E63" w:rsidRPr="006C0141" w:rsidRDefault="00945E63" w:rsidP="006C0141">
            <w:pPr>
              <w:rPr>
                <w:sz w:val="20"/>
                <w:szCs w:val="20"/>
              </w:rPr>
            </w:pPr>
            <w:r w:rsidRPr="006C0141">
              <w:rPr>
                <w:sz w:val="20"/>
                <w:szCs w:val="20"/>
              </w:rPr>
              <w:t>7</w:t>
            </w:r>
          </w:p>
        </w:tc>
        <w:tc>
          <w:tcPr>
            <w:tcW w:w="902" w:type="pct"/>
            <w:vAlign w:val="bottom"/>
          </w:tcPr>
          <w:p w:rsidR="00945E63" w:rsidRPr="006C0141" w:rsidRDefault="00945E63" w:rsidP="006C0141">
            <w:pPr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327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6C0141">
              <w:rPr>
                <w:rFonts w:cs="Calibri"/>
                <w:color w:val="000000"/>
                <w:sz w:val="20"/>
                <w:szCs w:val="20"/>
              </w:rPr>
              <w:t>11,787</w:t>
            </w:r>
          </w:p>
        </w:tc>
        <w:tc>
          <w:tcPr>
            <w:tcW w:w="65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6%</w:t>
            </w:r>
          </w:p>
        </w:tc>
        <w:tc>
          <w:tcPr>
            <w:tcW w:w="709" w:type="pct"/>
            <w:vAlign w:val="bottom"/>
          </w:tcPr>
          <w:p w:rsidR="00945E63" w:rsidRPr="006C0141" w:rsidRDefault="00945E63" w:rsidP="006C0141">
            <w:pPr>
              <w:jc w:val="right"/>
              <w:rPr>
                <w:rFonts w:cs="Calibri"/>
                <w:sz w:val="20"/>
                <w:szCs w:val="20"/>
              </w:rPr>
            </w:pPr>
            <w:r w:rsidRPr="006C0141">
              <w:rPr>
                <w:rFonts w:cs="Calibri"/>
                <w:sz w:val="20"/>
                <w:szCs w:val="20"/>
              </w:rPr>
              <w:t>4%</w:t>
            </w:r>
          </w:p>
        </w:tc>
        <w:tc>
          <w:tcPr>
            <w:tcW w:w="1179" w:type="pct"/>
            <w:shd w:val="clear" w:color="auto" w:fill="DBE5F1" w:themeFill="accent1" w:themeFillTint="33"/>
            <w:vAlign w:val="bottom"/>
          </w:tcPr>
          <w:p w:rsidR="00945E63" w:rsidRPr="006C0141" w:rsidRDefault="00650965" w:rsidP="006C0141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9,116</w:t>
            </w:r>
          </w:p>
        </w:tc>
      </w:tr>
    </w:tbl>
    <w:p w:rsidR="002A79F0" w:rsidRDefault="005D0646" w:rsidP="002A79F0">
      <w:pPr>
        <w:pStyle w:val="Regulartext"/>
        <w:spacing w:before="240" w:line="20" w:lineRule="atLeast"/>
        <w:ind w:left="360"/>
      </w:pPr>
      <w:r>
        <w:t>Repeat this process for natural gas, fuel oil, and expenditures.</w:t>
      </w:r>
    </w:p>
    <w:p w:rsidR="002A79F0" w:rsidRDefault="00945E63" w:rsidP="002A79F0">
      <w:pPr>
        <w:pStyle w:val="Heading5"/>
        <w:numPr>
          <w:ilvl w:val="0"/>
          <w:numId w:val="60"/>
        </w:numPr>
      </w:pPr>
      <w:r w:rsidRPr="006C0141">
        <w:t xml:space="preserve">Determine total </w:t>
      </w:r>
      <w:r w:rsidR="005D0646">
        <w:t xml:space="preserve">local </w:t>
      </w:r>
      <w:r w:rsidRPr="006C0141">
        <w:t xml:space="preserve">energy consumption and expenditures. </w:t>
      </w:r>
    </w:p>
    <w:p w:rsidR="002A79F0" w:rsidRDefault="00945E63" w:rsidP="002A79F0">
      <w:pPr>
        <w:pStyle w:val="Regulartext"/>
        <w:spacing w:line="20" w:lineRule="atLeast"/>
        <w:ind w:left="360"/>
        <w:rPr>
          <w:rFonts w:eastAsiaTheme="majorEastAsia" w:cstheme="majorBidi"/>
          <w:color w:val="365F91" w:themeColor="accent1" w:themeShade="BF"/>
          <w:sz w:val="36"/>
        </w:rPr>
      </w:pPr>
      <w:r w:rsidRPr="006C0141">
        <w:t xml:space="preserve">Multiply the number of housing units </w:t>
      </w:r>
      <w:r w:rsidR="005D0646">
        <w:t>of</w:t>
      </w:r>
      <w:r w:rsidR="005D0646" w:rsidRPr="006C0141">
        <w:t xml:space="preserve"> </w:t>
      </w:r>
      <w:r w:rsidRPr="006C0141">
        <w:t xml:space="preserve">each type </w:t>
      </w:r>
      <w:r w:rsidR="005D0646">
        <w:t>in the municipality by</w:t>
      </w:r>
      <w:r w:rsidR="005D0646" w:rsidRPr="006C0141">
        <w:t xml:space="preserve"> </w:t>
      </w:r>
      <w:r w:rsidRPr="006C0141">
        <w:t xml:space="preserve">the average </w:t>
      </w:r>
      <w:r w:rsidR="005D0646">
        <w:t xml:space="preserve">Massachusetts </w:t>
      </w:r>
      <w:r w:rsidRPr="006C0141">
        <w:t xml:space="preserve">consumption for that housing type, and add </w:t>
      </w:r>
      <w:r w:rsidR="005D0646">
        <w:t xml:space="preserve">the results </w:t>
      </w:r>
      <w:r w:rsidRPr="006C0141">
        <w:t>together. Heating fuels (natural gas and oil) are also multiplied by the percentage of units in a</w:t>
      </w:r>
      <w:r>
        <w:t xml:space="preserve"> community using that fuel. </w:t>
      </w:r>
    </w:p>
    <w:p w:rsidR="00396944" w:rsidRDefault="00396944">
      <w:pPr>
        <w:ind w:firstLine="360"/>
        <w:rPr>
          <w:rFonts w:eastAsiaTheme="majorEastAsia" w:cstheme="majorBidi"/>
          <w:color w:val="365F91" w:themeColor="accent1" w:themeShade="BF"/>
          <w:sz w:val="36"/>
          <w:szCs w:val="24"/>
        </w:rPr>
      </w:pPr>
      <w:r>
        <w:br w:type="page"/>
      </w:r>
    </w:p>
    <w:p w:rsidR="00945E63" w:rsidRPr="00732E64" w:rsidRDefault="00945E63" w:rsidP="00732E64">
      <w:pPr>
        <w:pStyle w:val="Heading2"/>
      </w:pPr>
      <w:r w:rsidRPr="00732E64">
        <w:lastRenderedPageBreak/>
        <w:t>Commercial Sector</w:t>
      </w:r>
    </w:p>
    <w:p w:rsidR="002A79F0" w:rsidRDefault="00945E63" w:rsidP="002A79F0">
      <w:pPr>
        <w:pStyle w:val="Heading4"/>
      </w:pPr>
      <w:r w:rsidRPr="00D20F82">
        <w:t>Referenced Data Sets</w:t>
      </w:r>
    </w:p>
    <w:p w:rsidR="00A25C20" w:rsidRDefault="00BD604D" w:rsidP="002A79F0">
      <w:pPr>
        <w:pStyle w:val="Regulartext"/>
        <w:numPr>
          <w:ilvl w:val="0"/>
          <w:numId w:val="30"/>
        </w:numPr>
        <w:spacing w:after="200" w:line="20" w:lineRule="atLeast"/>
      </w:pPr>
      <w:hyperlink r:id="rId11" w:history="1">
        <w:r w:rsidR="00396944" w:rsidRPr="004F6DE9">
          <w:rPr>
            <w:rStyle w:val="Hyperlink"/>
          </w:rPr>
          <w:t>The MA Executive Office of Wages and Labor Division (EOWLD)’s ES-202 – Employment and Wages Survey</w:t>
        </w:r>
      </w:hyperlink>
    </w:p>
    <w:p w:rsidR="00A25C20" w:rsidRDefault="00BD604D" w:rsidP="002A79F0">
      <w:pPr>
        <w:pStyle w:val="Regulartext"/>
        <w:numPr>
          <w:ilvl w:val="0"/>
          <w:numId w:val="30"/>
        </w:numPr>
        <w:spacing w:after="200" w:line="20" w:lineRule="atLeast"/>
      </w:pPr>
      <w:hyperlink r:id="rId12" w:history="1">
        <w:r w:rsidR="00945E63" w:rsidRPr="0014119A">
          <w:rPr>
            <w:rStyle w:val="Hyperlink"/>
          </w:rPr>
          <w:t>The Energy Information Administration’s Commercial Building Energy Survey (CBECS), 2003</w:t>
        </w:r>
      </w:hyperlink>
    </w:p>
    <w:p w:rsidR="002A79F0" w:rsidRDefault="00945E63" w:rsidP="002A79F0">
      <w:pPr>
        <w:pStyle w:val="Heading4"/>
      </w:pPr>
      <w:r w:rsidRPr="00D20F82">
        <w:t>Step-by-Step Instructions</w:t>
      </w:r>
    </w:p>
    <w:p w:rsidR="002A79F0" w:rsidRDefault="006D1973" w:rsidP="002A79F0">
      <w:pPr>
        <w:pStyle w:val="Heading5"/>
        <w:numPr>
          <w:ilvl w:val="0"/>
          <w:numId w:val="61"/>
        </w:numPr>
      </w:pPr>
      <w:r w:rsidRPr="001C7447">
        <w:t xml:space="preserve">Find the total number </w:t>
      </w:r>
      <w:r w:rsidR="00267013">
        <w:t>of employees and establishments</w:t>
      </w:r>
      <w:r w:rsidRPr="001C7447">
        <w:t xml:space="preserve"> by Primary B</w:t>
      </w:r>
      <w:r>
        <w:t>ui</w:t>
      </w:r>
      <w:r w:rsidRPr="001C7447">
        <w:t>lding Activity (PBA).</w:t>
      </w:r>
    </w:p>
    <w:p w:rsidR="000E40E4" w:rsidRDefault="000E40E4" w:rsidP="00CA3FE0">
      <w:pPr>
        <w:pStyle w:val="Regulartext"/>
        <w:spacing w:before="240" w:after="200" w:line="20" w:lineRule="atLeast"/>
        <w:ind w:left="360"/>
      </w:pPr>
      <w:r w:rsidRPr="001C7447">
        <w:t>EOWLD ES-202 survey data lists the number of employees and establishments by industry,</w:t>
      </w:r>
      <w:r w:rsidR="00EF2C01">
        <w:t xml:space="preserve"> sorted by </w:t>
      </w:r>
      <w:r w:rsidRPr="001C7447">
        <w:t>North American Industry</w:t>
      </w:r>
      <w:r w:rsidRPr="00D20F82">
        <w:t xml:space="preserve"> Classification System (NAICS) codes.</w:t>
      </w:r>
      <w:r>
        <w:t xml:space="preserve"> </w:t>
      </w:r>
      <w:r w:rsidRPr="00D20F82">
        <w:t xml:space="preserve">EIA CBECS </w:t>
      </w:r>
      <w:r>
        <w:t>analyzes</w:t>
      </w:r>
      <w:r w:rsidRPr="00D20F82">
        <w:t xml:space="preserve"> </w:t>
      </w:r>
      <w:r w:rsidR="00F07CF9">
        <w:t xml:space="preserve">energy use and consumption </w:t>
      </w:r>
      <w:r w:rsidRPr="00D20F82">
        <w:t>data based on Primary Building Activity (PBA)</w:t>
      </w:r>
      <w:r>
        <w:t xml:space="preserve">. </w:t>
      </w:r>
      <w:r w:rsidRPr="00D20F82">
        <w:t xml:space="preserve">The following </w:t>
      </w:r>
      <w:hyperlink r:id="rId13" w:anchor="q8" w:history="1">
        <w:r w:rsidRPr="00FD3A67">
          <w:rPr>
            <w:rStyle w:val="Hyperlink"/>
          </w:rPr>
          <w:t>crosswalk</w:t>
        </w:r>
      </w:hyperlink>
      <w:r w:rsidRPr="00D20F82">
        <w:t xml:space="preserve"> (generated by EIA) </w:t>
      </w:r>
      <w:r w:rsidR="0081549B">
        <w:t xml:space="preserve">roughly </w:t>
      </w:r>
      <w:r w:rsidRPr="00D20F82">
        <w:t>correlates the</w:t>
      </w:r>
      <w:r w:rsidR="00F07CF9">
        <w:t xml:space="preserve"> PBA</w:t>
      </w:r>
      <w:r w:rsidRPr="00D20F82">
        <w:t xml:space="preserve"> codes used in CBECS with standard three-digit NAICS codes between 400 and 1000.</w:t>
      </w:r>
      <w:r>
        <w:t xml:space="preserve"> </w:t>
      </w:r>
    </w:p>
    <w:p w:rsidR="002A79F0" w:rsidRDefault="00F07CF9" w:rsidP="002A79F0">
      <w:pPr>
        <w:pStyle w:val="Regulartext"/>
        <w:tabs>
          <w:tab w:val="left" w:pos="-1530"/>
        </w:tabs>
        <w:spacing w:before="240" w:after="200" w:line="20" w:lineRule="atLeast"/>
        <w:ind w:left="360"/>
      </w:pPr>
      <w:r>
        <w:t xml:space="preserve">To </w:t>
      </w:r>
      <w:r w:rsidR="000E40E4">
        <w:t>find employee and establishment</w:t>
      </w:r>
      <w:r w:rsidR="001B2C81">
        <w:t xml:space="preserve"> </w:t>
      </w:r>
      <w:r w:rsidR="000E40E4">
        <w:t>data for PBA categories,</w:t>
      </w:r>
      <w:r w:rsidR="00221403">
        <w:t xml:space="preserve"> </w:t>
      </w:r>
      <w:r w:rsidR="00396944">
        <w:t>visit the ES-202 survey webpage. S</w:t>
      </w:r>
      <w:r>
        <w:t xml:space="preserve">elect the municipality, the most recent year and quarter, private ownership, </w:t>
      </w:r>
      <w:r w:rsidR="00B043C2">
        <w:t xml:space="preserve">“Total, All Industries,” </w:t>
      </w:r>
      <w:r w:rsidR="00221403">
        <w:t>&amp;</w:t>
      </w:r>
      <w:r w:rsidR="00B043C2">
        <w:t xml:space="preserve"> “Category and all sub-categories”</w:t>
      </w:r>
      <w:r w:rsidR="004D3EE1">
        <w:t xml:space="preserve"> on the EOWLD ES-202 query page. </w:t>
      </w:r>
    </w:p>
    <w:p w:rsidR="00C41F9D" w:rsidRDefault="00221403">
      <w:pPr>
        <w:pStyle w:val="Caption"/>
        <w:keepNext/>
      </w:pPr>
      <w:r>
        <w:t xml:space="preserve">Table </w:t>
      </w:r>
      <w:r w:rsidR="00BD604D">
        <w:fldChar w:fldCharType="begin"/>
      </w:r>
      <w:r>
        <w:instrText xml:space="preserve"> SEQ Table \* ARABIC </w:instrText>
      </w:r>
      <w:r w:rsidR="00BD604D">
        <w:fldChar w:fldCharType="separate"/>
      </w:r>
      <w:r w:rsidR="00AF69D6">
        <w:rPr>
          <w:noProof/>
        </w:rPr>
        <w:t>5</w:t>
      </w:r>
      <w:r w:rsidR="00BD604D">
        <w:fldChar w:fldCharType="end"/>
      </w:r>
      <w:r>
        <w:t>: NAICS code crosswalk table for identifying Primary Building Activity.</w:t>
      </w:r>
    </w:p>
    <w:tbl>
      <w:tblPr>
        <w:tblW w:w="1000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3"/>
        <w:gridCol w:w="2171"/>
        <w:gridCol w:w="7470"/>
      </w:tblGrid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  <w:vAlign w:val="bottom"/>
          </w:tcPr>
          <w:p w:rsidR="00945E63" w:rsidRPr="001C7447" w:rsidRDefault="00945E63" w:rsidP="006E22C9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  <w:noWrap/>
            <w:vAlign w:val="bottom"/>
          </w:tcPr>
          <w:p w:rsidR="00945E63" w:rsidRPr="001C7447" w:rsidRDefault="00945E63" w:rsidP="006E22C9">
            <w:pPr>
              <w:spacing w:line="2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PBA</w:t>
            </w:r>
          </w:p>
        </w:tc>
        <w:tc>
          <w:tcPr>
            <w:tcW w:w="7470" w:type="dxa"/>
            <w:shd w:val="clear" w:color="auto" w:fill="auto"/>
            <w:noWrap/>
            <w:vAlign w:val="bottom"/>
          </w:tcPr>
          <w:p w:rsidR="00945E63" w:rsidRPr="001C7447" w:rsidRDefault="00945E63" w:rsidP="006E22C9">
            <w:pPr>
              <w:spacing w:line="2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NAICS Code (3-digit)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A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Education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611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B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Food Sales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445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C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Food Service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722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D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Inpatient Health Care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622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E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Outpatient Health Care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621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F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Lodging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623, 721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G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Retail (non-mall)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441, 442, 443, 444, 451, 452, 453, 532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H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Retail (mall)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446, 448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I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Office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454, 486, 511, 516, 517, 518, 519, 521, 522, 523, 524, 525, 531, 533, 541, 551, 561, 624, 921, 923, 924, 925, 926, 928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J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Public Assembly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481, 482, 485, 487, 512, 515, 711, 712, 713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K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Public Order/ Safety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922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L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Religious Worship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813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M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Service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447, 483, 484, 488, 491, 492, 811, 812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Warehouse/ Storage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423, 424, 493</w:t>
            </w:r>
          </w:p>
        </w:tc>
      </w:tr>
      <w:tr w:rsidR="000B0463" w:rsidRPr="001C7447" w:rsidTr="00221403">
        <w:trPr>
          <w:trHeight w:val="255"/>
        </w:trPr>
        <w:tc>
          <w:tcPr>
            <w:tcW w:w="363" w:type="dxa"/>
            <w:shd w:val="clear" w:color="auto" w:fill="D9D9D9" w:themeFill="background1" w:themeFillShade="D9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O</w:t>
            </w:r>
          </w:p>
        </w:tc>
        <w:tc>
          <w:tcPr>
            <w:tcW w:w="2171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Other</w:t>
            </w:r>
          </w:p>
        </w:tc>
        <w:tc>
          <w:tcPr>
            <w:tcW w:w="7470" w:type="dxa"/>
            <w:shd w:val="clear" w:color="auto" w:fill="auto"/>
            <w:noWrap/>
          </w:tcPr>
          <w:p w:rsidR="00945E63" w:rsidRPr="001C7447" w:rsidRDefault="00945E63" w:rsidP="002B35C3">
            <w:pPr>
              <w:spacing w:line="20" w:lineRule="atLeast"/>
              <w:rPr>
                <w:rFonts w:eastAsia="Times New Roman" w:cs="Arial"/>
                <w:sz w:val="20"/>
                <w:szCs w:val="20"/>
              </w:rPr>
            </w:pPr>
            <w:r w:rsidRPr="001C7447">
              <w:rPr>
                <w:rFonts w:eastAsia="Times New Roman" w:cs="Arial"/>
                <w:sz w:val="20"/>
                <w:szCs w:val="20"/>
              </w:rPr>
              <w:t>562, 927</w:t>
            </w:r>
          </w:p>
        </w:tc>
      </w:tr>
    </w:tbl>
    <w:p w:rsidR="00945E63" w:rsidRPr="001C7447" w:rsidRDefault="00945E63" w:rsidP="000F6EC9">
      <w:pPr>
        <w:pStyle w:val="Regulartext"/>
        <w:spacing w:before="240" w:after="0" w:line="20" w:lineRule="atLeast"/>
        <w:ind w:left="360"/>
      </w:pPr>
      <w:r w:rsidRPr="001C7447">
        <w:lastRenderedPageBreak/>
        <w:t xml:space="preserve">To </w:t>
      </w:r>
      <w:r w:rsidR="009F57FA">
        <w:t>find</w:t>
      </w:r>
      <w:r w:rsidR="009F57FA" w:rsidRPr="001C7447">
        <w:t xml:space="preserve"> </w:t>
      </w:r>
      <w:r w:rsidRPr="001C7447">
        <w:t xml:space="preserve">the total number of employees and establishments by PBA, sum the quantities for </w:t>
      </w:r>
      <w:r w:rsidR="00420640">
        <w:t>the</w:t>
      </w:r>
      <w:r w:rsidRPr="001C7447">
        <w:t xml:space="preserve"> NAICS codes </w:t>
      </w:r>
      <w:r w:rsidR="00420640">
        <w:t>in</w:t>
      </w:r>
      <w:r w:rsidR="00420640" w:rsidRPr="001C7447">
        <w:t xml:space="preserve"> </w:t>
      </w:r>
      <w:r w:rsidRPr="001C7447">
        <w:t>each PBA</w:t>
      </w:r>
      <w:r w:rsidR="00420640">
        <w:t xml:space="preserve"> category</w:t>
      </w:r>
      <w:r w:rsidRPr="001C7447">
        <w:t xml:space="preserve">. </w:t>
      </w:r>
    </w:p>
    <w:p w:rsidR="002A79F0" w:rsidRDefault="00945E63" w:rsidP="002A79F0">
      <w:pPr>
        <w:pStyle w:val="Heading5"/>
        <w:numPr>
          <w:ilvl w:val="0"/>
          <w:numId w:val="61"/>
        </w:numPr>
      </w:pPr>
      <w:r w:rsidRPr="001C7447">
        <w:t xml:space="preserve">Determine average energy use and </w:t>
      </w:r>
      <w:r w:rsidR="0002490A">
        <w:t>expenditures</w:t>
      </w:r>
      <w:r w:rsidR="0002490A" w:rsidRPr="001C7447">
        <w:t xml:space="preserve"> </w:t>
      </w:r>
      <w:r w:rsidRPr="001C7447">
        <w:t xml:space="preserve">by employee for each PBA. </w:t>
      </w:r>
    </w:p>
    <w:p w:rsidR="002A79F0" w:rsidRDefault="00396944" w:rsidP="002A79F0">
      <w:pPr>
        <w:pStyle w:val="Regulartext"/>
        <w:spacing w:before="240" w:after="200" w:line="20" w:lineRule="atLeast"/>
        <w:ind w:left="360"/>
      </w:pPr>
      <w:r>
        <w:t xml:space="preserve">In the </w:t>
      </w:r>
      <w:r w:rsidR="00945E63" w:rsidRPr="001C7447">
        <w:t xml:space="preserve">CBECS </w:t>
      </w:r>
      <w:r>
        <w:t>2003 database, t</w:t>
      </w:r>
      <w:r w:rsidR="00945E63" w:rsidRPr="001C7447">
        <w:t xml:space="preserve">ables </w:t>
      </w:r>
      <w:r w:rsidR="00771273">
        <w:t>C</w:t>
      </w:r>
      <w:r w:rsidR="00945E63" w:rsidRPr="001C7447">
        <w:t xml:space="preserve">14, </w:t>
      </w:r>
      <w:r w:rsidR="00771273">
        <w:t>C</w:t>
      </w:r>
      <w:r w:rsidR="00945E63" w:rsidRPr="001C7447">
        <w:t xml:space="preserve">24 and </w:t>
      </w:r>
      <w:r w:rsidR="00771273">
        <w:t>C</w:t>
      </w:r>
      <w:r w:rsidR="00945E63" w:rsidRPr="001C7447">
        <w:t xml:space="preserve">34 </w:t>
      </w:r>
      <w:r>
        <w:t xml:space="preserve">(under the ‘Consumption &amp; Expenditures’ section) </w:t>
      </w:r>
      <w:r w:rsidR="00945E63" w:rsidRPr="001C7447">
        <w:t>provide average energy use and expenditures by building, square footage, and employee for each PBA. Although square footage would be the most reliable factor for scaling up community-level data, information on square footage by PBA on a community level</w:t>
      </w:r>
      <w:r w:rsidR="0059473D">
        <w:t xml:space="preserve"> is</w:t>
      </w:r>
      <w:r w:rsidR="00945E63" w:rsidRPr="001C7447">
        <w:t xml:space="preserve"> not easily obtained. Therefore, average use and expenditures by employee is used for the purposes of this methodology. These are all US averages.  </w:t>
      </w:r>
    </w:p>
    <w:p w:rsidR="002A79F0" w:rsidRDefault="006D2B79" w:rsidP="002A79F0">
      <w:pPr>
        <w:pStyle w:val="Regulartext"/>
        <w:spacing w:after="200" w:line="20" w:lineRule="atLeast"/>
        <w:ind w:left="360"/>
      </w:pPr>
      <w:r>
        <w:rPr>
          <w:b/>
        </w:rPr>
        <w:t>Note</w:t>
      </w:r>
      <w:r w:rsidR="002A79F0" w:rsidRPr="002A79F0">
        <w:rPr>
          <w:b/>
        </w:rPr>
        <w:t>: Enclosed and Strip Malls</w:t>
      </w:r>
      <w:r w:rsidR="00180E04">
        <w:t xml:space="preserve"> – </w:t>
      </w:r>
      <w:r w:rsidR="00945E63" w:rsidRPr="001C7447">
        <w:t>The</w:t>
      </w:r>
      <w:r w:rsidR="00180E04">
        <w:t xml:space="preserve"> </w:t>
      </w:r>
      <w:r w:rsidR="00945E63" w:rsidRPr="001C7447">
        <w:t xml:space="preserve">2003 CBECS survey employed a different data collection method for mall buildings, and energy data is not available by employee. </w:t>
      </w:r>
      <w:r w:rsidR="005A3424">
        <w:t xml:space="preserve">Use </w:t>
      </w:r>
      <w:r w:rsidR="00A70FE3">
        <w:t>data</w:t>
      </w:r>
      <w:r w:rsidR="005A3424">
        <w:t xml:space="preserve"> by building instead.</w:t>
      </w:r>
    </w:p>
    <w:p w:rsidR="002A79F0" w:rsidRDefault="002A79F0" w:rsidP="002A79F0">
      <w:pPr>
        <w:pStyle w:val="Regulartext"/>
        <w:spacing w:after="200" w:line="20" w:lineRule="atLeast"/>
        <w:ind w:left="360"/>
      </w:pPr>
      <w:r w:rsidRPr="002A79F0">
        <w:rPr>
          <w:b/>
        </w:rPr>
        <w:t xml:space="preserve">Note: </w:t>
      </w:r>
      <w:r w:rsidR="006D2B79" w:rsidRPr="00CA3FE0">
        <w:rPr>
          <w:b/>
        </w:rPr>
        <w:t>F</w:t>
      </w:r>
      <w:r w:rsidRPr="002A79F0">
        <w:rPr>
          <w:b/>
        </w:rPr>
        <w:t xml:space="preserve">uel </w:t>
      </w:r>
      <w:r w:rsidR="006D2B79" w:rsidRPr="00CA3FE0">
        <w:rPr>
          <w:b/>
        </w:rPr>
        <w:t>O</w:t>
      </w:r>
      <w:r w:rsidRPr="002A79F0">
        <w:rPr>
          <w:b/>
        </w:rPr>
        <w:t>il</w:t>
      </w:r>
      <w:r w:rsidR="00180E04">
        <w:t xml:space="preserve"> – </w:t>
      </w:r>
      <w:r w:rsidR="00945E63" w:rsidRPr="001C7447">
        <w:t xml:space="preserve">The data available in the 2003 CBECS </w:t>
      </w:r>
      <w:r w:rsidR="008A272A">
        <w:t>for</w:t>
      </w:r>
      <w:r w:rsidR="008A272A" w:rsidRPr="001C7447">
        <w:t xml:space="preserve"> </w:t>
      </w:r>
      <w:r w:rsidR="00945E63" w:rsidRPr="001C7447">
        <w:t xml:space="preserve">fuel oil consumption is incomplete for some PBAs. Two options </w:t>
      </w:r>
      <w:r w:rsidR="004F723B">
        <w:t xml:space="preserve">for estimating the missing data </w:t>
      </w:r>
      <w:r w:rsidR="00945E63" w:rsidRPr="001C7447">
        <w:t xml:space="preserve">were explored for the purposes of this </w:t>
      </w:r>
      <w:r w:rsidR="005123DC">
        <w:t>baseline</w:t>
      </w:r>
      <w:r w:rsidR="00945E63" w:rsidRPr="001C7447">
        <w:t xml:space="preserve">: </w:t>
      </w:r>
    </w:p>
    <w:p w:rsidR="00945E63" w:rsidRPr="001C7447" w:rsidRDefault="00945E63" w:rsidP="006E22C9">
      <w:pPr>
        <w:pStyle w:val="Regulartext"/>
        <w:numPr>
          <w:ilvl w:val="0"/>
          <w:numId w:val="31"/>
        </w:numPr>
        <w:spacing w:after="200" w:line="20" w:lineRule="atLeast"/>
      </w:pPr>
      <w:r w:rsidRPr="001C7447">
        <w:t xml:space="preserve">Option 1: Compare average fuel oil use to average natural gas use in the same building types, using Office buildings as a baseline. For example, if a PBA that uses natural gas uses 50% more natural gas than an Office building, assume that if the same PBA used fuel oil, it would use 50% more fuel oil than an Office building. </w:t>
      </w:r>
      <w:r w:rsidR="00334AE5">
        <w:t>This is the preferred method, as it yields a more conservative estimate.</w:t>
      </w:r>
    </w:p>
    <w:p w:rsidR="00945E63" w:rsidRPr="001C7447" w:rsidRDefault="00945E63" w:rsidP="006E22C9">
      <w:pPr>
        <w:pStyle w:val="Regulartext"/>
        <w:numPr>
          <w:ilvl w:val="0"/>
          <w:numId w:val="31"/>
        </w:numPr>
        <w:spacing w:after="200" w:line="20" w:lineRule="atLeast"/>
      </w:pPr>
      <w:r w:rsidRPr="001C7447">
        <w:t xml:space="preserve">Option 2: Find average fuel oil </w:t>
      </w:r>
      <w:r w:rsidR="00A44735" w:rsidRPr="001C7447">
        <w:t xml:space="preserve">consumption </w:t>
      </w:r>
      <w:r w:rsidRPr="001C7447">
        <w:t>for an average New England building (across all PBAs)</w:t>
      </w:r>
      <w:r w:rsidR="002C0F7B">
        <w:t xml:space="preserve"> </w:t>
      </w:r>
      <w:r w:rsidRPr="001C7447">
        <w:t>and divide it by the average number of employees in an industry. Use this as the scaling factor.</w:t>
      </w:r>
    </w:p>
    <w:p w:rsidR="002A79F0" w:rsidRDefault="002C0F7B" w:rsidP="002A79F0">
      <w:pPr>
        <w:pStyle w:val="Heading5"/>
        <w:numPr>
          <w:ilvl w:val="0"/>
          <w:numId w:val="61"/>
        </w:numPr>
      </w:pPr>
      <w:r>
        <w:t>Calculate</w:t>
      </w:r>
      <w:r w:rsidR="00945E63" w:rsidRPr="001C7447">
        <w:t xml:space="preserve"> total energy use and expenditures. </w:t>
      </w:r>
    </w:p>
    <w:p w:rsidR="00945E63" w:rsidRPr="001C7447" w:rsidRDefault="00945E63" w:rsidP="006E22C9">
      <w:pPr>
        <w:pStyle w:val="Regulartext"/>
        <w:numPr>
          <w:ilvl w:val="0"/>
          <w:numId w:val="32"/>
        </w:numPr>
        <w:spacing w:after="200" w:line="20" w:lineRule="atLeast"/>
      </w:pPr>
      <w:r w:rsidRPr="001C7447">
        <w:t>Multiply the total number of employees in each PBA by the average energy consumption</w:t>
      </w:r>
      <w:r w:rsidR="00373BCB">
        <w:t xml:space="preserve"> (or average energy expenditures</w:t>
      </w:r>
      <w:proofErr w:type="gramStart"/>
      <w:r w:rsidR="00373BCB">
        <w:t xml:space="preserve">) </w:t>
      </w:r>
      <w:r w:rsidRPr="001C7447">
        <w:t xml:space="preserve"> by</w:t>
      </w:r>
      <w:proofErr w:type="gramEnd"/>
      <w:r w:rsidRPr="001C7447">
        <w:t xml:space="preserve"> fuel type</w:t>
      </w:r>
      <w:r w:rsidR="00373BCB">
        <w:t xml:space="preserve"> </w:t>
      </w:r>
      <w:r w:rsidRPr="001C7447">
        <w:t>for that PBA</w:t>
      </w:r>
      <w:r w:rsidR="00021A7A">
        <w:t xml:space="preserve">. For malls, use </w:t>
      </w:r>
      <w:r w:rsidR="003211E7">
        <w:t xml:space="preserve">the </w:t>
      </w:r>
      <w:r w:rsidR="00021A7A">
        <w:t>n</w:t>
      </w:r>
      <w:r w:rsidR="003211E7">
        <w:t>umber of establishments instead of employees.</w:t>
      </w:r>
    </w:p>
    <w:p w:rsidR="002A79F0" w:rsidRPr="002A79F0" w:rsidRDefault="00945E63" w:rsidP="002A79F0">
      <w:pPr>
        <w:pStyle w:val="Regulartext"/>
        <w:numPr>
          <w:ilvl w:val="0"/>
          <w:numId w:val="32"/>
        </w:numPr>
        <w:spacing w:after="200" w:line="20" w:lineRule="atLeast"/>
      </w:pPr>
      <w:r w:rsidRPr="001C7447">
        <w:t xml:space="preserve">For natural gas and fuel oil, </w:t>
      </w:r>
      <w:r w:rsidR="00930CB3">
        <w:t>multiply the result by</w:t>
      </w:r>
      <w:r w:rsidRPr="001C7447">
        <w:t xml:space="preserve"> the percentage of </w:t>
      </w:r>
      <w:r w:rsidR="00930CB3">
        <w:t>buildings</w:t>
      </w:r>
      <w:r w:rsidR="00930CB3" w:rsidRPr="001C7447">
        <w:t xml:space="preserve"> </w:t>
      </w:r>
      <w:r w:rsidRPr="001C7447">
        <w:t xml:space="preserve">that heat with each fuel type. </w:t>
      </w:r>
      <w:r w:rsidR="004F2A77">
        <w:t>(</w:t>
      </w:r>
      <w:r w:rsidR="004F2A77" w:rsidRPr="001C7447">
        <w:t xml:space="preserve">For electricity, assume a factor of </w:t>
      </w:r>
      <w:proofErr w:type="gramStart"/>
      <w:r w:rsidR="004F2A77" w:rsidRPr="001C7447">
        <w:t>100%</w:t>
      </w:r>
      <w:proofErr w:type="gramEnd"/>
      <w:r w:rsidR="004F2A77">
        <w:t xml:space="preserve">.) </w:t>
      </w:r>
      <w:r w:rsidRPr="001C7447">
        <w:t xml:space="preserve">For example, if 30% of the </w:t>
      </w:r>
      <w:r w:rsidR="00422CB0">
        <w:t>buildings</w:t>
      </w:r>
      <w:r w:rsidRPr="001C7447">
        <w:t xml:space="preserve"> in a community heat with fuel oil, the following equation would be used:</w:t>
      </w:r>
      <w:r w:rsidR="00CC48C3" w:rsidRPr="00CA3FE0">
        <w:rPr>
          <w:b/>
        </w:rPr>
        <w:br/>
      </w:r>
      <w:r w:rsidR="00AD75F3">
        <w:rPr>
          <w:b/>
        </w:rPr>
        <w:br/>
      </w:r>
      <w:r w:rsidRPr="00CA3FE0">
        <w:rPr>
          <w:b/>
        </w:rPr>
        <w:t>(Total Employees) x (Average Fuel Oil Consumption by Employee) x 30%</w:t>
      </w:r>
    </w:p>
    <w:p w:rsidR="009C7258" w:rsidRDefault="009C7258">
      <w:pPr>
        <w:ind w:firstLine="360"/>
        <w:rPr>
          <w:rFonts w:eastAsiaTheme="majorEastAsia" w:cstheme="majorBidi"/>
          <w:color w:val="365F91" w:themeColor="accent1" w:themeShade="BF"/>
          <w:sz w:val="36"/>
          <w:szCs w:val="24"/>
        </w:rPr>
      </w:pPr>
      <w:r>
        <w:br w:type="page"/>
      </w:r>
    </w:p>
    <w:p w:rsidR="00945E63" w:rsidRPr="00732E64" w:rsidRDefault="00945E63" w:rsidP="0083329B">
      <w:pPr>
        <w:pStyle w:val="Heading2"/>
      </w:pPr>
      <w:r w:rsidRPr="0083329B">
        <w:lastRenderedPageBreak/>
        <w:t>Industrial</w:t>
      </w:r>
      <w:r w:rsidRPr="00732E64">
        <w:t xml:space="preserve"> Sector</w:t>
      </w:r>
    </w:p>
    <w:p w:rsidR="002A79F0" w:rsidRDefault="009C3E4D" w:rsidP="002A79F0">
      <w:pPr>
        <w:pStyle w:val="Heading4"/>
      </w:pPr>
      <w:r>
        <w:t>Referenced Data Sets</w:t>
      </w:r>
    </w:p>
    <w:p w:rsidR="00945E63" w:rsidRPr="00D20F82" w:rsidRDefault="00BD604D" w:rsidP="006E22C9">
      <w:pPr>
        <w:pStyle w:val="Regulartext"/>
        <w:numPr>
          <w:ilvl w:val="0"/>
          <w:numId w:val="33"/>
        </w:numPr>
        <w:spacing w:after="200" w:line="20" w:lineRule="atLeast"/>
      </w:pPr>
      <w:hyperlink r:id="rId14" w:history="1">
        <w:r w:rsidR="00945E63" w:rsidRPr="00A15A1F">
          <w:rPr>
            <w:rStyle w:val="Hyperlink"/>
          </w:rPr>
          <w:t>The Energy Information Administration’s Manufacturing Energy Consumption Survey (MECS), 20</w:t>
        </w:r>
        <w:r w:rsidR="009B55D4" w:rsidRPr="00A15A1F">
          <w:rPr>
            <w:rStyle w:val="Hyperlink"/>
          </w:rPr>
          <w:t>0</w:t>
        </w:r>
        <w:r w:rsidR="00A15A1F" w:rsidRPr="00A15A1F">
          <w:rPr>
            <w:rStyle w:val="Hyperlink"/>
          </w:rPr>
          <w:t>6</w:t>
        </w:r>
      </w:hyperlink>
    </w:p>
    <w:p w:rsidR="00945E63" w:rsidRPr="00D20F82" w:rsidRDefault="00BD604D" w:rsidP="006E22C9">
      <w:pPr>
        <w:pStyle w:val="Regulartext"/>
        <w:numPr>
          <w:ilvl w:val="0"/>
          <w:numId w:val="33"/>
        </w:numPr>
        <w:spacing w:after="200" w:line="20" w:lineRule="atLeast"/>
      </w:pPr>
      <w:hyperlink r:id="rId15" w:history="1">
        <w:r w:rsidR="00945E63" w:rsidRPr="00EF741C">
          <w:rPr>
            <w:rStyle w:val="Hyperlink"/>
          </w:rPr>
          <w:t>The MA Executive Office of Wages and Labor Division (EOWLD)’s ES-202 – Employment and Wages Survey</w:t>
        </w:r>
      </w:hyperlink>
    </w:p>
    <w:p w:rsidR="002A79F0" w:rsidRDefault="00945E63" w:rsidP="002A79F0">
      <w:pPr>
        <w:pStyle w:val="Heading4"/>
      </w:pPr>
      <w:r w:rsidRPr="00D20F82">
        <w:t>Step-</w:t>
      </w:r>
      <w:r w:rsidR="00B136E0">
        <w:t>b</w:t>
      </w:r>
      <w:r w:rsidRPr="00D20F82">
        <w:t>y-Step</w:t>
      </w:r>
      <w:r w:rsidR="009C3E4D">
        <w:t xml:space="preserve"> Instructions</w:t>
      </w:r>
    </w:p>
    <w:p w:rsidR="002A79F0" w:rsidRDefault="00945E63" w:rsidP="002A79F0">
      <w:pPr>
        <w:pStyle w:val="Heading5"/>
        <w:numPr>
          <w:ilvl w:val="0"/>
          <w:numId w:val="62"/>
        </w:numPr>
      </w:pPr>
      <w:r w:rsidRPr="001C7447">
        <w:t xml:space="preserve">Find the total number of employees and establishments by industry type. </w:t>
      </w:r>
    </w:p>
    <w:p w:rsidR="002A79F0" w:rsidRDefault="0002611D" w:rsidP="002A79F0">
      <w:pPr>
        <w:pStyle w:val="Regulartext"/>
        <w:spacing w:before="240" w:after="200" w:line="20" w:lineRule="atLeast"/>
        <w:ind w:left="360"/>
      </w:pPr>
      <w:r w:rsidRPr="001C7447">
        <w:t>EOWLD ES-202 survey data lists the number of employees and establishments by industry, sorted by North American Industry</w:t>
      </w:r>
      <w:r w:rsidRPr="00D20F82">
        <w:t xml:space="preserve"> Classification System (NAICS) codes.</w:t>
      </w:r>
      <w:r>
        <w:t xml:space="preserve"> </w:t>
      </w:r>
      <w:r w:rsidRPr="00D20F82">
        <w:t xml:space="preserve">EIA CBECS </w:t>
      </w:r>
      <w:r>
        <w:t>analyzes</w:t>
      </w:r>
      <w:r w:rsidRPr="00D20F82">
        <w:t xml:space="preserve"> </w:t>
      </w:r>
      <w:r>
        <w:t xml:space="preserve">energy use and consumption </w:t>
      </w:r>
      <w:r w:rsidRPr="00D20F82">
        <w:t>data based on Primary Building Activity (PBA)</w:t>
      </w:r>
      <w:r>
        <w:t xml:space="preserve">. To find employee and establishment data for PBA categories, select the municipality, the most recent year and quarter, private ownership, and the NAICS code in question on the EOWLD ES-202 query page. </w:t>
      </w:r>
    </w:p>
    <w:p w:rsidR="002A79F0" w:rsidRDefault="00945E63" w:rsidP="002A79F0">
      <w:pPr>
        <w:pStyle w:val="Regulartext"/>
        <w:spacing w:after="200" w:line="20" w:lineRule="atLeast"/>
        <w:ind w:left="360"/>
      </w:pPr>
      <w:r w:rsidRPr="00D20F82">
        <w:t xml:space="preserve">This sector encompasses NAICS codes between 311 and 339. Industrial energy uses between 100 and 200 (such as power generation and utility operations) are </w:t>
      </w:r>
      <w:r w:rsidR="002A79F0" w:rsidRPr="002A79F0">
        <w:t>not</w:t>
      </w:r>
      <w:r w:rsidRPr="00D20F82">
        <w:t xml:space="preserve"> incorporated in this methodology.</w:t>
      </w:r>
    </w:p>
    <w:p w:rsidR="00C41F9D" w:rsidRDefault="00652AFB">
      <w:pPr>
        <w:pStyle w:val="Caption"/>
        <w:keepNext/>
      </w:pPr>
      <w:proofErr w:type="gramStart"/>
      <w:r>
        <w:t xml:space="preserve">Table </w:t>
      </w:r>
      <w:r w:rsidR="00BD604D">
        <w:fldChar w:fldCharType="begin"/>
      </w:r>
      <w:r>
        <w:instrText xml:space="preserve"> SEQ Table \* ARABIC </w:instrText>
      </w:r>
      <w:r w:rsidR="00BD604D">
        <w:fldChar w:fldCharType="separate"/>
      </w:r>
      <w:r w:rsidR="00AF69D6">
        <w:rPr>
          <w:noProof/>
        </w:rPr>
        <w:t>6</w:t>
      </w:r>
      <w:r w:rsidR="00BD604D">
        <w:fldChar w:fldCharType="end"/>
      </w:r>
      <w:r>
        <w:t>: Industrial NAICS codes.</w:t>
      </w:r>
      <w:proofErr w:type="gramEnd"/>
    </w:p>
    <w:tbl>
      <w:tblPr>
        <w:tblStyle w:val="ColorfulList-Accent5"/>
        <w:tblW w:w="5000" w:type="pct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420"/>
      </w:tblPr>
      <w:tblGrid>
        <w:gridCol w:w="1056"/>
        <w:gridCol w:w="3553"/>
        <w:gridCol w:w="1078"/>
        <w:gridCol w:w="4465"/>
      </w:tblGrid>
      <w:tr w:rsidR="001C7447" w:rsidRPr="001C7447" w:rsidTr="006F7832">
        <w:trPr>
          <w:cnfStyle w:val="100000000000"/>
          <w:trHeight w:val="80"/>
        </w:trPr>
        <w:tc>
          <w:tcPr>
            <w:tcW w:w="520" w:type="pct"/>
            <w:tcBorders>
              <w:bottom w:val="none" w:sz="0" w:space="0" w:color="auto"/>
            </w:tcBorders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FFFFFF"/>
                <w:sz w:val="20"/>
                <w:szCs w:val="20"/>
              </w:rPr>
            </w:pPr>
            <w:r w:rsidRPr="001C7447">
              <w:rPr>
                <w:rFonts w:cs="Tw Cen MT"/>
                <w:color w:val="FFFFFF"/>
                <w:sz w:val="20"/>
                <w:szCs w:val="20"/>
              </w:rPr>
              <w:t>NAICS_3</w:t>
            </w:r>
          </w:p>
        </w:tc>
        <w:tc>
          <w:tcPr>
            <w:tcW w:w="1750" w:type="pct"/>
            <w:tcBorders>
              <w:bottom w:val="none" w:sz="0" w:space="0" w:color="auto"/>
            </w:tcBorders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FFFFFF"/>
                <w:sz w:val="20"/>
                <w:szCs w:val="20"/>
              </w:rPr>
            </w:pPr>
            <w:r w:rsidRPr="001C7447">
              <w:rPr>
                <w:rFonts w:cs="Tw Cen MT"/>
                <w:color w:val="FFFFFF"/>
                <w:sz w:val="20"/>
                <w:szCs w:val="20"/>
              </w:rPr>
              <w:t>Industry</w:t>
            </w:r>
          </w:p>
        </w:tc>
        <w:tc>
          <w:tcPr>
            <w:tcW w:w="531" w:type="pct"/>
            <w:tcBorders>
              <w:bottom w:val="none" w:sz="0" w:space="0" w:color="auto"/>
            </w:tcBorders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FFFFFF"/>
                <w:sz w:val="20"/>
                <w:szCs w:val="20"/>
              </w:rPr>
            </w:pPr>
            <w:r w:rsidRPr="001C7447">
              <w:rPr>
                <w:rFonts w:cs="Tw Cen MT"/>
                <w:color w:val="FFFFFF"/>
                <w:sz w:val="20"/>
                <w:szCs w:val="20"/>
              </w:rPr>
              <w:t>NAICS_3</w:t>
            </w:r>
          </w:p>
        </w:tc>
        <w:tc>
          <w:tcPr>
            <w:tcW w:w="2199" w:type="pct"/>
            <w:tcBorders>
              <w:bottom w:val="none" w:sz="0" w:space="0" w:color="auto"/>
            </w:tcBorders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FFFFFF"/>
                <w:sz w:val="20"/>
                <w:szCs w:val="20"/>
              </w:rPr>
            </w:pPr>
            <w:r w:rsidRPr="001C7447">
              <w:rPr>
                <w:rFonts w:cs="Tw Cen MT"/>
                <w:color w:val="FFFFFF"/>
                <w:sz w:val="20"/>
                <w:szCs w:val="20"/>
              </w:rPr>
              <w:t>Industry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Plastics and Rubber Products</w:t>
            </w:r>
          </w:p>
        </w:tc>
      </w:tr>
      <w:tr w:rsidR="001C7447" w:rsidRPr="001C7447" w:rsidTr="006F7832">
        <w:trPr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Beverage and Tobacco Products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Nonmetallic Mineral Products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Textile Mills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Primary Metals</w:t>
            </w:r>
          </w:p>
        </w:tc>
      </w:tr>
      <w:tr w:rsidR="001C7447" w:rsidRPr="001C7447" w:rsidTr="006F7832">
        <w:trPr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Textile Product Mills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Fabricated Metal Products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Apparel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Machinery</w:t>
            </w:r>
          </w:p>
        </w:tc>
      </w:tr>
      <w:tr w:rsidR="001C7447" w:rsidRPr="001C7447" w:rsidTr="006F7832">
        <w:trPr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Leather and Allied Products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Computer and Electronic Products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Wood Products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Electrical Equip., Appliances, and Components</w:t>
            </w:r>
          </w:p>
        </w:tc>
      </w:tr>
      <w:tr w:rsidR="001C7447" w:rsidRPr="001C7447" w:rsidTr="006F7832">
        <w:trPr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Transportation Equipment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Printing and Related Support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Furniture and Related Products</w:t>
            </w:r>
          </w:p>
        </w:tc>
      </w:tr>
      <w:tr w:rsidR="001C7447" w:rsidRPr="001C7447" w:rsidTr="006F7832">
        <w:trPr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Petroleum and Coal Products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Miscellaneous</w:t>
            </w:r>
          </w:p>
        </w:tc>
      </w:tr>
      <w:tr w:rsidR="001C7447" w:rsidRPr="001C7447" w:rsidTr="006F7832">
        <w:trPr>
          <w:cnfStyle w:val="000000100000"/>
          <w:trHeight w:val="70"/>
        </w:trPr>
        <w:tc>
          <w:tcPr>
            <w:tcW w:w="52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750" w:type="pct"/>
          </w:tcPr>
          <w:p w:rsidR="001C7447" w:rsidRPr="001C7447" w:rsidRDefault="001C7447" w:rsidP="006E22C9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  <w:r w:rsidRPr="001C7447">
              <w:rPr>
                <w:rFonts w:cs="Tw Cen MT"/>
                <w:color w:val="000000"/>
                <w:sz w:val="20"/>
                <w:szCs w:val="20"/>
              </w:rPr>
              <w:t>Chemicals</w:t>
            </w:r>
          </w:p>
        </w:tc>
        <w:tc>
          <w:tcPr>
            <w:tcW w:w="531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jc w:val="center"/>
              <w:rPr>
                <w:rFonts w:cs="Tw Cen MT"/>
                <w:color w:val="000000"/>
                <w:sz w:val="20"/>
                <w:szCs w:val="20"/>
              </w:rPr>
            </w:pPr>
          </w:p>
        </w:tc>
        <w:tc>
          <w:tcPr>
            <w:tcW w:w="2199" w:type="pct"/>
          </w:tcPr>
          <w:p w:rsidR="001C7447" w:rsidRPr="001C7447" w:rsidRDefault="001C7447" w:rsidP="001C7447">
            <w:pPr>
              <w:autoSpaceDE w:val="0"/>
              <w:autoSpaceDN w:val="0"/>
              <w:adjustRightInd w:val="0"/>
              <w:spacing w:line="20" w:lineRule="atLeast"/>
              <w:rPr>
                <w:rFonts w:cs="Tw Cen MT"/>
                <w:color w:val="000000"/>
                <w:sz w:val="20"/>
                <w:szCs w:val="20"/>
              </w:rPr>
            </w:pPr>
          </w:p>
        </w:tc>
      </w:tr>
    </w:tbl>
    <w:p w:rsidR="002A79F0" w:rsidRDefault="00945E63" w:rsidP="002A79F0">
      <w:pPr>
        <w:pStyle w:val="Heading5"/>
        <w:numPr>
          <w:ilvl w:val="0"/>
          <w:numId w:val="62"/>
        </w:numPr>
      </w:pPr>
      <w:r w:rsidRPr="001C7447">
        <w:t xml:space="preserve">Determine average energy consumption by employee for each industry. </w:t>
      </w:r>
    </w:p>
    <w:p w:rsidR="00A9765F" w:rsidRDefault="00945E63">
      <w:pPr>
        <w:pStyle w:val="Regulartext"/>
        <w:spacing w:before="240" w:after="200" w:line="20" w:lineRule="atLeast"/>
        <w:ind w:left="360"/>
      </w:pPr>
      <w:r w:rsidRPr="001C7447">
        <w:t>“</w:t>
      </w:r>
      <w:r w:rsidR="00874317" w:rsidRPr="00874317">
        <w:rPr>
          <w:b/>
          <w:bCs/>
        </w:rPr>
        <w:t>Ratios of Mfg. Fuel Consumption to Economic Characteristics</w:t>
      </w:r>
      <w:r w:rsidR="00874317">
        <w:t xml:space="preserve">, </w:t>
      </w:r>
      <w:r w:rsidRPr="001C7447">
        <w:t xml:space="preserve">Table 6.1 </w:t>
      </w:r>
      <w:proofErr w:type="gramStart"/>
      <w:r w:rsidR="0021009F">
        <w:t>By</w:t>
      </w:r>
      <w:proofErr w:type="gramEnd"/>
      <w:r w:rsidR="0021009F">
        <w:t xml:space="preserve"> Mfg. Industry &amp; Region</w:t>
      </w:r>
      <w:r w:rsidRPr="001C7447">
        <w:t>” provides a reference table for total MMBTU use per employee for each industry</w:t>
      </w:r>
      <w:r w:rsidR="0021009F">
        <w:t xml:space="preserve"> in the Northeast</w:t>
      </w:r>
      <w:r w:rsidRPr="001C7447">
        <w:t xml:space="preserve">. </w:t>
      </w:r>
      <w:r w:rsidR="0021009F">
        <w:t>M</w:t>
      </w:r>
      <w:r w:rsidRPr="001C7447">
        <w:t xml:space="preserve">ultiply the number of employees in </w:t>
      </w:r>
      <w:r w:rsidR="00A44A68">
        <w:t>each</w:t>
      </w:r>
      <w:r w:rsidR="00A44A68" w:rsidRPr="001C7447">
        <w:t xml:space="preserve"> </w:t>
      </w:r>
      <w:r w:rsidRPr="001C7447">
        <w:t xml:space="preserve">industry </w:t>
      </w:r>
      <w:r w:rsidR="00A44A68">
        <w:t>by</w:t>
      </w:r>
      <w:r w:rsidR="00A44A68" w:rsidRPr="001C7447">
        <w:t xml:space="preserve"> </w:t>
      </w:r>
      <w:r w:rsidRPr="001C7447">
        <w:t xml:space="preserve">the average MMBTU use for that industry.  </w:t>
      </w:r>
    </w:p>
    <w:p w:rsidR="00A9765F" w:rsidRDefault="00A9765F">
      <w:pPr>
        <w:ind w:firstLine="360"/>
        <w:rPr>
          <w:rFonts w:ascii="Goudy Old Style" w:hAnsi="Goudy Old Style"/>
          <w:sz w:val="26"/>
          <w:szCs w:val="24"/>
        </w:rPr>
      </w:pPr>
      <w:r>
        <w:br w:type="page"/>
      </w:r>
    </w:p>
    <w:p w:rsidR="002A79F0" w:rsidRDefault="00945E63" w:rsidP="002A79F0">
      <w:pPr>
        <w:pStyle w:val="Heading5"/>
        <w:numPr>
          <w:ilvl w:val="0"/>
          <w:numId w:val="62"/>
        </w:numPr>
      </w:pPr>
      <w:r w:rsidRPr="001C7447">
        <w:lastRenderedPageBreak/>
        <w:t xml:space="preserve">Approximate </w:t>
      </w:r>
      <w:r w:rsidR="00652AFB">
        <w:t xml:space="preserve">the </w:t>
      </w:r>
      <w:r w:rsidRPr="001C7447">
        <w:t>percentage of total energy use</w:t>
      </w:r>
      <w:r w:rsidR="00E73100">
        <w:t xml:space="preserve"> for each fuel type</w:t>
      </w:r>
      <w:r w:rsidRPr="001C7447">
        <w:t>.</w:t>
      </w:r>
    </w:p>
    <w:p w:rsidR="002A79F0" w:rsidRDefault="00945E63" w:rsidP="002A79F0">
      <w:pPr>
        <w:pStyle w:val="Regulartext"/>
        <w:numPr>
          <w:ilvl w:val="0"/>
          <w:numId w:val="64"/>
        </w:numPr>
        <w:spacing w:after="200" w:line="20" w:lineRule="atLeast"/>
      </w:pPr>
      <w:r w:rsidRPr="001C7447">
        <w:t>“</w:t>
      </w:r>
      <w:r w:rsidR="00874317" w:rsidRPr="00874317">
        <w:rPr>
          <w:b/>
          <w:bCs/>
        </w:rPr>
        <w:t>Consumption of Energy for All Purposes (First Use)</w:t>
      </w:r>
      <w:r w:rsidR="00874317">
        <w:t xml:space="preserve">, </w:t>
      </w:r>
      <w:r w:rsidRPr="001C7447">
        <w:t xml:space="preserve">Table 1. </w:t>
      </w:r>
      <w:r w:rsidR="00874317" w:rsidRPr="00874317">
        <w:t>By Mfg. Industry &amp; Region (physical units)</w:t>
      </w:r>
      <w:r w:rsidRPr="001C7447">
        <w:t xml:space="preserve">” provides a total quantity of energy consumption by industry in trillion Btu. </w:t>
      </w:r>
    </w:p>
    <w:p w:rsidR="00945E63" w:rsidRPr="001C7447" w:rsidRDefault="00945E63" w:rsidP="006E22C9">
      <w:pPr>
        <w:pStyle w:val="Regulartext"/>
        <w:numPr>
          <w:ilvl w:val="0"/>
          <w:numId w:val="34"/>
        </w:numPr>
        <w:spacing w:after="200" w:line="20" w:lineRule="atLeast"/>
      </w:pPr>
      <w:r w:rsidRPr="001C7447">
        <w:t>“MECS Table 5.4 – End Uses of Fuel Consumption” provides a total quantity of energy consumption by fuel type and industry in trillion Btu.</w:t>
      </w:r>
    </w:p>
    <w:p w:rsidR="00945E63" w:rsidRPr="001C7447" w:rsidRDefault="00945E63" w:rsidP="006E22C9">
      <w:pPr>
        <w:pStyle w:val="Regulartext"/>
        <w:numPr>
          <w:ilvl w:val="0"/>
          <w:numId w:val="34"/>
        </w:numPr>
        <w:spacing w:after="200" w:line="20" w:lineRule="atLeast"/>
      </w:pPr>
      <w:r w:rsidRPr="001C7447">
        <w:t>Divide the total quantity of energy consumption by fuel type by the total quantity of energy consumption overall to obtain a percentage that can be used to approximate how much of each fuel type is used by each industry in each community.</w:t>
      </w:r>
    </w:p>
    <w:p w:rsidR="00945E63" w:rsidRPr="001C7447" w:rsidRDefault="00945E63" w:rsidP="006E22C9">
      <w:pPr>
        <w:pStyle w:val="Regulartext"/>
        <w:numPr>
          <w:ilvl w:val="0"/>
          <w:numId w:val="34"/>
        </w:numPr>
        <w:spacing w:after="200" w:line="20" w:lineRule="atLeast"/>
      </w:pPr>
      <w:r w:rsidRPr="001C7447">
        <w:t xml:space="preserve">Sum the total MMBTU overall and by fuel use for all industry types for each community to obtain total energy use information. </w:t>
      </w:r>
    </w:p>
    <w:p w:rsidR="002A79F0" w:rsidRDefault="002A79F0" w:rsidP="002A79F0">
      <w:pPr>
        <w:pStyle w:val="Regulartext"/>
        <w:spacing w:after="200" w:line="20" w:lineRule="atLeast"/>
        <w:ind w:left="360"/>
      </w:pPr>
      <w:r w:rsidRPr="002A79F0">
        <w:rPr>
          <w:b/>
        </w:rPr>
        <w:t>Note:</w:t>
      </w:r>
      <w:r w:rsidR="00FC0D35" w:rsidRPr="001C7447">
        <w:t xml:space="preserve"> </w:t>
      </w:r>
      <w:r w:rsidR="00945E63" w:rsidRPr="001C7447">
        <w:t>This methodology for the industrial sector currently accounts for energy consumption</w:t>
      </w:r>
      <w:r w:rsidR="00945E63" w:rsidRPr="00D20F82">
        <w:t xml:space="preserve"> only</w:t>
      </w:r>
      <w:r w:rsidR="00B00CDF">
        <w:t>. E</w:t>
      </w:r>
      <w:r w:rsidR="00945E63" w:rsidRPr="00D20F82">
        <w:t xml:space="preserve">xpenditures are not included. </w:t>
      </w:r>
    </w:p>
    <w:p w:rsidR="002A79F0" w:rsidRPr="002A79F0" w:rsidRDefault="002A79F0" w:rsidP="002A79F0">
      <w:pPr>
        <w:pStyle w:val="Regulartext"/>
        <w:ind w:left="360"/>
        <w:rPr>
          <w:b/>
        </w:rPr>
      </w:pPr>
      <w:r w:rsidRPr="002A79F0">
        <w:rPr>
          <w:b/>
        </w:rPr>
        <w:t>Example: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634"/>
        <w:gridCol w:w="4406"/>
        <w:gridCol w:w="2254"/>
      </w:tblGrid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406" w:type="dxa"/>
            <w:shd w:val="clear" w:color="auto" w:fill="D9D9D9" w:themeFill="background1" w:themeFillShade="D9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B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sz w:val="20"/>
                <w:szCs w:val="20"/>
              </w:rPr>
            </w:pPr>
            <w:r w:rsidRPr="001C7447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/>
                <w:color w:val="000000"/>
                <w:sz w:val="20"/>
                <w:szCs w:val="20"/>
              </w:rPr>
              <w:t>Industry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/>
                <w:color w:val="000000"/>
                <w:sz w:val="20"/>
                <w:szCs w:val="20"/>
              </w:rPr>
              <w:t>311 - Food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2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 xml:space="preserve">MMBTU/Establishment (US </w:t>
            </w:r>
            <w:proofErr w:type="spellStart"/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Avg</w:t>
            </w:r>
            <w:proofErr w:type="spellEnd"/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83,947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3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 xml:space="preserve">MMBTU/employee (Northeast) 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435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4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Total Energy Consumption (trillion)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1186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5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Total Electricity Consumption (trillion BTU)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266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6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right"/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  <w:t>% Electricity of Total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color w:val="365F91" w:themeColor="accent1" w:themeShade="BF"/>
                <w:sz w:val="20"/>
                <w:szCs w:val="20"/>
              </w:rPr>
              <w:t>22%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7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Total NG Consumption (trillion BTU)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635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8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right"/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  <w:t>% NG of Total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color w:val="365F91" w:themeColor="accent1" w:themeShade="BF"/>
                <w:sz w:val="20"/>
                <w:szCs w:val="20"/>
              </w:rPr>
              <w:t>54%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9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rPr>
                <w:rFonts w:cs="Calibri"/>
                <w:bCs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000000"/>
                <w:sz w:val="20"/>
                <w:szCs w:val="20"/>
              </w:rPr>
              <w:t>Total Fuel Oil Consumption (trillion BTU)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1C7447">
              <w:rPr>
                <w:rFonts w:cs="Calibri"/>
                <w:color w:val="000000"/>
                <w:sz w:val="20"/>
                <w:szCs w:val="20"/>
              </w:rPr>
              <w:t>42</w:t>
            </w:r>
          </w:p>
        </w:tc>
      </w:tr>
      <w:tr w:rsidR="00945E63" w:rsidRPr="001C7447" w:rsidTr="00732E64">
        <w:trPr>
          <w:jc w:val="center"/>
        </w:trPr>
        <w:tc>
          <w:tcPr>
            <w:tcW w:w="634" w:type="dxa"/>
            <w:shd w:val="clear" w:color="auto" w:fill="D9D9D9" w:themeFill="background1" w:themeFillShade="D9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bCs/>
                <w:sz w:val="20"/>
                <w:szCs w:val="20"/>
              </w:rPr>
            </w:pPr>
            <w:r w:rsidRPr="001C7447">
              <w:rPr>
                <w:rFonts w:cs="Calibri"/>
                <w:bCs/>
                <w:sz w:val="20"/>
                <w:szCs w:val="20"/>
              </w:rPr>
              <w:t>10</w:t>
            </w:r>
          </w:p>
        </w:tc>
        <w:tc>
          <w:tcPr>
            <w:tcW w:w="4406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right"/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bCs/>
                <w:color w:val="365F91" w:themeColor="accent1" w:themeShade="BF"/>
                <w:sz w:val="20"/>
                <w:szCs w:val="20"/>
              </w:rPr>
              <w:t>% Fuel Oil of Total</w:t>
            </w:r>
          </w:p>
        </w:tc>
        <w:tc>
          <w:tcPr>
            <w:tcW w:w="2254" w:type="dxa"/>
            <w:vAlign w:val="bottom"/>
          </w:tcPr>
          <w:p w:rsidR="00945E63" w:rsidRPr="001C7447" w:rsidRDefault="00945E63" w:rsidP="00732E64">
            <w:pPr>
              <w:spacing w:line="20" w:lineRule="atLeast"/>
              <w:jc w:val="center"/>
              <w:rPr>
                <w:rFonts w:cs="Calibri"/>
                <w:color w:val="365F91" w:themeColor="accent1" w:themeShade="BF"/>
                <w:sz w:val="20"/>
                <w:szCs w:val="20"/>
              </w:rPr>
            </w:pPr>
            <w:r w:rsidRPr="001C7447">
              <w:rPr>
                <w:rFonts w:cs="Calibri"/>
                <w:color w:val="365F91" w:themeColor="accent1" w:themeShade="BF"/>
                <w:sz w:val="20"/>
                <w:szCs w:val="20"/>
              </w:rPr>
              <w:t>4%</w:t>
            </w:r>
          </w:p>
        </w:tc>
      </w:tr>
    </w:tbl>
    <w:p w:rsidR="00732E64" w:rsidRDefault="00732E64" w:rsidP="006E22C9">
      <w:pPr>
        <w:spacing w:line="20" w:lineRule="atLeast"/>
        <w:ind w:firstLine="360"/>
      </w:pPr>
    </w:p>
    <w:tbl>
      <w:tblPr>
        <w:tblStyle w:val="ColorfulList-Accent5"/>
        <w:tblW w:w="0" w:type="auto"/>
        <w:jc w:val="center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458"/>
        <w:gridCol w:w="1620"/>
        <w:gridCol w:w="1620"/>
        <w:gridCol w:w="2610"/>
      </w:tblGrid>
      <w:tr w:rsidR="00732E64" w:rsidTr="000469E3">
        <w:trPr>
          <w:cnfStyle w:val="100000000000"/>
          <w:jc w:val="center"/>
        </w:trPr>
        <w:tc>
          <w:tcPr>
            <w:cnfStyle w:val="001000000000"/>
            <w:tcW w:w="1458" w:type="dxa"/>
            <w:tcBorders>
              <w:bottom w:val="none" w:sz="0" w:space="0" w:color="auto"/>
            </w:tcBorders>
          </w:tcPr>
          <w:p w:rsidR="00732E64" w:rsidRPr="00732E64" w:rsidRDefault="00732E64" w:rsidP="00732E64">
            <w:pPr>
              <w:spacing w:line="20" w:lineRule="atLeast"/>
            </w:pPr>
            <w:r w:rsidRPr="00732E64">
              <w:t>Chelsea, MA</w:t>
            </w:r>
          </w:p>
        </w:tc>
        <w:tc>
          <w:tcPr>
            <w:tcW w:w="1620" w:type="dxa"/>
            <w:tcBorders>
              <w:bottom w:val="none" w:sz="0" w:space="0" w:color="auto"/>
            </w:tcBorders>
          </w:tcPr>
          <w:p w:rsidR="00732E64" w:rsidRPr="00732E64" w:rsidRDefault="00732E64" w:rsidP="00732E64">
            <w:pPr>
              <w:spacing w:line="20" w:lineRule="atLeast"/>
              <w:cnfStyle w:val="100000000000"/>
            </w:pPr>
            <w:r w:rsidRPr="00732E64">
              <w:t># Employees</w:t>
            </w:r>
          </w:p>
        </w:tc>
        <w:tc>
          <w:tcPr>
            <w:tcW w:w="1620" w:type="dxa"/>
            <w:tcBorders>
              <w:bottom w:val="none" w:sz="0" w:space="0" w:color="auto"/>
            </w:tcBorders>
          </w:tcPr>
          <w:p w:rsidR="00732E64" w:rsidRPr="00732E64" w:rsidRDefault="00732E64" w:rsidP="00732E64">
            <w:pPr>
              <w:spacing w:line="20" w:lineRule="atLeast"/>
              <w:cnfStyle w:val="100000000000"/>
            </w:pPr>
            <w:r w:rsidRPr="00732E64">
              <w:t>Total MMBTU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:rsidR="00732E64" w:rsidRPr="00732E64" w:rsidRDefault="00732E64" w:rsidP="00732E64">
            <w:pPr>
              <w:spacing w:line="20" w:lineRule="atLeast"/>
              <w:cnfStyle w:val="100000000000"/>
            </w:pPr>
            <w:r w:rsidRPr="00732E64">
              <w:t>Electricity MMBTU</w:t>
            </w:r>
          </w:p>
        </w:tc>
      </w:tr>
      <w:tr w:rsidR="00732E64" w:rsidRPr="004C501C" w:rsidTr="000469E3">
        <w:trPr>
          <w:cnfStyle w:val="000000100000"/>
          <w:jc w:val="center"/>
        </w:trPr>
        <w:tc>
          <w:tcPr>
            <w:cnfStyle w:val="001000000000"/>
            <w:tcW w:w="1458" w:type="dxa"/>
          </w:tcPr>
          <w:p w:rsidR="00732E64" w:rsidRPr="00464755" w:rsidRDefault="00732E64" w:rsidP="00732E64">
            <w:pPr>
              <w:spacing w:line="20" w:lineRule="atLeast"/>
            </w:pPr>
            <w:r w:rsidRPr="00464755">
              <w:t>311 - Food</w:t>
            </w:r>
          </w:p>
        </w:tc>
        <w:tc>
          <w:tcPr>
            <w:tcW w:w="1620" w:type="dxa"/>
          </w:tcPr>
          <w:p w:rsidR="00732E64" w:rsidRPr="00464755" w:rsidRDefault="00732E64" w:rsidP="00732E64">
            <w:pPr>
              <w:spacing w:line="20" w:lineRule="atLeast"/>
              <w:cnfStyle w:val="000000100000"/>
              <w:rPr>
                <w:rFonts w:cs="Calibri"/>
                <w:color w:val="000000"/>
              </w:rPr>
            </w:pPr>
            <w:r w:rsidRPr="00464755">
              <w:rPr>
                <w:rFonts w:cs="Calibri"/>
                <w:color w:val="000000"/>
              </w:rPr>
              <w:t>973</w:t>
            </w:r>
          </w:p>
        </w:tc>
        <w:tc>
          <w:tcPr>
            <w:tcW w:w="1620" w:type="dxa"/>
          </w:tcPr>
          <w:p w:rsidR="00732E64" w:rsidRPr="00464755" w:rsidRDefault="00732E64" w:rsidP="00732E64">
            <w:pPr>
              <w:spacing w:line="20" w:lineRule="atLeast"/>
              <w:cnfStyle w:val="000000100000"/>
              <w:rPr>
                <w:rFonts w:cs="Calibri"/>
                <w:color w:val="4F81BD"/>
              </w:rPr>
            </w:pPr>
            <w:r w:rsidRPr="00464755">
              <w:rPr>
                <w:rFonts w:cs="Calibri"/>
                <w:color w:val="4F81BD"/>
              </w:rPr>
              <w:t>(973 x B3) = 422,768</w:t>
            </w:r>
          </w:p>
        </w:tc>
        <w:tc>
          <w:tcPr>
            <w:tcW w:w="2610" w:type="dxa"/>
          </w:tcPr>
          <w:p w:rsidR="00732E64" w:rsidRPr="00464755" w:rsidRDefault="00732E64" w:rsidP="00732E64">
            <w:pPr>
              <w:spacing w:line="20" w:lineRule="atLeast"/>
              <w:cnfStyle w:val="000000100000"/>
              <w:rPr>
                <w:color w:val="4F81BD" w:themeColor="accent1"/>
              </w:rPr>
            </w:pPr>
            <w:r w:rsidRPr="00464755">
              <w:rPr>
                <w:color w:val="4F81BD" w:themeColor="accent1"/>
              </w:rPr>
              <w:t>(422,768 x B6) = 93,008</w:t>
            </w:r>
          </w:p>
        </w:tc>
      </w:tr>
    </w:tbl>
    <w:p w:rsidR="004A78EB" w:rsidRDefault="004A78EB" w:rsidP="000469E3"/>
    <w:p w:rsidR="00652AFB" w:rsidRDefault="00652AFB" w:rsidP="00652AFB">
      <w:pPr>
        <w:pStyle w:val="Heading5"/>
        <w:numPr>
          <w:ilvl w:val="0"/>
          <w:numId w:val="62"/>
        </w:numPr>
      </w:pPr>
      <w:bookmarkStart w:id="0" w:name="_GoBack"/>
      <w:bookmarkEnd w:id="0"/>
      <w:r w:rsidRPr="00652AFB">
        <w:t xml:space="preserve"> </w:t>
      </w:r>
      <w:r>
        <w:t>Use the energy baselines as a benchmark for next steps</w:t>
      </w:r>
      <w:r w:rsidRPr="001C7447">
        <w:t>.</w:t>
      </w:r>
    </w:p>
    <w:p w:rsidR="002A79F0" w:rsidRDefault="001F26C4" w:rsidP="002A79F0">
      <w:pPr>
        <w:pStyle w:val="Regulartext"/>
        <w:ind w:left="360"/>
      </w:pPr>
      <w:r>
        <w:t xml:space="preserve">The steps outlined in this guide merely serve to provide a community with a more nuanced view of their energy profile across the residential, commercial, and industrial sectors using publicly available data sets. </w:t>
      </w:r>
      <w:r w:rsidR="00D34F32">
        <w:t>These profiles can then provide the community with any insight on concerning energy consumption trends, and can further inform consequent decisions on energy-related project work.</w:t>
      </w:r>
      <w:r>
        <w:t xml:space="preserve">  </w:t>
      </w:r>
    </w:p>
    <w:sectPr w:rsidR="002A79F0" w:rsidSect="005C76F1">
      <w:footerReference w:type="default" r:id="rId16"/>
      <w:endnotePr>
        <w:numFmt w:val="decimal"/>
      </w:endnotePr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E959A6" w15:done="0"/>
  <w15:commentEx w15:paraId="2920F898" w15:done="0"/>
  <w15:commentEx w15:paraId="70ED970A" w15:done="0"/>
  <w15:commentEx w15:paraId="65C840D5" w15:done="0"/>
  <w15:commentEx w15:paraId="4E6C224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10" w:rsidRDefault="00AB0F10" w:rsidP="005C3863">
      <w:r>
        <w:separator/>
      </w:r>
    </w:p>
  </w:endnote>
  <w:endnote w:type="continuationSeparator" w:id="0">
    <w:p w:rsidR="00AB0F10" w:rsidRDefault="00AB0F10" w:rsidP="005C3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10" w:rsidRPr="000469E3" w:rsidRDefault="00BD604D" w:rsidP="00F63DF7">
    <w:pPr>
      <w:pStyle w:val="NoSpacing"/>
      <w:rPr>
        <w:color w:val="7F7F7F" w:themeColor="background1" w:themeShade="7F"/>
      </w:rPr>
    </w:pPr>
    <w:sdt>
      <w:sdtPr>
        <w:id w:val="125395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</w:rPr>
      </w:sdtEndPr>
      <w:sdtContent>
        <w:sdt>
          <w:sdtPr>
            <w:id w:val="2031336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</w:rPr>
          </w:sdtEndPr>
          <w:sdtContent>
            <w:sdt>
              <w:sdtPr>
                <w:id w:val="5347476"/>
                <w:docPartObj>
                  <w:docPartGallery w:val="Page Numbers (Bottom of Page)"/>
                  <w:docPartUnique/>
                </w:docPartObj>
              </w:sdtPr>
              <w:sdtEndPr>
                <w:rPr>
                  <w:color w:val="7F7F7F" w:themeColor="background1" w:themeShade="7F"/>
                </w:rPr>
              </w:sdtEndPr>
              <w:sdtContent>
                <w:r>
                  <w:fldChar w:fldCharType="begin"/>
                </w:r>
                <w:r w:rsidR="00AB0F10">
                  <w:instrText xml:space="preserve"> PAGE   \* MERGEFORMAT </w:instrText>
                </w:r>
                <w:r>
                  <w:fldChar w:fldCharType="separate"/>
                </w:r>
                <w:r w:rsidR="00A25C20">
                  <w:rPr>
                    <w:noProof/>
                  </w:rPr>
                  <w:t>6</w:t>
                </w:r>
                <w:r>
                  <w:fldChar w:fldCharType="end"/>
                </w:r>
                <w:r w:rsidR="00AB0F10" w:rsidRPr="005C3863">
                  <w:t xml:space="preserve"> | </w:t>
                </w:r>
                <w:r w:rsidR="00AB0F10">
                  <w:rPr>
                    <w:color w:val="7F7F7F" w:themeColor="background1" w:themeShade="7F"/>
                  </w:rPr>
                  <w:t xml:space="preserve">Last updated July 3, 2013. For the most up-to-date information and additional resources, visit </w:t>
                </w:r>
                <w:hyperlink r:id="rId1" w:history="1">
                  <w:r w:rsidR="00AB0F10">
                    <w:rPr>
                      <w:rStyle w:val="Hyperlink"/>
                    </w:rPr>
                    <w:t>http://www.mapc.org/clean-energy</w:t>
                  </w:r>
                </w:hyperlink>
              </w:sdtContent>
            </w:sdt>
            <w:r w:rsidR="00AB0F10">
              <w:rPr>
                <w:color w:val="7F7F7F" w:themeColor="background1" w:themeShade="7F"/>
              </w:rPr>
              <w:t>.</w:t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10" w:rsidRDefault="00AB0F10" w:rsidP="005C3863">
      <w:r>
        <w:separator/>
      </w:r>
    </w:p>
  </w:footnote>
  <w:footnote w:type="continuationSeparator" w:id="0">
    <w:p w:rsidR="00AB0F10" w:rsidRDefault="00AB0F10" w:rsidP="005C38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CD6"/>
    <w:multiLevelType w:val="hybridMultilevel"/>
    <w:tmpl w:val="A02AEAEE"/>
    <w:lvl w:ilvl="0" w:tplc="484AC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B6CE0"/>
    <w:multiLevelType w:val="hybridMultilevel"/>
    <w:tmpl w:val="379849D0"/>
    <w:lvl w:ilvl="0" w:tplc="337EE4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93490"/>
    <w:multiLevelType w:val="hybridMultilevel"/>
    <w:tmpl w:val="0BDA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F5D95"/>
    <w:multiLevelType w:val="hybridMultilevel"/>
    <w:tmpl w:val="D77A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0B2F"/>
    <w:multiLevelType w:val="hybridMultilevel"/>
    <w:tmpl w:val="C04A77F8"/>
    <w:lvl w:ilvl="0" w:tplc="F9F61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E395E"/>
    <w:multiLevelType w:val="hybridMultilevel"/>
    <w:tmpl w:val="FA0A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C41E7"/>
    <w:multiLevelType w:val="hybridMultilevel"/>
    <w:tmpl w:val="200CD53C"/>
    <w:lvl w:ilvl="0" w:tplc="1EF023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5472A"/>
    <w:multiLevelType w:val="hybridMultilevel"/>
    <w:tmpl w:val="E7D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9627B"/>
    <w:multiLevelType w:val="hybridMultilevel"/>
    <w:tmpl w:val="4566B6A6"/>
    <w:lvl w:ilvl="0" w:tplc="94667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AE179E"/>
    <w:multiLevelType w:val="hybridMultilevel"/>
    <w:tmpl w:val="99D2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E1C72"/>
    <w:multiLevelType w:val="hybridMultilevel"/>
    <w:tmpl w:val="F0E0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C0AB9"/>
    <w:multiLevelType w:val="hybridMultilevel"/>
    <w:tmpl w:val="499402AE"/>
    <w:lvl w:ilvl="0" w:tplc="438E3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70E25"/>
    <w:multiLevelType w:val="hybridMultilevel"/>
    <w:tmpl w:val="A05A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A5347"/>
    <w:multiLevelType w:val="hybridMultilevel"/>
    <w:tmpl w:val="3E26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5340E"/>
    <w:multiLevelType w:val="hybridMultilevel"/>
    <w:tmpl w:val="7E3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F3636"/>
    <w:multiLevelType w:val="hybridMultilevel"/>
    <w:tmpl w:val="CC20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E2322"/>
    <w:multiLevelType w:val="hybridMultilevel"/>
    <w:tmpl w:val="FFB6775A"/>
    <w:lvl w:ilvl="0" w:tplc="20C0C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C6035D"/>
    <w:multiLevelType w:val="hybridMultilevel"/>
    <w:tmpl w:val="4F54B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504B1B"/>
    <w:multiLevelType w:val="hybridMultilevel"/>
    <w:tmpl w:val="1A8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6D636E"/>
    <w:multiLevelType w:val="hybridMultilevel"/>
    <w:tmpl w:val="87A4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CC30FF"/>
    <w:multiLevelType w:val="hybridMultilevel"/>
    <w:tmpl w:val="72AE1E76"/>
    <w:lvl w:ilvl="0" w:tplc="FC003D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20F9B"/>
    <w:multiLevelType w:val="hybridMultilevel"/>
    <w:tmpl w:val="82F45130"/>
    <w:lvl w:ilvl="0" w:tplc="0A3AB5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3111D"/>
    <w:multiLevelType w:val="hybridMultilevel"/>
    <w:tmpl w:val="5B0C73DE"/>
    <w:lvl w:ilvl="0" w:tplc="65B68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264B70"/>
    <w:multiLevelType w:val="hybridMultilevel"/>
    <w:tmpl w:val="B54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F541AB"/>
    <w:multiLevelType w:val="hybridMultilevel"/>
    <w:tmpl w:val="1A8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336D44"/>
    <w:multiLevelType w:val="hybridMultilevel"/>
    <w:tmpl w:val="3C8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80314"/>
    <w:multiLevelType w:val="hybridMultilevel"/>
    <w:tmpl w:val="A0D8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8460BD"/>
    <w:multiLevelType w:val="hybridMultilevel"/>
    <w:tmpl w:val="E2A67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B2B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62CA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01B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ED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A2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D097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06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61040E"/>
    <w:multiLevelType w:val="hybridMultilevel"/>
    <w:tmpl w:val="98E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937C48"/>
    <w:multiLevelType w:val="hybridMultilevel"/>
    <w:tmpl w:val="3774AF6E"/>
    <w:lvl w:ilvl="0" w:tplc="AB1618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E0D2B7B"/>
    <w:multiLevelType w:val="hybridMultilevel"/>
    <w:tmpl w:val="4EE89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1F4612C"/>
    <w:multiLevelType w:val="hybridMultilevel"/>
    <w:tmpl w:val="254E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B60441"/>
    <w:multiLevelType w:val="hybridMultilevel"/>
    <w:tmpl w:val="BDD64FBA"/>
    <w:lvl w:ilvl="0" w:tplc="1EF023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BD1AE8"/>
    <w:multiLevelType w:val="hybridMultilevel"/>
    <w:tmpl w:val="CC4C09B6"/>
    <w:lvl w:ilvl="0" w:tplc="DCDEE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37401DB"/>
    <w:multiLevelType w:val="hybridMultilevel"/>
    <w:tmpl w:val="BFB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52A1555"/>
    <w:multiLevelType w:val="hybridMultilevel"/>
    <w:tmpl w:val="0F18729C"/>
    <w:lvl w:ilvl="0" w:tplc="500E7B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D23EF6"/>
    <w:multiLevelType w:val="hybridMultilevel"/>
    <w:tmpl w:val="21063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752EBB"/>
    <w:multiLevelType w:val="hybridMultilevel"/>
    <w:tmpl w:val="0C1AABEE"/>
    <w:lvl w:ilvl="0" w:tplc="5A38A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A61010"/>
    <w:multiLevelType w:val="hybridMultilevel"/>
    <w:tmpl w:val="FBFA3D80"/>
    <w:lvl w:ilvl="0" w:tplc="B1F0BC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86C0EA4"/>
    <w:multiLevelType w:val="hybridMultilevel"/>
    <w:tmpl w:val="80D635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4C759B"/>
    <w:multiLevelType w:val="hybridMultilevel"/>
    <w:tmpl w:val="FEA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1517E1"/>
    <w:multiLevelType w:val="hybridMultilevel"/>
    <w:tmpl w:val="3BA4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D66795E"/>
    <w:multiLevelType w:val="hybridMultilevel"/>
    <w:tmpl w:val="484E3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D946C5C"/>
    <w:multiLevelType w:val="hybridMultilevel"/>
    <w:tmpl w:val="C320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F00039F"/>
    <w:multiLevelType w:val="hybridMultilevel"/>
    <w:tmpl w:val="1B14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F6403F6"/>
    <w:multiLevelType w:val="hybridMultilevel"/>
    <w:tmpl w:val="1EEED056"/>
    <w:lvl w:ilvl="0" w:tplc="F4A403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0E51E9E"/>
    <w:multiLevelType w:val="hybridMultilevel"/>
    <w:tmpl w:val="9DBC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12C5EA9"/>
    <w:multiLevelType w:val="hybridMultilevel"/>
    <w:tmpl w:val="8CE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84B7E5C"/>
    <w:multiLevelType w:val="hybridMultilevel"/>
    <w:tmpl w:val="D07A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A738EB"/>
    <w:multiLevelType w:val="hybridMultilevel"/>
    <w:tmpl w:val="7D24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F62014D"/>
    <w:multiLevelType w:val="hybridMultilevel"/>
    <w:tmpl w:val="7D221910"/>
    <w:lvl w:ilvl="0" w:tplc="DEA616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FBC0391"/>
    <w:multiLevelType w:val="hybridMultilevel"/>
    <w:tmpl w:val="1A8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F11A22"/>
    <w:multiLevelType w:val="hybridMultilevel"/>
    <w:tmpl w:val="6FB26E68"/>
    <w:lvl w:ilvl="0" w:tplc="6BF65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D41B72"/>
    <w:multiLevelType w:val="hybridMultilevel"/>
    <w:tmpl w:val="90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666A8A"/>
    <w:multiLevelType w:val="hybridMultilevel"/>
    <w:tmpl w:val="083A1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71065F0"/>
    <w:multiLevelType w:val="hybridMultilevel"/>
    <w:tmpl w:val="7E5E5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74F6AF6"/>
    <w:multiLevelType w:val="hybridMultilevel"/>
    <w:tmpl w:val="DD849BD6"/>
    <w:lvl w:ilvl="0" w:tplc="E0FA8E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25232"/>
    <w:multiLevelType w:val="hybridMultilevel"/>
    <w:tmpl w:val="B1302598"/>
    <w:lvl w:ilvl="0" w:tplc="901C1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9FD271A"/>
    <w:multiLevelType w:val="hybridMultilevel"/>
    <w:tmpl w:val="8AFE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CAA63DE"/>
    <w:multiLevelType w:val="hybridMultilevel"/>
    <w:tmpl w:val="8E4C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D974F7E"/>
    <w:multiLevelType w:val="hybridMultilevel"/>
    <w:tmpl w:val="45FE9F7A"/>
    <w:lvl w:ilvl="0" w:tplc="A7C00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E890F4C"/>
    <w:multiLevelType w:val="hybridMultilevel"/>
    <w:tmpl w:val="67AA57C0"/>
    <w:lvl w:ilvl="0" w:tplc="C73A9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B215D9"/>
    <w:multiLevelType w:val="hybridMultilevel"/>
    <w:tmpl w:val="C94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E84865"/>
    <w:multiLevelType w:val="hybridMultilevel"/>
    <w:tmpl w:val="10C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4"/>
  </w:num>
  <w:num w:numId="3">
    <w:abstractNumId w:val="38"/>
  </w:num>
  <w:num w:numId="4">
    <w:abstractNumId w:val="29"/>
  </w:num>
  <w:num w:numId="5">
    <w:abstractNumId w:val="57"/>
  </w:num>
  <w:num w:numId="6">
    <w:abstractNumId w:val="52"/>
  </w:num>
  <w:num w:numId="7">
    <w:abstractNumId w:val="33"/>
  </w:num>
  <w:num w:numId="8">
    <w:abstractNumId w:val="35"/>
  </w:num>
  <w:num w:numId="9">
    <w:abstractNumId w:val="1"/>
  </w:num>
  <w:num w:numId="10">
    <w:abstractNumId w:val="32"/>
  </w:num>
  <w:num w:numId="11">
    <w:abstractNumId w:val="6"/>
  </w:num>
  <w:num w:numId="12">
    <w:abstractNumId w:val="16"/>
  </w:num>
  <w:num w:numId="13">
    <w:abstractNumId w:val="50"/>
  </w:num>
  <w:num w:numId="14">
    <w:abstractNumId w:val="20"/>
  </w:num>
  <w:num w:numId="15">
    <w:abstractNumId w:val="11"/>
  </w:num>
  <w:num w:numId="16">
    <w:abstractNumId w:val="21"/>
  </w:num>
  <w:num w:numId="17">
    <w:abstractNumId w:val="45"/>
  </w:num>
  <w:num w:numId="18">
    <w:abstractNumId w:val="22"/>
  </w:num>
  <w:num w:numId="19">
    <w:abstractNumId w:val="0"/>
  </w:num>
  <w:num w:numId="20">
    <w:abstractNumId w:val="37"/>
  </w:num>
  <w:num w:numId="21">
    <w:abstractNumId w:val="60"/>
  </w:num>
  <w:num w:numId="22">
    <w:abstractNumId w:val="61"/>
  </w:num>
  <w:num w:numId="23">
    <w:abstractNumId w:val="56"/>
  </w:num>
  <w:num w:numId="24">
    <w:abstractNumId w:val="4"/>
  </w:num>
  <w:num w:numId="25">
    <w:abstractNumId w:val="8"/>
  </w:num>
  <w:num w:numId="26">
    <w:abstractNumId w:val="41"/>
  </w:num>
  <w:num w:numId="27">
    <w:abstractNumId w:val="40"/>
  </w:num>
  <w:num w:numId="28">
    <w:abstractNumId w:val="39"/>
  </w:num>
  <w:num w:numId="29">
    <w:abstractNumId w:val="17"/>
  </w:num>
  <w:num w:numId="30">
    <w:abstractNumId w:val="49"/>
  </w:num>
  <w:num w:numId="31">
    <w:abstractNumId w:val="53"/>
  </w:num>
  <w:num w:numId="32">
    <w:abstractNumId w:val="34"/>
  </w:num>
  <w:num w:numId="33">
    <w:abstractNumId w:val="62"/>
  </w:num>
  <w:num w:numId="34">
    <w:abstractNumId w:val="12"/>
  </w:num>
  <w:num w:numId="35">
    <w:abstractNumId w:val="13"/>
  </w:num>
  <w:num w:numId="36">
    <w:abstractNumId w:val="18"/>
  </w:num>
  <w:num w:numId="37">
    <w:abstractNumId w:val="14"/>
  </w:num>
  <w:num w:numId="38">
    <w:abstractNumId w:val="23"/>
  </w:num>
  <w:num w:numId="39">
    <w:abstractNumId w:val="15"/>
  </w:num>
  <w:num w:numId="40">
    <w:abstractNumId w:val="27"/>
  </w:num>
  <w:num w:numId="41">
    <w:abstractNumId w:val="3"/>
  </w:num>
  <w:num w:numId="42">
    <w:abstractNumId w:val="43"/>
  </w:num>
  <w:num w:numId="43">
    <w:abstractNumId w:val="47"/>
  </w:num>
  <w:num w:numId="44">
    <w:abstractNumId w:val="44"/>
  </w:num>
  <w:num w:numId="45">
    <w:abstractNumId w:val="46"/>
  </w:num>
  <w:num w:numId="4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  <w:num w:numId="48">
    <w:abstractNumId w:val="63"/>
  </w:num>
  <w:num w:numId="49">
    <w:abstractNumId w:val="36"/>
  </w:num>
  <w:num w:numId="50">
    <w:abstractNumId w:val="9"/>
  </w:num>
  <w:num w:numId="51">
    <w:abstractNumId w:val="2"/>
  </w:num>
  <w:num w:numId="52">
    <w:abstractNumId w:val="58"/>
  </w:num>
  <w:num w:numId="53">
    <w:abstractNumId w:val="7"/>
  </w:num>
  <w:num w:numId="54">
    <w:abstractNumId w:val="5"/>
  </w:num>
  <w:num w:numId="55">
    <w:abstractNumId w:val="25"/>
  </w:num>
  <w:num w:numId="56">
    <w:abstractNumId w:val="10"/>
  </w:num>
  <w:num w:numId="57">
    <w:abstractNumId w:val="48"/>
  </w:num>
  <w:num w:numId="58">
    <w:abstractNumId w:val="51"/>
  </w:num>
  <w:num w:numId="59">
    <w:abstractNumId w:val="31"/>
  </w:num>
  <w:num w:numId="60">
    <w:abstractNumId w:val="30"/>
  </w:num>
  <w:num w:numId="61">
    <w:abstractNumId w:val="42"/>
  </w:num>
  <w:num w:numId="62">
    <w:abstractNumId w:val="55"/>
  </w:num>
  <w:num w:numId="63">
    <w:abstractNumId w:val="19"/>
  </w:num>
  <w:num w:numId="64">
    <w:abstractNumId w:val="26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ColorfulList-Accent3"/>
  <w:drawingGridHorizontalSpacing w:val="120"/>
  <w:displayHorizontalDrawingGridEvery w:val="2"/>
  <w:characterSpacingControl w:val="doNotCompress"/>
  <w:hdrShapeDefaults>
    <o:shapedefaults v:ext="edit" spidmax="18433">
      <o:colormenu v:ext="edit" fillcolor="none [3212]" strokecolor="none [3206]" shadowcolor="none [1942]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useFELayout/>
  </w:compat>
  <w:rsids>
    <w:rsidRoot w:val="00495B6D"/>
    <w:rsid w:val="000013C1"/>
    <w:rsid w:val="000063BF"/>
    <w:rsid w:val="00011810"/>
    <w:rsid w:val="00013B51"/>
    <w:rsid w:val="0002084B"/>
    <w:rsid w:val="00021A7A"/>
    <w:rsid w:val="0002490A"/>
    <w:rsid w:val="000251A8"/>
    <w:rsid w:val="0002611D"/>
    <w:rsid w:val="0002612C"/>
    <w:rsid w:val="0003179E"/>
    <w:rsid w:val="00037CC0"/>
    <w:rsid w:val="000446D6"/>
    <w:rsid w:val="000469E3"/>
    <w:rsid w:val="00054C5B"/>
    <w:rsid w:val="00054C7B"/>
    <w:rsid w:val="000711B9"/>
    <w:rsid w:val="00072C11"/>
    <w:rsid w:val="00074384"/>
    <w:rsid w:val="00074F84"/>
    <w:rsid w:val="00075A6D"/>
    <w:rsid w:val="00084C9C"/>
    <w:rsid w:val="00085937"/>
    <w:rsid w:val="00090346"/>
    <w:rsid w:val="000A187D"/>
    <w:rsid w:val="000A6B87"/>
    <w:rsid w:val="000B0463"/>
    <w:rsid w:val="000B1C0E"/>
    <w:rsid w:val="000C1775"/>
    <w:rsid w:val="000D13D1"/>
    <w:rsid w:val="000D3EBF"/>
    <w:rsid w:val="000E40E4"/>
    <w:rsid w:val="000E5AD0"/>
    <w:rsid w:val="000E7DB8"/>
    <w:rsid w:val="000F03F3"/>
    <w:rsid w:val="000F182F"/>
    <w:rsid w:val="000F4D45"/>
    <w:rsid w:val="000F570F"/>
    <w:rsid w:val="000F6EC9"/>
    <w:rsid w:val="00106DFD"/>
    <w:rsid w:val="00112F84"/>
    <w:rsid w:val="0012054E"/>
    <w:rsid w:val="00124288"/>
    <w:rsid w:val="00132694"/>
    <w:rsid w:val="00136E08"/>
    <w:rsid w:val="001371A9"/>
    <w:rsid w:val="001402F2"/>
    <w:rsid w:val="0014119A"/>
    <w:rsid w:val="00156ECC"/>
    <w:rsid w:val="001571C0"/>
    <w:rsid w:val="00160B2F"/>
    <w:rsid w:val="00163674"/>
    <w:rsid w:val="001675EE"/>
    <w:rsid w:val="00171C28"/>
    <w:rsid w:val="001755E0"/>
    <w:rsid w:val="00175E21"/>
    <w:rsid w:val="00175FA1"/>
    <w:rsid w:val="001800C7"/>
    <w:rsid w:val="00180E04"/>
    <w:rsid w:val="00182A08"/>
    <w:rsid w:val="00183B3B"/>
    <w:rsid w:val="00195612"/>
    <w:rsid w:val="001A632B"/>
    <w:rsid w:val="001A7033"/>
    <w:rsid w:val="001B0A29"/>
    <w:rsid w:val="001B14CD"/>
    <w:rsid w:val="001B2C81"/>
    <w:rsid w:val="001C573D"/>
    <w:rsid w:val="001C7447"/>
    <w:rsid w:val="001D2C06"/>
    <w:rsid w:val="001D3203"/>
    <w:rsid w:val="001D4E9A"/>
    <w:rsid w:val="001E078A"/>
    <w:rsid w:val="001F26C4"/>
    <w:rsid w:val="00201119"/>
    <w:rsid w:val="00201AB2"/>
    <w:rsid w:val="002039B4"/>
    <w:rsid w:val="0021009F"/>
    <w:rsid w:val="00213691"/>
    <w:rsid w:val="00213D98"/>
    <w:rsid w:val="00220100"/>
    <w:rsid w:val="002205DF"/>
    <w:rsid w:val="00220FD7"/>
    <w:rsid w:val="00221403"/>
    <w:rsid w:val="00223492"/>
    <w:rsid w:val="0022446F"/>
    <w:rsid w:val="00226FE9"/>
    <w:rsid w:val="00234D83"/>
    <w:rsid w:val="00235F2C"/>
    <w:rsid w:val="002377B9"/>
    <w:rsid w:val="00250B52"/>
    <w:rsid w:val="002528D1"/>
    <w:rsid w:val="00253BBE"/>
    <w:rsid w:val="00255E4A"/>
    <w:rsid w:val="00255EBF"/>
    <w:rsid w:val="00257C6C"/>
    <w:rsid w:val="002622FB"/>
    <w:rsid w:val="00267013"/>
    <w:rsid w:val="00267795"/>
    <w:rsid w:val="00267B0F"/>
    <w:rsid w:val="0027110D"/>
    <w:rsid w:val="00283A44"/>
    <w:rsid w:val="00290EA2"/>
    <w:rsid w:val="00292C80"/>
    <w:rsid w:val="0029691D"/>
    <w:rsid w:val="002A0967"/>
    <w:rsid w:val="002A6356"/>
    <w:rsid w:val="002A79F0"/>
    <w:rsid w:val="002B01B7"/>
    <w:rsid w:val="002B097C"/>
    <w:rsid w:val="002B35C3"/>
    <w:rsid w:val="002B53E9"/>
    <w:rsid w:val="002B6526"/>
    <w:rsid w:val="002C0F7B"/>
    <w:rsid w:val="002C1782"/>
    <w:rsid w:val="002C769E"/>
    <w:rsid w:val="002C7AD0"/>
    <w:rsid w:val="002D0197"/>
    <w:rsid w:val="002D6830"/>
    <w:rsid w:val="002E0363"/>
    <w:rsid w:val="002E6038"/>
    <w:rsid w:val="002F0748"/>
    <w:rsid w:val="002F2278"/>
    <w:rsid w:val="002F5B41"/>
    <w:rsid w:val="002F633F"/>
    <w:rsid w:val="002F6F66"/>
    <w:rsid w:val="00301C07"/>
    <w:rsid w:val="00303911"/>
    <w:rsid w:val="003123FF"/>
    <w:rsid w:val="00317253"/>
    <w:rsid w:val="003211E7"/>
    <w:rsid w:val="00323DA8"/>
    <w:rsid w:val="003259B2"/>
    <w:rsid w:val="00333959"/>
    <w:rsid w:val="00334AE5"/>
    <w:rsid w:val="00335D9B"/>
    <w:rsid w:val="003372E4"/>
    <w:rsid w:val="00340AF9"/>
    <w:rsid w:val="003417DC"/>
    <w:rsid w:val="0035420F"/>
    <w:rsid w:val="00356629"/>
    <w:rsid w:val="00356D18"/>
    <w:rsid w:val="00367790"/>
    <w:rsid w:val="00371054"/>
    <w:rsid w:val="0037398E"/>
    <w:rsid w:val="00373BCB"/>
    <w:rsid w:val="00375911"/>
    <w:rsid w:val="003779C2"/>
    <w:rsid w:val="003933B7"/>
    <w:rsid w:val="003949DD"/>
    <w:rsid w:val="00396944"/>
    <w:rsid w:val="003A0B42"/>
    <w:rsid w:val="003A422C"/>
    <w:rsid w:val="003B3DD7"/>
    <w:rsid w:val="003B5A0A"/>
    <w:rsid w:val="003C4DB6"/>
    <w:rsid w:val="003C6AE7"/>
    <w:rsid w:val="003C702A"/>
    <w:rsid w:val="003D3AB7"/>
    <w:rsid w:val="003D6CF0"/>
    <w:rsid w:val="003D72A0"/>
    <w:rsid w:val="003E1E8B"/>
    <w:rsid w:val="003E3AB9"/>
    <w:rsid w:val="003F2BA4"/>
    <w:rsid w:val="003F33D3"/>
    <w:rsid w:val="003F4D02"/>
    <w:rsid w:val="003F5124"/>
    <w:rsid w:val="00401BFA"/>
    <w:rsid w:val="004024A4"/>
    <w:rsid w:val="004127EE"/>
    <w:rsid w:val="004176C0"/>
    <w:rsid w:val="00420640"/>
    <w:rsid w:val="00421756"/>
    <w:rsid w:val="00422CB0"/>
    <w:rsid w:val="00423A81"/>
    <w:rsid w:val="00424620"/>
    <w:rsid w:val="0043228B"/>
    <w:rsid w:val="00434325"/>
    <w:rsid w:val="004421C3"/>
    <w:rsid w:val="00442637"/>
    <w:rsid w:val="00443196"/>
    <w:rsid w:val="0044329D"/>
    <w:rsid w:val="00443C66"/>
    <w:rsid w:val="00444B77"/>
    <w:rsid w:val="004510EE"/>
    <w:rsid w:val="00453045"/>
    <w:rsid w:val="00456ED4"/>
    <w:rsid w:val="00464DC7"/>
    <w:rsid w:val="0046553B"/>
    <w:rsid w:val="00475842"/>
    <w:rsid w:val="00480AF5"/>
    <w:rsid w:val="00481095"/>
    <w:rsid w:val="00481D7A"/>
    <w:rsid w:val="00481FD4"/>
    <w:rsid w:val="00486D61"/>
    <w:rsid w:val="00490D47"/>
    <w:rsid w:val="00494DD4"/>
    <w:rsid w:val="00495B6D"/>
    <w:rsid w:val="0049787A"/>
    <w:rsid w:val="004A5253"/>
    <w:rsid w:val="004A78EB"/>
    <w:rsid w:val="004B5477"/>
    <w:rsid w:val="004C31EC"/>
    <w:rsid w:val="004D2893"/>
    <w:rsid w:val="004D3EE1"/>
    <w:rsid w:val="004D7741"/>
    <w:rsid w:val="004F2A77"/>
    <w:rsid w:val="004F6DE9"/>
    <w:rsid w:val="004F723B"/>
    <w:rsid w:val="00500F2D"/>
    <w:rsid w:val="00501130"/>
    <w:rsid w:val="005054FD"/>
    <w:rsid w:val="005123DC"/>
    <w:rsid w:val="0051662A"/>
    <w:rsid w:val="00517768"/>
    <w:rsid w:val="005203E6"/>
    <w:rsid w:val="00520F2F"/>
    <w:rsid w:val="0052268A"/>
    <w:rsid w:val="00523678"/>
    <w:rsid w:val="0052780F"/>
    <w:rsid w:val="00530ADA"/>
    <w:rsid w:val="00530C37"/>
    <w:rsid w:val="00531424"/>
    <w:rsid w:val="0053148F"/>
    <w:rsid w:val="0054159F"/>
    <w:rsid w:val="00542F07"/>
    <w:rsid w:val="00546FCF"/>
    <w:rsid w:val="00565B6D"/>
    <w:rsid w:val="005709FB"/>
    <w:rsid w:val="005775ED"/>
    <w:rsid w:val="005809A8"/>
    <w:rsid w:val="00582B21"/>
    <w:rsid w:val="00583F46"/>
    <w:rsid w:val="0059473D"/>
    <w:rsid w:val="00597BE2"/>
    <w:rsid w:val="005A2761"/>
    <w:rsid w:val="005A3424"/>
    <w:rsid w:val="005A3AB1"/>
    <w:rsid w:val="005A4F69"/>
    <w:rsid w:val="005B02A2"/>
    <w:rsid w:val="005B2DAB"/>
    <w:rsid w:val="005B4D8F"/>
    <w:rsid w:val="005B55E2"/>
    <w:rsid w:val="005B5704"/>
    <w:rsid w:val="005C0D22"/>
    <w:rsid w:val="005C1153"/>
    <w:rsid w:val="005C3863"/>
    <w:rsid w:val="005C54AA"/>
    <w:rsid w:val="005C76F1"/>
    <w:rsid w:val="005D0646"/>
    <w:rsid w:val="005D5DE3"/>
    <w:rsid w:val="005E0992"/>
    <w:rsid w:val="005E0C4B"/>
    <w:rsid w:val="005E1799"/>
    <w:rsid w:val="005E35DE"/>
    <w:rsid w:val="005E448B"/>
    <w:rsid w:val="005E7873"/>
    <w:rsid w:val="005F0F96"/>
    <w:rsid w:val="005F4268"/>
    <w:rsid w:val="005F52CF"/>
    <w:rsid w:val="00600121"/>
    <w:rsid w:val="00603FCF"/>
    <w:rsid w:val="006046EF"/>
    <w:rsid w:val="00604D7D"/>
    <w:rsid w:val="00610BF9"/>
    <w:rsid w:val="00616F13"/>
    <w:rsid w:val="0061786C"/>
    <w:rsid w:val="0062114A"/>
    <w:rsid w:val="00635546"/>
    <w:rsid w:val="006402C4"/>
    <w:rsid w:val="006416BA"/>
    <w:rsid w:val="00650965"/>
    <w:rsid w:val="00652AFB"/>
    <w:rsid w:val="006552AE"/>
    <w:rsid w:val="00660F1C"/>
    <w:rsid w:val="0066681D"/>
    <w:rsid w:val="00671BCC"/>
    <w:rsid w:val="006722E7"/>
    <w:rsid w:val="00674A33"/>
    <w:rsid w:val="0067684D"/>
    <w:rsid w:val="006869A0"/>
    <w:rsid w:val="00691158"/>
    <w:rsid w:val="00693825"/>
    <w:rsid w:val="00693B05"/>
    <w:rsid w:val="006A0036"/>
    <w:rsid w:val="006A30B7"/>
    <w:rsid w:val="006A4E64"/>
    <w:rsid w:val="006B576B"/>
    <w:rsid w:val="006B6B40"/>
    <w:rsid w:val="006C0141"/>
    <w:rsid w:val="006C103B"/>
    <w:rsid w:val="006D1973"/>
    <w:rsid w:val="006D2B79"/>
    <w:rsid w:val="006E1BA9"/>
    <w:rsid w:val="006E22C9"/>
    <w:rsid w:val="006E2A8B"/>
    <w:rsid w:val="006E3339"/>
    <w:rsid w:val="006E53FD"/>
    <w:rsid w:val="006F26B0"/>
    <w:rsid w:val="006F2F80"/>
    <w:rsid w:val="006F30C6"/>
    <w:rsid w:val="006F6F58"/>
    <w:rsid w:val="006F7832"/>
    <w:rsid w:val="00700F48"/>
    <w:rsid w:val="007133BF"/>
    <w:rsid w:val="00714BD4"/>
    <w:rsid w:val="00732A4A"/>
    <w:rsid w:val="00732E64"/>
    <w:rsid w:val="00734610"/>
    <w:rsid w:val="0074357A"/>
    <w:rsid w:val="007549C6"/>
    <w:rsid w:val="00762354"/>
    <w:rsid w:val="00762D63"/>
    <w:rsid w:val="0076679A"/>
    <w:rsid w:val="00771273"/>
    <w:rsid w:val="00773B4F"/>
    <w:rsid w:val="00784BF9"/>
    <w:rsid w:val="00787553"/>
    <w:rsid w:val="007914B5"/>
    <w:rsid w:val="007A17C4"/>
    <w:rsid w:val="007A3BBE"/>
    <w:rsid w:val="007A5E70"/>
    <w:rsid w:val="007A7BA2"/>
    <w:rsid w:val="007B1B9F"/>
    <w:rsid w:val="007B6F27"/>
    <w:rsid w:val="007C3A59"/>
    <w:rsid w:val="007C56D2"/>
    <w:rsid w:val="007D0735"/>
    <w:rsid w:val="007D1A27"/>
    <w:rsid w:val="007D1CB0"/>
    <w:rsid w:val="007E4C04"/>
    <w:rsid w:val="007F1134"/>
    <w:rsid w:val="007F2B36"/>
    <w:rsid w:val="008021C4"/>
    <w:rsid w:val="00802997"/>
    <w:rsid w:val="00802F41"/>
    <w:rsid w:val="00812323"/>
    <w:rsid w:val="0081549B"/>
    <w:rsid w:val="008220A8"/>
    <w:rsid w:val="0082384D"/>
    <w:rsid w:val="00825033"/>
    <w:rsid w:val="008276D9"/>
    <w:rsid w:val="0083329B"/>
    <w:rsid w:val="008402FB"/>
    <w:rsid w:val="00843050"/>
    <w:rsid w:val="00847910"/>
    <w:rsid w:val="00852289"/>
    <w:rsid w:val="00860124"/>
    <w:rsid w:val="008602AF"/>
    <w:rsid w:val="008610D0"/>
    <w:rsid w:val="00864A3D"/>
    <w:rsid w:val="0086543E"/>
    <w:rsid w:val="00867328"/>
    <w:rsid w:val="00867FC9"/>
    <w:rsid w:val="00870254"/>
    <w:rsid w:val="00870594"/>
    <w:rsid w:val="008713A6"/>
    <w:rsid w:val="00874317"/>
    <w:rsid w:val="008772ED"/>
    <w:rsid w:val="00880719"/>
    <w:rsid w:val="008857D2"/>
    <w:rsid w:val="00897044"/>
    <w:rsid w:val="008A0DAD"/>
    <w:rsid w:val="008A272A"/>
    <w:rsid w:val="008B0855"/>
    <w:rsid w:val="008B151E"/>
    <w:rsid w:val="008B5E88"/>
    <w:rsid w:val="008B7EB9"/>
    <w:rsid w:val="008C154C"/>
    <w:rsid w:val="008C2EFB"/>
    <w:rsid w:val="008C6370"/>
    <w:rsid w:val="008D59CB"/>
    <w:rsid w:val="008E02F3"/>
    <w:rsid w:val="008E07E2"/>
    <w:rsid w:val="008E378D"/>
    <w:rsid w:val="008E40CC"/>
    <w:rsid w:val="008E63FB"/>
    <w:rsid w:val="008F34E8"/>
    <w:rsid w:val="008F6F0B"/>
    <w:rsid w:val="008F70CC"/>
    <w:rsid w:val="008F721F"/>
    <w:rsid w:val="00912276"/>
    <w:rsid w:val="009126EE"/>
    <w:rsid w:val="009142AD"/>
    <w:rsid w:val="00914329"/>
    <w:rsid w:val="009143E0"/>
    <w:rsid w:val="009145C3"/>
    <w:rsid w:val="00916183"/>
    <w:rsid w:val="00930CB3"/>
    <w:rsid w:val="00932F2E"/>
    <w:rsid w:val="00934A49"/>
    <w:rsid w:val="00935770"/>
    <w:rsid w:val="00940D13"/>
    <w:rsid w:val="0094243A"/>
    <w:rsid w:val="009431CF"/>
    <w:rsid w:val="00945E63"/>
    <w:rsid w:val="009540B1"/>
    <w:rsid w:val="00954AF6"/>
    <w:rsid w:val="009568B1"/>
    <w:rsid w:val="009574C8"/>
    <w:rsid w:val="00961494"/>
    <w:rsid w:val="00964594"/>
    <w:rsid w:val="00965AAD"/>
    <w:rsid w:val="00965B79"/>
    <w:rsid w:val="00982E5F"/>
    <w:rsid w:val="00984FA5"/>
    <w:rsid w:val="00993C7D"/>
    <w:rsid w:val="0099499E"/>
    <w:rsid w:val="009A00E6"/>
    <w:rsid w:val="009A27A9"/>
    <w:rsid w:val="009A36C6"/>
    <w:rsid w:val="009A6AB8"/>
    <w:rsid w:val="009B2CA2"/>
    <w:rsid w:val="009B3013"/>
    <w:rsid w:val="009B4535"/>
    <w:rsid w:val="009B55D4"/>
    <w:rsid w:val="009C1D4C"/>
    <w:rsid w:val="009C2C9C"/>
    <w:rsid w:val="009C3AED"/>
    <w:rsid w:val="009C3E4D"/>
    <w:rsid w:val="009C580E"/>
    <w:rsid w:val="009C7258"/>
    <w:rsid w:val="009C7FB7"/>
    <w:rsid w:val="009D6981"/>
    <w:rsid w:val="009D76C8"/>
    <w:rsid w:val="009E14E3"/>
    <w:rsid w:val="009E5E98"/>
    <w:rsid w:val="009E76D1"/>
    <w:rsid w:val="009F57FA"/>
    <w:rsid w:val="00A00D68"/>
    <w:rsid w:val="00A01326"/>
    <w:rsid w:val="00A0474F"/>
    <w:rsid w:val="00A13D64"/>
    <w:rsid w:val="00A15A1F"/>
    <w:rsid w:val="00A15C40"/>
    <w:rsid w:val="00A25889"/>
    <w:rsid w:val="00A25C20"/>
    <w:rsid w:val="00A31B28"/>
    <w:rsid w:val="00A32CF5"/>
    <w:rsid w:val="00A416C4"/>
    <w:rsid w:val="00A43084"/>
    <w:rsid w:val="00A44735"/>
    <w:rsid w:val="00A44A68"/>
    <w:rsid w:val="00A44C0C"/>
    <w:rsid w:val="00A46C23"/>
    <w:rsid w:val="00A51C3C"/>
    <w:rsid w:val="00A52A94"/>
    <w:rsid w:val="00A612E7"/>
    <w:rsid w:val="00A625C3"/>
    <w:rsid w:val="00A62BC9"/>
    <w:rsid w:val="00A70FE3"/>
    <w:rsid w:val="00A71685"/>
    <w:rsid w:val="00A741DA"/>
    <w:rsid w:val="00A75ED9"/>
    <w:rsid w:val="00A76082"/>
    <w:rsid w:val="00A7656D"/>
    <w:rsid w:val="00A770E8"/>
    <w:rsid w:val="00A77807"/>
    <w:rsid w:val="00A8124F"/>
    <w:rsid w:val="00A84890"/>
    <w:rsid w:val="00A91353"/>
    <w:rsid w:val="00A94854"/>
    <w:rsid w:val="00A9765F"/>
    <w:rsid w:val="00AA302C"/>
    <w:rsid w:val="00AA3229"/>
    <w:rsid w:val="00AB0F10"/>
    <w:rsid w:val="00AB1581"/>
    <w:rsid w:val="00AB4A44"/>
    <w:rsid w:val="00AB64E1"/>
    <w:rsid w:val="00AC0E74"/>
    <w:rsid w:val="00AC3056"/>
    <w:rsid w:val="00AC4095"/>
    <w:rsid w:val="00AC53DF"/>
    <w:rsid w:val="00AD33AA"/>
    <w:rsid w:val="00AD75F3"/>
    <w:rsid w:val="00AE46A6"/>
    <w:rsid w:val="00AE698D"/>
    <w:rsid w:val="00AE718C"/>
    <w:rsid w:val="00AF0383"/>
    <w:rsid w:val="00AF4160"/>
    <w:rsid w:val="00AF4F32"/>
    <w:rsid w:val="00AF5171"/>
    <w:rsid w:val="00AF69D6"/>
    <w:rsid w:val="00B00CDF"/>
    <w:rsid w:val="00B043C2"/>
    <w:rsid w:val="00B136E0"/>
    <w:rsid w:val="00B162A2"/>
    <w:rsid w:val="00B2211C"/>
    <w:rsid w:val="00B23088"/>
    <w:rsid w:val="00B23B5F"/>
    <w:rsid w:val="00B247DB"/>
    <w:rsid w:val="00B303DA"/>
    <w:rsid w:val="00B47FB4"/>
    <w:rsid w:val="00B5174E"/>
    <w:rsid w:val="00B55C2B"/>
    <w:rsid w:val="00B55D20"/>
    <w:rsid w:val="00B60E5F"/>
    <w:rsid w:val="00B6391A"/>
    <w:rsid w:val="00B652C1"/>
    <w:rsid w:val="00B657EF"/>
    <w:rsid w:val="00B67475"/>
    <w:rsid w:val="00B72AF7"/>
    <w:rsid w:val="00B75D09"/>
    <w:rsid w:val="00B76E78"/>
    <w:rsid w:val="00B77D5A"/>
    <w:rsid w:val="00B82C90"/>
    <w:rsid w:val="00B84B6D"/>
    <w:rsid w:val="00B913FD"/>
    <w:rsid w:val="00B93C08"/>
    <w:rsid w:val="00B9799D"/>
    <w:rsid w:val="00BA0B05"/>
    <w:rsid w:val="00BA19A5"/>
    <w:rsid w:val="00BA5B45"/>
    <w:rsid w:val="00BA73F9"/>
    <w:rsid w:val="00BA78D1"/>
    <w:rsid w:val="00BB5B5D"/>
    <w:rsid w:val="00BB7DE4"/>
    <w:rsid w:val="00BD4C13"/>
    <w:rsid w:val="00BD5B3B"/>
    <w:rsid w:val="00BD604D"/>
    <w:rsid w:val="00BE0138"/>
    <w:rsid w:val="00BE049F"/>
    <w:rsid w:val="00BE081F"/>
    <w:rsid w:val="00BE145E"/>
    <w:rsid w:val="00BE168C"/>
    <w:rsid w:val="00BE4547"/>
    <w:rsid w:val="00BE628B"/>
    <w:rsid w:val="00BF1900"/>
    <w:rsid w:val="00BF5350"/>
    <w:rsid w:val="00BF758F"/>
    <w:rsid w:val="00BF75BD"/>
    <w:rsid w:val="00C01109"/>
    <w:rsid w:val="00C02C59"/>
    <w:rsid w:val="00C05F84"/>
    <w:rsid w:val="00C07743"/>
    <w:rsid w:val="00C079D1"/>
    <w:rsid w:val="00C07AFA"/>
    <w:rsid w:val="00C12E80"/>
    <w:rsid w:val="00C148A9"/>
    <w:rsid w:val="00C175B2"/>
    <w:rsid w:val="00C234BD"/>
    <w:rsid w:val="00C32CC6"/>
    <w:rsid w:val="00C3302E"/>
    <w:rsid w:val="00C345F6"/>
    <w:rsid w:val="00C34FAE"/>
    <w:rsid w:val="00C41F9D"/>
    <w:rsid w:val="00C4730C"/>
    <w:rsid w:val="00C5304E"/>
    <w:rsid w:val="00C56CD6"/>
    <w:rsid w:val="00C75E13"/>
    <w:rsid w:val="00C80DB7"/>
    <w:rsid w:val="00C80E11"/>
    <w:rsid w:val="00C8166C"/>
    <w:rsid w:val="00C82E0A"/>
    <w:rsid w:val="00C86C8D"/>
    <w:rsid w:val="00C976D3"/>
    <w:rsid w:val="00CA3FE0"/>
    <w:rsid w:val="00CA42A8"/>
    <w:rsid w:val="00CA791B"/>
    <w:rsid w:val="00CB0FD6"/>
    <w:rsid w:val="00CB6A2C"/>
    <w:rsid w:val="00CC31E6"/>
    <w:rsid w:val="00CC42A9"/>
    <w:rsid w:val="00CC48C3"/>
    <w:rsid w:val="00CC547E"/>
    <w:rsid w:val="00CC5EDF"/>
    <w:rsid w:val="00CC6003"/>
    <w:rsid w:val="00CD0B4D"/>
    <w:rsid w:val="00CD1FD9"/>
    <w:rsid w:val="00CF5C88"/>
    <w:rsid w:val="00CF740F"/>
    <w:rsid w:val="00D057A8"/>
    <w:rsid w:val="00D0719C"/>
    <w:rsid w:val="00D174E8"/>
    <w:rsid w:val="00D17B53"/>
    <w:rsid w:val="00D201E4"/>
    <w:rsid w:val="00D20F82"/>
    <w:rsid w:val="00D245CB"/>
    <w:rsid w:val="00D263F9"/>
    <w:rsid w:val="00D30EF0"/>
    <w:rsid w:val="00D34EE7"/>
    <w:rsid w:val="00D34F32"/>
    <w:rsid w:val="00D41566"/>
    <w:rsid w:val="00D42862"/>
    <w:rsid w:val="00D45718"/>
    <w:rsid w:val="00D46103"/>
    <w:rsid w:val="00D46D6E"/>
    <w:rsid w:val="00D535E3"/>
    <w:rsid w:val="00D53D59"/>
    <w:rsid w:val="00D55846"/>
    <w:rsid w:val="00D60158"/>
    <w:rsid w:val="00D609E9"/>
    <w:rsid w:val="00D63547"/>
    <w:rsid w:val="00D670B4"/>
    <w:rsid w:val="00D70E46"/>
    <w:rsid w:val="00D718EF"/>
    <w:rsid w:val="00D77DA7"/>
    <w:rsid w:val="00D8016E"/>
    <w:rsid w:val="00D807ED"/>
    <w:rsid w:val="00D831F6"/>
    <w:rsid w:val="00D86086"/>
    <w:rsid w:val="00DA2AE5"/>
    <w:rsid w:val="00DA46FB"/>
    <w:rsid w:val="00DB0EFF"/>
    <w:rsid w:val="00DB16A4"/>
    <w:rsid w:val="00DB19B8"/>
    <w:rsid w:val="00DB1FCA"/>
    <w:rsid w:val="00DD0B38"/>
    <w:rsid w:val="00DD0FDA"/>
    <w:rsid w:val="00DD1C8A"/>
    <w:rsid w:val="00DE0605"/>
    <w:rsid w:val="00DE257A"/>
    <w:rsid w:val="00DE2582"/>
    <w:rsid w:val="00DE25EB"/>
    <w:rsid w:val="00DE3DEF"/>
    <w:rsid w:val="00DE65F1"/>
    <w:rsid w:val="00DE7BDD"/>
    <w:rsid w:val="00DF2B63"/>
    <w:rsid w:val="00DF3076"/>
    <w:rsid w:val="00DF3C03"/>
    <w:rsid w:val="00DF6AE5"/>
    <w:rsid w:val="00E046E1"/>
    <w:rsid w:val="00E1010B"/>
    <w:rsid w:val="00E12380"/>
    <w:rsid w:val="00E128AE"/>
    <w:rsid w:val="00E229A3"/>
    <w:rsid w:val="00E22B75"/>
    <w:rsid w:val="00E259D9"/>
    <w:rsid w:val="00E27320"/>
    <w:rsid w:val="00E3085F"/>
    <w:rsid w:val="00E35BC6"/>
    <w:rsid w:val="00E41FF5"/>
    <w:rsid w:val="00E441DC"/>
    <w:rsid w:val="00E45EC7"/>
    <w:rsid w:val="00E51D3D"/>
    <w:rsid w:val="00E55B51"/>
    <w:rsid w:val="00E55CE1"/>
    <w:rsid w:val="00E62F8A"/>
    <w:rsid w:val="00E64282"/>
    <w:rsid w:val="00E6489B"/>
    <w:rsid w:val="00E67D36"/>
    <w:rsid w:val="00E705B7"/>
    <w:rsid w:val="00E73100"/>
    <w:rsid w:val="00E80C7F"/>
    <w:rsid w:val="00E95689"/>
    <w:rsid w:val="00E9615A"/>
    <w:rsid w:val="00EB05B8"/>
    <w:rsid w:val="00EB7684"/>
    <w:rsid w:val="00EC11A9"/>
    <w:rsid w:val="00EC1B91"/>
    <w:rsid w:val="00EC1F74"/>
    <w:rsid w:val="00EC433D"/>
    <w:rsid w:val="00EC51F9"/>
    <w:rsid w:val="00EC5210"/>
    <w:rsid w:val="00ED10F3"/>
    <w:rsid w:val="00ED49EE"/>
    <w:rsid w:val="00EE0A06"/>
    <w:rsid w:val="00EE1883"/>
    <w:rsid w:val="00EE231E"/>
    <w:rsid w:val="00EE636F"/>
    <w:rsid w:val="00EF0E5E"/>
    <w:rsid w:val="00EF2C01"/>
    <w:rsid w:val="00EF741C"/>
    <w:rsid w:val="00F007C9"/>
    <w:rsid w:val="00F0658B"/>
    <w:rsid w:val="00F07CF9"/>
    <w:rsid w:val="00F11EC7"/>
    <w:rsid w:val="00F1345B"/>
    <w:rsid w:val="00F20AC6"/>
    <w:rsid w:val="00F2350D"/>
    <w:rsid w:val="00F241C8"/>
    <w:rsid w:val="00F255F7"/>
    <w:rsid w:val="00F30EE8"/>
    <w:rsid w:val="00F33DB5"/>
    <w:rsid w:val="00F33F95"/>
    <w:rsid w:val="00F367F0"/>
    <w:rsid w:val="00F43D06"/>
    <w:rsid w:val="00F4759D"/>
    <w:rsid w:val="00F531D1"/>
    <w:rsid w:val="00F54BCC"/>
    <w:rsid w:val="00F54FC0"/>
    <w:rsid w:val="00F56E29"/>
    <w:rsid w:val="00F63442"/>
    <w:rsid w:val="00F63DF7"/>
    <w:rsid w:val="00F65132"/>
    <w:rsid w:val="00F667C2"/>
    <w:rsid w:val="00F716E1"/>
    <w:rsid w:val="00F71C95"/>
    <w:rsid w:val="00F73475"/>
    <w:rsid w:val="00F75348"/>
    <w:rsid w:val="00F77C77"/>
    <w:rsid w:val="00F80D15"/>
    <w:rsid w:val="00F815A8"/>
    <w:rsid w:val="00F868DE"/>
    <w:rsid w:val="00F917EE"/>
    <w:rsid w:val="00F92629"/>
    <w:rsid w:val="00F92F18"/>
    <w:rsid w:val="00FA138A"/>
    <w:rsid w:val="00FA412A"/>
    <w:rsid w:val="00FA472F"/>
    <w:rsid w:val="00FA784F"/>
    <w:rsid w:val="00FB25D6"/>
    <w:rsid w:val="00FB608F"/>
    <w:rsid w:val="00FB640E"/>
    <w:rsid w:val="00FB7903"/>
    <w:rsid w:val="00FC0CF4"/>
    <w:rsid w:val="00FC0D35"/>
    <w:rsid w:val="00FC0D75"/>
    <w:rsid w:val="00FD19A7"/>
    <w:rsid w:val="00FD221A"/>
    <w:rsid w:val="00FD3A67"/>
    <w:rsid w:val="00FD5671"/>
    <w:rsid w:val="00FD7ABF"/>
    <w:rsid w:val="00FE3F28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>
      <o:colormenu v:ext="edit" fillcolor="none [3212]" strokecolor="none [3206]" shadow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iPriority="72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rt"/>
    <w:qFormat/>
    <w:rsid w:val="008610D0"/>
    <w:pPr>
      <w:ind w:firstLine="0"/>
    </w:pPr>
    <w:rPr>
      <w:rFonts w:ascii="Tw Cen MT" w:hAnsi="Tw Cen MT"/>
      <w:sz w:val="24"/>
    </w:rPr>
  </w:style>
  <w:style w:type="paragraph" w:styleId="Heading1">
    <w:name w:val="heading 1"/>
    <w:aliases w:val="twn cent + blue lineTitle Heading"/>
    <w:basedOn w:val="Normal"/>
    <w:next w:val="Normal"/>
    <w:link w:val="Heading1Char"/>
    <w:uiPriority w:val="9"/>
    <w:qFormat/>
    <w:rsid w:val="006C0141"/>
    <w:pPr>
      <w:pBdr>
        <w:bottom w:val="single" w:sz="12" w:space="1" w:color="365F91" w:themeColor="accent1" w:themeShade="BF"/>
      </w:pBdr>
      <w:spacing w:before="100" w:after="100"/>
      <w:outlineLvl w:val="0"/>
    </w:pPr>
    <w:rPr>
      <w:rFonts w:ascii="Rockwell" w:hAnsi="Rockwell"/>
      <w:b/>
      <w:bCs/>
      <w:color w:val="365F91" w:themeColor="accent1" w:themeShade="BF"/>
      <w:sz w:val="56"/>
    </w:rPr>
  </w:style>
  <w:style w:type="paragraph" w:styleId="Heading2">
    <w:name w:val="heading 2"/>
    <w:basedOn w:val="Heading3"/>
    <w:next w:val="Heading3"/>
    <w:link w:val="Heading2Char"/>
    <w:uiPriority w:val="9"/>
    <w:unhideWhenUsed/>
    <w:qFormat/>
    <w:rsid w:val="00732E64"/>
    <w:pPr>
      <w:pBdr>
        <w:bottom w:val="single" w:sz="8" w:space="1" w:color="4F81BD" w:themeColor="accent1"/>
      </w:pBdr>
      <w:spacing w:before="300" w:after="200"/>
      <w:outlineLvl w:val="1"/>
    </w:pPr>
    <w:rPr>
      <w:b w:val="0"/>
    </w:rPr>
  </w:style>
  <w:style w:type="paragraph" w:styleId="Heading3">
    <w:name w:val="heading 3"/>
    <w:aliases w:val="Headings,Toolkit"/>
    <w:basedOn w:val="Normal"/>
    <w:next w:val="Normal"/>
    <w:link w:val="Heading3Char"/>
    <w:uiPriority w:val="9"/>
    <w:unhideWhenUsed/>
    <w:qFormat/>
    <w:rsid w:val="00FC0D75"/>
    <w:pPr>
      <w:pBdr>
        <w:bottom w:val="single" w:sz="8" w:space="1" w:color="365F91" w:themeColor="accent1" w:themeShade="BF"/>
      </w:pBdr>
      <w:spacing w:before="200" w:after="80"/>
      <w:outlineLvl w:val="2"/>
    </w:pPr>
    <w:rPr>
      <w:rFonts w:eastAsiaTheme="majorEastAsia" w:cstheme="majorBidi"/>
      <w:b/>
      <w:color w:val="365F91" w:themeColor="accent1" w:themeShade="BF"/>
      <w:sz w:val="36"/>
      <w:szCs w:val="24"/>
    </w:rPr>
  </w:style>
  <w:style w:type="paragraph" w:styleId="Heading4">
    <w:name w:val="heading 4"/>
    <w:aliases w:val="Toolkit Heading 1"/>
    <w:basedOn w:val="Normal"/>
    <w:next w:val="Normal"/>
    <w:link w:val="Heading4Char"/>
    <w:uiPriority w:val="9"/>
    <w:unhideWhenUsed/>
    <w:qFormat/>
    <w:rsid w:val="005E0992"/>
    <w:pPr>
      <w:spacing w:before="400" w:after="80"/>
      <w:outlineLvl w:val="3"/>
    </w:pPr>
    <w:rPr>
      <w:rFonts w:ascii="Rockwell" w:eastAsiaTheme="majorEastAsia" w:hAnsi="Rockwell" w:cstheme="majorBidi"/>
      <w:b/>
      <w:iCs/>
      <w:color w:val="365F91" w:themeColor="accent1" w:themeShade="BF"/>
      <w:sz w:val="28"/>
      <w:szCs w:val="24"/>
    </w:rPr>
  </w:style>
  <w:style w:type="paragraph" w:styleId="Heading5">
    <w:name w:val="heading 5"/>
    <w:aliases w:val="Toolkit Heading 2"/>
    <w:basedOn w:val="Normal"/>
    <w:next w:val="Normal"/>
    <w:link w:val="Heading5Char"/>
    <w:uiPriority w:val="9"/>
    <w:unhideWhenUsed/>
    <w:qFormat/>
    <w:rsid w:val="00A7656D"/>
    <w:pPr>
      <w:spacing w:before="300" w:after="8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aliases w:val="Heading,References"/>
    <w:basedOn w:val="Normal"/>
    <w:next w:val="Normal"/>
    <w:link w:val="Heading6Char"/>
    <w:uiPriority w:val="9"/>
    <w:unhideWhenUsed/>
    <w:qFormat/>
    <w:rsid w:val="00BF1900"/>
    <w:pPr>
      <w:pBdr>
        <w:top w:val="single" w:sz="4" w:space="5" w:color="365F91" w:themeColor="accent1" w:themeShade="BF"/>
      </w:pBdr>
      <w:spacing w:before="280"/>
      <w:outlineLvl w:val="5"/>
    </w:pPr>
    <w:rPr>
      <w:rFonts w:ascii="Rockwell" w:eastAsiaTheme="majorEastAsia" w:hAnsi="Rockwell" w:cstheme="majorBidi"/>
      <w:b/>
      <w:iCs/>
      <w:color w:val="365F91" w:themeColor="accent1" w:themeShade="BF"/>
      <w:sz w:val="28"/>
    </w:rPr>
  </w:style>
  <w:style w:type="paragraph" w:styleId="Heading7">
    <w:name w:val="heading 7"/>
    <w:aliases w:val="Toolkit Box"/>
    <w:basedOn w:val="Normal"/>
    <w:next w:val="Normal"/>
    <w:link w:val="Heading7Char"/>
    <w:uiPriority w:val="9"/>
    <w:unhideWhenUsed/>
    <w:qFormat/>
    <w:rsid w:val="00FB25D6"/>
    <w:pPr>
      <w:spacing w:after="200"/>
      <w:outlineLvl w:val="6"/>
    </w:pPr>
    <w:rPr>
      <w:rFonts w:ascii="Rockwell" w:eastAsiaTheme="majorEastAsia" w:hAnsi="Rockwell" w:cstheme="majorBidi"/>
      <w:bCs/>
      <w:sz w:val="22"/>
      <w:szCs w:val="20"/>
    </w:rPr>
  </w:style>
  <w:style w:type="paragraph" w:styleId="Heading8">
    <w:name w:val="heading 8"/>
    <w:aliases w:val="Subheading 2"/>
    <w:basedOn w:val="Normal"/>
    <w:next w:val="Normal"/>
    <w:link w:val="Heading8Char"/>
    <w:uiPriority w:val="9"/>
    <w:unhideWhenUsed/>
    <w:qFormat/>
    <w:rsid w:val="00FB640E"/>
    <w:pPr>
      <w:spacing w:before="100" w:after="100"/>
      <w:outlineLvl w:val="7"/>
    </w:pPr>
    <w:rPr>
      <w:b/>
      <w:bCs/>
      <w:szCs w:val="20"/>
    </w:rPr>
  </w:style>
  <w:style w:type="paragraph" w:styleId="Heading9">
    <w:name w:val="heading 9"/>
    <w:aliases w:val="Toolkit Heading 3"/>
    <w:basedOn w:val="Normal"/>
    <w:next w:val="Normal"/>
    <w:link w:val="Heading9Char"/>
    <w:uiPriority w:val="9"/>
    <w:unhideWhenUsed/>
    <w:qFormat/>
    <w:rsid w:val="00BA78D1"/>
    <w:pPr>
      <w:spacing w:before="200"/>
      <w:outlineLvl w:val="8"/>
    </w:pPr>
    <w:rPr>
      <w:rFonts w:eastAsiaTheme="majorEastAsia" w:cstheme="majorBidi"/>
      <w:b/>
      <w:i/>
      <w:iCs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C3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5A10F2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twn cent + blue lineTitle Heading Char"/>
    <w:basedOn w:val="DefaultParagraphFont"/>
    <w:link w:val="Heading1"/>
    <w:uiPriority w:val="9"/>
    <w:rsid w:val="006C0141"/>
    <w:rPr>
      <w:rFonts w:ascii="Rockwell" w:hAnsi="Rockwell"/>
      <w:b/>
      <w:bCs/>
      <w:color w:val="365F91" w:themeColor="accent1" w:themeShade="BF"/>
      <w:sz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8B1"/>
    <w:pPr>
      <w:outlineLvl w:val="9"/>
    </w:pPr>
    <w:rPr>
      <w:lang w:bidi="en-US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220FD7"/>
    <w:pPr>
      <w:spacing w:after="100"/>
      <w:ind w:left="720"/>
    </w:pPr>
    <w:rPr>
      <w:i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20FD7"/>
    <w:pPr>
      <w:spacing w:after="100"/>
    </w:pPr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220FD7"/>
    <w:pPr>
      <w:tabs>
        <w:tab w:val="right" w:leader="dot" w:pos="9926"/>
      </w:tabs>
      <w:spacing w:after="100"/>
      <w:ind w:left="720"/>
    </w:pPr>
    <w:rPr>
      <w:i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3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3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863"/>
  </w:style>
  <w:style w:type="paragraph" w:styleId="Footer">
    <w:name w:val="footer"/>
    <w:basedOn w:val="Normal"/>
    <w:link w:val="FooterChar"/>
    <w:uiPriority w:val="99"/>
    <w:unhideWhenUsed/>
    <w:rsid w:val="005C3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863"/>
  </w:style>
  <w:style w:type="paragraph" w:styleId="ListParagraph">
    <w:name w:val="List Paragraph"/>
    <w:basedOn w:val="Normal"/>
    <w:uiPriority w:val="34"/>
    <w:qFormat/>
    <w:rsid w:val="009568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3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3863"/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863"/>
    <w:rPr>
      <w:color w:val="0000FF"/>
      <w:u w:val="single"/>
    </w:rPr>
  </w:style>
  <w:style w:type="table" w:styleId="TableGrid">
    <w:name w:val="Table Grid"/>
    <w:basedOn w:val="TableNormal"/>
    <w:uiPriority w:val="59"/>
    <w:rsid w:val="005C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age"/>
    <w:basedOn w:val="Normal"/>
    <w:link w:val="NoSpacingChar"/>
    <w:uiPriority w:val="1"/>
    <w:qFormat/>
    <w:rsid w:val="00691158"/>
    <w:pPr>
      <w:pBdr>
        <w:top w:val="single" w:sz="4" w:space="1" w:color="auto"/>
      </w:pBdr>
      <w:spacing w:before="240"/>
    </w:pPr>
  </w:style>
  <w:style w:type="paragraph" w:styleId="NormalWeb">
    <w:name w:val="Normal (Web)"/>
    <w:basedOn w:val="Normal"/>
    <w:uiPriority w:val="99"/>
    <w:unhideWhenUsed/>
    <w:rsid w:val="00C4730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tyle4">
    <w:name w:val="style4"/>
    <w:basedOn w:val="Normal"/>
    <w:rsid w:val="00C4730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568B1"/>
    <w:rPr>
      <w:b/>
      <w:bCs/>
      <w:spacing w:val="0"/>
    </w:rPr>
  </w:style>
  <w:style w:type="character" w:customStyle="1" w:styleId="Heading2Char">
    <w:name w:val="Heading 2 Char"/>
    <w:basedOn w:val="DefaultParagraphFont"/>
    <w:link w:val="Heading2"/>
    <w:uiPriority w:val="9"/>
    <w:rsid w:val="00732E64"/>
    <w:rPr>
      <w:rFonts w:ascii="Tw Cen MT" w:eastAsiaTheme="majorEastAsia" w:hAnsi="Tw Cen MT" w:cstheme="majorBidi"/>
      <w:color w:val="365F91" w:themeColor="accent1" w:themeShade="BF"/>
      <w:sz w:val="36"/>
      <w:szCs w:val="24"/>
    </w:rPr>
  </w:style>
  <w:style w:type="character" w:customStyle="1" w:styleId="Heading3Char">
    <w:name w:val="Heading 3 Char"/>
    <w:aliases w:val="Headings Char,Toolkit Char"/>
    <w:basedOn w:val="DefaultParagraphFont"/>
    <w:link w:val="Heading3"/>
    <w:uiPriority w:val="9"/>
    <w:rsid w:val="00FC0D75"/>
    <w:rPr>
      <w:rFonts w:ascii="Tw Cen MT" w:eastAsiaTheme="majorEastAsia" w:hAnsi="Tw Cen MT" w:cstheme="majorBidi"/>
      <w:b/>
      <w:color w:val="365F91" w:themeColor="accent1" w:themeShade="BF"/>
      <w:sz w:val="36"/>
      <w:szCs w:val="24"/>
    </w:rPr>
  </w:style>
  <w:style w:type="character" w:customStyle="1" w:styleId="Heading4Char">
    <w:name w:val="Heading 4 Char"/>
    <w:aliases w:val="Toolkit Heading 1 Char"/>
    <w:basedOn w:val="DefaultParagraphFont"/>
    <w:link w:val="Heading4"/>
    <w:uiPriority w:val="9"/>
    <w:rsid w:val="005E0992"/>
    <w:rPr>
      <w:rFonts w:ascii="Rockwell" w:eastAsiaTheme="majorEastAsia" w:hAnsi="Rockwell" w:cstheme="majorBidi"/>
      <w:b/>
      <w:iCs/>
      <w:color w:val="365F91" w:themeColor="accent1" w:themeShade="BF"/>
      <w:sz w:val="28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57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57A"/>
    <w:rPr>
      <w:rFonts w:ascii="Tahoma" w:hAnsi="Tahoma" w:cs="Tahoma"/>
      <w:sz w:val="16"/>
      <w:szCs w:val="16"/>
    </w:rPr>
  </w:style>
  <w:style w:type="character" w:customStyle="1" w:styleId="TOC3Char">
    <w:name w:val="TOC 3 Char"/>
    <w:basedOn w:val="DefaultParagraphFont"/>
    <w:link w:val="TOC3"/>
    <w:uiPriority w:val="39"/>
    <w:rsid w:val="00220FD7"/>
    <w:rPr>
      <w:rFonts w:ascii="Tw Cen MT" w:eastAsiaTheme="minorEastAsia" w:hAnsi="Tw Cen MT"/>
      <w:i/>
      <w:sz w:val="24"/>
    </w:rPr>
  </w:style>
  <w:style w:type="character" w:customStyle="1" w:styleId="TOC1Char">
    <w:name w:val="TOC 1 Char"/>
    <w:basedOn w:val="DefaultParagraphFont"/>
    <w:link w:val="TOC1"/>
    <w:uiPriority w:val="39"/>
    <w:rsid w:val="00220FD7"/>
    <w:rPr>
      <w:rFonts w:ascii="Tw Cen MT" w:eastAsiaTheme="minorEastAsia" w:hAnsi="Tw Cen MT"/>
      <w:b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220FD7"/>
    <w:rPr>
      <w:rFonts w:ascii="Tw Cen MT" w:eastAsiaTheme="minorEastAsia" w:hAnsi="Tw Cen MT"/>
      <w:i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317253"/>
    <w:rPr>
      <w:rFonts w:ascii="Rockwell" w:eastAsiaTheme="majorEastAsia" w:hAnsi="Rockwell" w:cstheme="majorBidi"/>
      <w:b/>
      <w:iCs/>
      <w:color w:val="365F91" w:themeColor="accent1" w:themeShade="BF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317253"/>
    <w:rPr>
      <w:rFonts w:ascii="Rockwell" w:eastAsiaTheme="majorEastAsia" w:hAnsi="Rockwell" w:cstheme="majorBidi"/>
      <w:b/>
      <w:iCs/>
      <w:color w:val="365F91" w:themeColor="accent1" w:themeShade="BF"/>
      <w:sz w:val="48"/>
      <w:szCs w:val="72"/>
    </w:rPr>
  </w:style>
  <w:style w:type="character" w:customStyle="1" w:styleId="apple-converted-space">
    <w:name w:val="apple-converted-space"/>
    <w:basedOn w:val="DefaultParagraphFont"/>
    <w:rsid w:val="00916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855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855"/>
    <w:rPr>
      <w:rFonts w:ascii="Tw Cen MT" w:hAnsi="Tw Cen MT"/>
      <w:b/>
      <w:bCs/>
      <w:sz w:val="20"/>
      <w:szCs w:val="20"/>
    </w:rPr>
  </w:style>
  <w:style w:type="paragraph" w:customStyle="1" w:styleId="TwCenMTHeader1">
    <w:name w:val="Tw Cen MT Header 1"/>
    <w:basedOn w:val="Normal"/>
    <w:link w:val="TwCenMTHeader1Char"/>
    <w:qFormat/>
    <w:rsid w:val="00D60158"/>
    <w:pPr>
      <w:spacing w:before="240" w:after="240"/>
    </w:pPr>
    <w:rPr>
      <w:sz w:val="48"/>
      <w:szCs w:val="48"/>
      <w:lang w:bidi="en-US"/>
    </w:rPr>
  </w:style>
  <w:style w:type="character" w:customStyle="1" w:styleId="TwCenMTHeader1Char">
    <w:name w:val="Tw Cen MT Header 1 Char"/>
    <w:basedOn w:val="DefaultParagraphFont"/>
    <w:link w:val="TwCenMTHeader1"/>
    <w:rsid w:val="00D60158"/>
    <w:rPr>
      <w:rFonts w:ascii="Tw Cen MT" w:eastAsiaTheme="minorEastAsia" w:hAnsi="Tw Cen MT"/>
      <w:sz w:val="48"/>
      <w:szCs w:val="48"/>
      <w:lang w:bidi="en-US"/>
    </w:rPr>
  </w:style>
  <w:style w:type="character" w:styleId="FollowedHyperlink">
    <w:name w:val="FollowedHyperlink"/>
    <w:basedOn w:val="DefaultParagraphFont"/>
    <w:uiPriority w:val="99"/>
    <w:unhideWhenUsed/>
    <w:rsid w:val="00D60158"/>
    <w:rPr>
      <w:color w:val="800080" w:themeColor="followedHyperlink"/>
      <w:u w:val="single"/>
    </w:rPr>
  </w:style>
  <w:style w:type="character" w:customStyle="1" w:styleId="Heading5Char">
    <w:name w:val="Heading 5 Char"/>
    <w:aliases w:val="Toolkit Heading 2 Char"/>
    <w:basedOn w:val="DefaultParagraphFont"/>
    <w:link w:val="Heading5"/>
    <w:uiPriority w:val="9"/>
    <w:rsid w:val="00A7656D"/>
    <w:rPr>
      <w:rFonts w:ascii="Tw Cen MT" w:eastAsiaTheme="majorEastAsia" w:hAnsi="Tw Cen MT" w:cstheme="majorBidi"/>
      <w:b/>
      <w:sz w:val="28"/>
    </w:rPr>
  </w:style>
  <w:style w:type="paragraph" w:customStyle="1" w:styleId="TwCenMTHeader2">
    <w:name w:val="Tw Cen MT Header 2"/>
    <w:basedOn w:val="Normal"/>
    <w:link w:val="TwCenMTHeader2Char"/>
    <w:rsid w:val="00D60158"/>
    <w:pPr>
      <w:spacing w:before="240" w:after="240"/>
    </w:pPr>
    <w:rPr>
      <w:b/>
      <w:sz w:val="28"/>
      <w:szCs w:val="28"/>
      <w:lang w:bidi="en-US"/>
    </w:rPr>
  </w:style>
  <w:style w:type="paragraph" w:customStyle="1" w:styleId="TwCenMTHeader3">
    <w:name w:val="Tw Cen MT Header 3"/>
    <w:basedOn w:val="Normal"/>
    <w:link w:val="TwCenMTHeader3Char"/>
    <w:rsid w:val="00D60158"/>
    <w:pPr>
      <w:spacing w:before="240" w:after="240"/>
    </w:pPr>
    <w:rPr>
      <w:sz w:val="28"/>
      <w:szCs w:val="28"/>
      <w:u w:val="single"/>
      <w:lang w:bidi="en-US"/>
    </w:rPr>
  </w:style>
  <w:style w:type="character" w:customStyle="1" w:styleId="TwCenMTHeader2Char">
    <w:name w:val="Tw Cen MT Header 2 Char"/>
    <w:basedOn w:val="DefaultParagraphFont"/>
    <w:link w:val="TwCenMTHeader2"/>
    <w:rsid w:val="00D60158"/>
    <w:rPr>
      <w:rFonts w:ascii="Franklin Gothic Book" w:eastAsiaTheme="minorEastAsia" w:hAnsi="Franklin Gothic Book"/>
      <w:b/>
      <w:sz w:val="28"/>
      <w:szCs w:val="28"/>
      <w:lang w:bidi="en-US"/>
    </w:rPr>
  </w:style>
  <w:style w:type="paragraph" w:customStyle="1" w:styleId="ParagraphStyleFGB11font">
    <w:name w:val="Paragraph Style FGB 11 font"/>
    <w:basedOn w:val="Normal"/>
    <w:link w:val="ParagraphStyleFGB11fontChar"/>
    <w:rsid w:val="00D60158"/>
    <w:pPr>
      <w:spacing w:before="240" w:after="240"/>
    </w:pPr>
    <w:rPr>
      <w:lang w:bidi="en-US"/>
    </w:rPr>
  </w:style>
  <w:style w:type="character" w:customStyle="1" w:styleId="TwCenMTHeader3Char">
    <w:name w:val="Tw Cen MT Header 3 Char"/>
    <w:basedOn w:val="DefaultParagraphFont"/>
    <w:link w:val="TwCenMTHeader3"/>
    <w:rsid w:val="00D60158"/>
    <w:rPr>
      <w:rFonts w:ascii="Tw Cen MT" w:eastAsiaTheme="minorEastAsia" w:hAnsi="Tw Cen MT"/>
      <w:sz w:val="28"/>
      <w:szCs w:val="28"/>
      <w:u w:val="single"/>
      <w:lang w:bidi="en-US"/>
    </w:rPr>
  </w:style>
  <w:style w:type="paragraph" w:styleId="Subtitle">
    <w:name w:val="Subtitle"/>
    <w:aliases w:val="Reference"/>
    <w:basedOn w:val="Normal"/>
    <w:next w:val="Normal"/>
    <w:link w:val="SubtitleChar"/>
    <w:uiPriority w:val="11"/>
    <w:qFormat/>
    <w:rsid w:val="00FB25D6"/>
    <w:rPr>
      <w:iCs/>
      <w:szCs w:val="24"/>
    </w:rPr>
  </w:style>
  <w:style w:type="character" w:customStyle="1" w:styleId="SubtitleChar">
    <w:name w:val="Subtitle Char"/>
    <w:aliases w:val="Reference Char"/>
    <w:basedOn w:val="DefaultParagraphFont"/>
    <w:link w:val="Subtitle"/>
    <w:uiPriority w:val="11"/>
    <w:rsid w:val="00FB25D6"/>
    <w:rPr>
      <w:rFonts w:ascii="Tw Cen MT" w:hAnsi="Tw Cen MT"/>
      <w:iCs/>
      <w:sz w:val="24"/>
      <w:szCs w:val="24"/>
    </w:rPr>
  </w:style>
  <w:style w:type="character" w:customStyle="1" w:styleId="ParagraphStyleFGB11fontChar">
    <w:name w:val="Paragraph Style FGB 11 font Char"/>
    <w:basedOn w:val="DefaultParagraphFont"/>
    <w:link w:val="ParagraphStyleFGB11font"/>
    <w:rsid w:val="00D60158"/>
    <w:rPr>
      <w:rFonts w:ascii="Franklin Gothic Book" w:eastAsiaTheme="minorEastAsia" w:hAnsi="Franklin Gothic Book"/>
      <w:lang w:bidi="en-US"/>
    </w:rPr>
  </w:style>
  <w:style w:type="paragraph" w:customStyle="1" w:styleId="TwCenMTHeader2withcolorgreen">
    <w:name w:val="Tw Cen MT Header 2 with color green"/>
    <w:basedOn w:val="Heading2"/>
    <w:link w:val="TwCenMTHeader2withcolorgreenChar"/>
    <w:rsid w:val="00D60158"/>
    <w:pPr>
      <w:pBdr>
        <w:top w:val="single" w:sz="24" w:space="0" w:color="D1EBA7"/>
        <w:left w:val="single" w:sz="24" w:space="0" w:color="D1EBA7"/>
        <w:bottom w:val="single" w:sz="24" w:space="0" w:color="D1EBA7"/>
        <w:right w:val="single" w:sz="24" w:space="0" w:color="D1EBA7"/>
      </w:pBdr>
      <w:shd w:val="clear" w:color="auto" w:fill="D1EBA7"/>
      <w:spacing w:before="240" w:after="240"/>
    </w:pPr>
    <w:rPr>
      <w:rFonts w:eastAsiaTheme="minorEastAsia" w:cstheme="minorBidi"/>
      <w:bCs/>
      <w:smallCaps/>
      <w:sz w:val="28"/>
      <w:szCs w:val="28"/>
      <w:lang w:bidi="en-US"/>
    </w:rPr>
  </w:style>
  <w:style w:type="paragraph" w:customStyle="1" w:styleId="TwCenMTHeader1withUnderline">
    <w:name w:val="Tw Cen MT Header 1 with Underline"/>
    <w:basedOn w:val="TwCenMTHeader1"/>
    <w:link w:val="TwCenMTHeader1withUnderlineChar"/>
    <w:rsid w:val="00D60158"/>
    <w:pPr>
      <w:pBdr>
        <w:bottom w:val="single" w:sz="12" w:space="1" w:color="auto"/>
      </w:pBdr>
    </w:pPr>
  </w:style>
  <w:style w:type="character" w:customStyle="1" w:styleId="TwCenMTHeader2withcolorgreenChar">
    <w:name w:val="Tw Cen MT Header 2 with color green Char"/>
    <w:basedOn w:val="Heading2Char"/>
    <w:link w:val="TwCenMTHeader2withcolorgreen"/>
    <w:rsid w:val="00D60158"/>
    <w:rPr>
      <w:rFonts w:asciiTheme="majorHAnsi" w:eastAsiaTheme="minorEastAsia" w:hAnsiTheme="majorHAnsi" w:cstheme="majorBidi"/>
      <w:b w:val="0"/>
      <w:color w:val="365F91" w:themeColor="accent1" w:themeShade="BF"/>
      <w:sz w:val="28"/>
      <w:szCs w:val="28"/>
      <w:shd w:val="clear" w:color="auto" w:fill="D1EBA7"/>
      <w:lang w:bidi="en-US"/>
    </w:rPr>
  </w:style>
  <w:style w:type="paragraph" w:customStyle="1" w:styleId="TwCenMTHeading2withcolorblue">
    <w:name w:val="Tw Cen MT Heading 2 with color blue"/>
    <w:basedOn w:val="Heading3"/>
    <w:link w:val="TwCenMTHeading2withcolorblueChar"/>
    <w:rsid w:val="00D60158"/>
    <w:pPr>
      <w:pBdr>
        <w:bottom w:val="single" w:sz="6" w:space="0" w:color="4F81BD" w:themeColor="accent1"/>
      </w:pBdr>
      <w:shd w:val="clear" w:color="auto" w:fill="EAF1DD" w:themeFill="accent3" w:themeFillTint="33"/>
      <w:spacing w:before="300"/>
    </w:pPr>
    <w:rPr>
      <w:rFonts w:eastAsiaTheme="minorEastAsia" w:cstheme="minorBidi"/>
      <w:bCs/>
      <w:smallCaps/>
      <w:spacing w:val="10"/>
      <w:szCs w:val="28"/>
      <w:lang w:bidi="en-US"/>
    </w:rPr>
  </w:style>
  <w:style w:type="character" w:customStyle="1" w:styleId="TwCenMTHeader1withUnderlineChar">
    <w:name w:val="Tw Cen MT Header 1 with Underline Char"/>
    <w:basedOn w:val="TwCenMTHeader1Char"/>
    <w:link w:val="TwCenMTHeader1withUnderline"/>
    <w:rsid w:val="00D60158"/>
    <w:rPr>
      <w:rFonts w:ascii="Tw Cen MT" w:eastAsiaTheme="minorEastAsia" w:hAnsi="Tw Cen MT"/>
      <w:sz w:val="48"/>
      <w:szCs w:val="48"/>
      <w:lang w:bidi="en-US"/>
    </w:rPr>
  </w:style>
  <w:style w:type="character" w:customStyle="1" w:styleId="TwCenMTHeading2withcolorblueChar">
    <w:name w:val="Tw Cen MT Heading 2 with color blue Char"/>
    <w:basedOn w:val="Heading3Char"/>
    <w:link w:val="TwCenMTHeading2withcolorblue"/>
    <w:rsid w:val="00D60158"/>
    <w:rPr>
      <w:rFonts w:asciiTheme="majorHAnsi" w:eastAsiaTheme="minorEastAsia" w:hAnsiTheme="majorHAnsi" w:cstheme="majorBidi"/>
      <w:b w:val="0"/>
      <w:color w:val="365F91" w:themeColor="accent1" w:themeShade="BF"/>
      <w:spacing w:val="10"/>
      <w:sz w:val="24"/>
      <w:szCs w:val="28"/>
      <w:shd w:val="clear" w:color="auto" w:fill="EAF1DD" w:themeFill="accent3" w:themeFillTint="33"/>
      <w:lang w:bidi="en-US"/>
    </w:rPr>
  </w:style>
  <w:style w:type="character" w:styleId="FootnoteReference">
    <w:name w:val="footnote reference"/>
    <w:basedOn w:val="DefaultParagraphFont"/>
    <w:rsid w:val="00D60158"/>
    <w:rPr>
      <w:vertAlign w:val="superscript"/>
    </w:rPr>
  </w:style>
  <w:style w:type="character" w:customStyle="1" w:styleId="apple-style-span">
    <w:name w:val="apple-style-span"/>
    <w:basedOn w:val="DefaultParagraphFont"/>
    <w:rsid w:val="00D60158"/>
  </w:style>
  <w:style w:type="table" w:styleId="LightShading-Accent3">
    <w:name w:val="Light Shading Accent 3"/>
    <w:basedOn w:val="TableNormal"/>
    <w:uiPriority w:val="60"/>
    <w:rsid w:val="00D601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6Char">
    <w:name w:val="Heading 6 Char"/>
    <w:aliases w:val="Heading Char,References Char"/>
    <w:basedOn w:val="DefaultParagraphFont"/>
    <w:link w:val="Heading6"/>
    <w:uiPriority w:val="9"/>
    <w:rsid w:val="00BF1900"/>
    <w:rPr>
      <w:rFonts w:ascii="Rockwell" w:eastAsiaTheme="majorEastAsia" w:hAnsi="Rockwell" w:cstheme="majorBidi"/>
      <w:b/>
      <w:iCs/>
      <w:color w:val="365F91" w:themeColor="accent1" w:themeShade="BF"/>
      <w:sz w:val="28"/>
    </w:rPr>
  </w:style>
  <w:style w:type="character" w:customStyle="1" w:styleId="Heading7Char">
    <w:name w:val="Heading 7 Char"/>
    <w:aliases w:val="Toolkit Box Char"/>
    <w:basedOn w:val="DefaultParagraphFont"/>
    <w:link w:val="Heading7"/>
    <w:uiPriority w:val="9"/>
    <w:rsid w:val="00FB25D6"/>
    <w:rPr>
      <w:rFonts w:ascii="Rockwell" w:eastAsiaTheme="majorEastAsia" w:hAnsi="Rockwell" w:cstheme="majorBidi"/>
      <w:bCs/>
      <w:szCs w:val="20"/>
    </w:rPr>
  </w:style>
  <w:style w:type="character" w:customStyle="1" w:styleId="Heading8Char">
    <w:name w:val="Heading 8 Char"/>
    <w:aliases w:val="Subheading 2 Char"/>
    <w:basedOn w:val="DefaultParagraphFont"/>
    <w:link w:val="Heading8"/>
    <w:uiPriority w:val="9"/>
    <w:rsid w:val="00FB640E"/>
    <w:rPr>
      <w:rFonts w:ascii="Tw Cen MT" w:hAnsi="Tw Cen MT"/>
      <w:b/>
      <w:bCs/>
      <w:sz w:val="24"/>
      <w:szCs w:val="20"/>
    </w:rPr>
  </w:style>
  <w:style w:type="character" w:customStyle="1" w:styleId="Heading9Char">
    <w:name w:val="Heading 9 Char"/>
    <w:aliases w:val="Toolkit Heading 3 Char"/>
    <w:basedOn w:val="DefaultParagraphFont"/>
    <w:link w:val="Heading9"/>
    <w:uiPriority w:val="9"/>
    <w:rsid w:val="00BA78D1"/>
    <w:rPr>
      <w:rFonts w:ascii="Tw Cen MT" w:eastAsiaTheme="majorEastAsia" w:hAnsi="Tw Cen MT" w:cstheme="majorBidi"/>
      <w:b/>
      <w:i/>
      <w:iCs/>
      <w:sz w:val="26"/>
      <w:szCs w:val="2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568B1"/>
    <w:rPr>
      <w:b/>
      <w:bCs/>
      <w:sz w:val="18"/>
      <w:szCs w:val="18"/>
    </w:rPr>
  </w:style>
  <w:style w:type="character" w:styleId="Emphasis">
    <w:name w:val="Emphasis"/>
    <w:uiPriority w:val="20"/>
    <w:qFormat/>
    <w:rsid w:val="009568B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aliases w:val="Page Char"/>
    <w:basedOn w:val="DefaultParagraphFont"/>
    <w:link w:val="NoSpacing"/>
    <w:uiPriority w:val="1"/>
    <w:rsid w:val="00691158"/>
    <w:rPr>
      <w:rFonts w:ascii="Tw Cen MT" w:hAnsi="Tw Cen MT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68B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568B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B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B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568B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68B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rsid w:val="00FB25D6"/>
    <w:rPr>
      <w:rFonts w:ascii="Tw Cen MT" w:hAnsi="Tw Cen MT"/>
      <w:color w:val="auto"/>
      <w:sz w:val="24"/>
      <w:u w:val="non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568B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568B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Regulartext">
    <w:name w:val="Regular text"/>
    <w:basedOn w:val="Normal"/>
    <w:qFormat/>
    <w:rsid w:val="00A7656D"/>
    <w:pPr>
      <w:spacing w:after="100" w:line="276" w:lineRule="auto"/>
    </w:pPr>
    <w:rPr>
      <w:rFonts w:ascii="Goudy Old Style" w:hAnsi="Goudy Old Style"/>
      <w:sz w:val="26"/>
      <w:szCs w:val="24"/>
    </w:rPr>
  </w:style>
  <w:style w:type="paragraph" w:customStyle="1" w:styleId="Subheading1">
    <w:name w:val="Subheading 1"/>
    <w:aliases w:val="Twn century regular"/>
    <w:basedOn w:val="Normal"/>
    <w:next w:val="Normal"/>
    <w:qFormat/>
    <w:rsid w:val="00F33F95"/>
    <w:pPr>
      <w:spacing w:before="200" w:after="200" w:line="20" w:lineRule="atLeast"/>
    </w:pPr>
    <w:rPr>
      <w:rFonts w:eastAsiaTheme="majorEastAsia" w:cstheme="majorBidi"/>
      <w:b/>
      <w:smallCaps/>
      <w:color w:val="365F91" w:themeColor="accent1" w:themeShade="BF"/>
      <w:sz w:val="32"/>
      <w:szCs w:val="28"/>
    </w:rPr>
  </w:style>
  <w:style w:type="table" w:styleId="LightList-Accent3">
    <w:name w:val="Light List Accent 3"/>
    <w:basedOn w:val="TableNormal"/>
    <w:uiPriority w:val="61"/>
    <w:rsid w:val="007F1134"/>
    <w:pPr>
      <w:ind w:firstLine="0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fault">
    <w:name w:val="Default"/>
    <w:rsid w:val="00EC1F74"/>
    <w:pPr>
      <w:autoSpaceDE w:val="0"/>
      <w:autoSpaceDN w:val="0"/>
      <w:adjustRightInd w:val="0"/>
      <w:ind w:firstLine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rsid w:val="00FB25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B25D6"/>
    <w:rPr>
      <w:rFonts w:ascii="Tw Cen MT" w:hAnsi="Tw Cen MT"/>
      <w:sz w:val="20"/>
      <w:szCs w:val="20"/>
    </w:rPr>
  </w:style>
  <w:style w:type="character" w:styleId="EndnoteReference">
    <w:name w:val="endnote reference"/>
    <w:basedOn w:val="DefaultParagraphFont"/>
    <w:rsid w:val="00FB25D6"/>
    <w:rPr>
      <w:vertAlign w:val="superscript"/>
    </w:rPr>
  </w:style>
  <w:style w:type="table" w:styleId="ColorfulList-Accent3">
    <w:name w:val="Colorful List Accent 3"/>
    <w:basedOn w:val="TableNormal"/>
    <w:rsid w:val="002D68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Style1">
    <w:name w:val="Style1"/>
    <w:basedOn w:val="TableNormal"/>
    <w:uiPriority w:val="99"/>
    <w:qFormat/>
    <w:rsid w:val="002D6830"/>
    <w:pPr>
      <w:ind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unhideWhenUsed/>
    <w:rsid w:val="00D071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19C"/>
    <w:rPr>
      <w:rFonts w:ascii="Tw Cen MT" w:hAnsi="Tw Cen MT"/>
      <w:sz w:val="20"/>
      <w:szCs w:val="20"/>
    </w:rPr>
  </w:style>
  <w:style w:type="table" w:styleId="ColorfulList-Accent4">
    <w:name w:val="Colorful List Accent 4"/>
    <w:basedOn w:val="TableNormal"/>
    <w:rsid w:val="006C014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1">
    <w:name w:val="Colorful List Accent 1"/>
    <w:basedOn w:val="TableNormal"/>
    <w:uiPriority w:val="72"/>
    <w:rsid w:val="007133B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rsid w:val="000469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on">
    <w:name w:val="Revision"/>
    <w:hidden/>
    <w:semiHidden/>
    <w:rsid w:val="00171C28"/>
    <w:pPr>
      <w:ind w:firstLine="0"/>
    </w:pPr>
    <w:rPr>
      <w:rFonts w:ascii="Tw Cen MT" w:hAnsi="Tw Cen MT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iPriority="72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rt"/>
    <w:qFormat/>
    <w:rsid w:val="008610D0"/>
    <w:pPr>
      <w:ind w:firstLine="0"/>
    </w:pPr>
    <w:rPr>
      <w:rFonts w:ascii="Tw Cen MT" w:hAnsi="Tw Cen MT"/>
      <w:sz w:val="24"/>
    </w:rPr>
  </w:style>
  <w:style w:type="paragraph" w:styleId="Heading1">
    <w:name w:val="heading 1"/>
    <w:aliases w:val="twn cent + blue lineTitle Heading"/>
    <w:basedOn w:val="Normal"/>
    <w:next w:val="Normal"/>
    <w:link w:val="Heading1Char"/>
    <w:uiPriority w:val="9"/>
    <w:qFormat/>
    <w:rsid w:val="006C0141"/>
    <w:pPr>
      <w:pBdr>
        <w:bottom w:val="single" w:sz="12" w:space="1" w:color="365F91" w:themeColor="accent1" w:themeShade="BF"/>
      </w:pBdr>
      <w:spacing w:before="100" w:after="100"/>
      <w:outlineLvl w:val="0"/>
    </w:pPr>
    <w:rPr>
      <w:rFonts w:ascii="Rockwell" w:hAnsi="Rockwell"/>
      <w:b/>
      <w:bCs/>
      <w:color w:val="365F91" w:themeColor="accent1" w:themeShade="BF"/>
      <w:sz w:val="56"/>
    </w:rPr>
  </w:style>
  <w:style w:type="paragraph" w:styleId="Heading2">
    <w:name w:val="heading 2"/>
    <w:basedOn w:val="Heading3"/>
    <w:next w:val="Heading3"/>
    <w:link w:val="Heading2Char"/>
    <w:uiPriority w:val="9"/>
    <w:unhideWhenUsed/>
    <w:qFormat/>
    <w:rsid w:val="00732E64"/>
    <w:pPr>
      <w:pBdr>
        <w:bottom w:val="single" w:sz="8" w:space="1" w:color="4F81BD" w:themeColor="accent1"/>
      </w:pBdr>
      <w:spacing w:before="300" w:after="200"/>
      <w:outlineLvl w:val="1"/>
    </w:pPr>
    <w:rPr>
      <w:b w:val="0"/>
    </w:rPr>
  </w:style>
  <w:style w:type="paragraph" w:styleId="Heading3">
    <w:name w:val="heading 3"/>
    <w:aliases w:val="Headings,Toolkit"/>
    <w:basedOn w:val="Normal"/>
    <w:next w:val="Normal"/>
    <w:link w:val="Heading3Char"/>
    <w:uiPriority w:val="9"/>
    <w:unhideWhenUsed/>
    <w:qFormat/>
    <w:rsid w:val="00FC0D75"/>
    <w:pPr>
      <w:pBdr>
        <w:bottom w:val="single" w:sz="8" w:space="1" w:color="365F91" w:themeColor="accent1" w:themeShade="BF"/>
      </w:pBdr>
      <w:spacing w:before="200" w:after="80"/>
      <w:outlineLvl w:val="2"/>
    </w:pPr>
    <w:rPr>
      <w:rFonts w:eastAsiaTheme="majorEastAsia" w:cstheme="majorBidi"/>
      <w:b/>
      <w:color w:val="365F91" w:themeColor="accent1" w:themeShade="BF"/>
      <w:sz w:val="36"/>
      <w:szCs w:val="24"/>
    </w:rPr>
  </w:style>
  <w:style w:type="paragraph" w:styleId="Heading4">
    <w:name w:val="heading 4"/>
    <w:aliases w:val="Toolkit Heading 1"/>
    <w:basedOn w:val="Normal"/>
    <w:next w:val="Normal"/>
    <w:link w:val="Heading4Char"/>
    <w:uiPriority w:val="9"/>
    <w:unhideWhenUsed/>
    <w:qFormat/>
    <w:rsid w:val="005E0992"/>
    <w:pPr>
      <w:spacing w:before="400" w:after="80"/>
      <w:outlineLvl w:val="3"/>
    </w:pPr>
    <w:rPr>
      <w:rFonts w:ascii="Rockwell" w:eastAsiaTheme="majorEastAsia" w:hAnsi="Rockwell" w:cstheme="majorBidi"/>
      <w:b/>
      <w:iCs/>
      <w:color w:val="365F91" w:themeColor="accent1" w:themeShade="BF"/>
      <w:sz w:val="28"/>
      <w:szCs w:val="24"/>
    </w:rPr>
  </w:style>
  <w:style w:type="paragraph" w:styleId="Heading5">
    <w:name w:val="heading 5"/>
    <w:aliases w:val="Toolkit Heading 2"/>
    <w:basedOn w:val="Normal"/>
    <w:next w:val="Normal"/>
    <w:link w:val="Heading5Char"/>
    <w:uiPriority w:val="9"/>
    <w:unhideWhenUsed/>
    <w:qFormat/>
    <w:rsid w:val="00A7656D"/>
    <w:pPr>
      <w:spacing w:before="300" w:after="8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aliases w:val="Heading,References"/>
    <w:basedOn w:val="Normal"/>
    <w:next w:val="Normal"/>
    <w:link w:val="Heading6Char"/>
    <w:uiPriority w:val="9"/>
    <w:unhideWhenUsed/>
    <w:qFormat/>
    <w:rsid w:val="00BF1900"/>
    <w:pPr>
      <w:pBdr>
        <w:top w:val="single" w:sz="4" w:space="5" w:color="365F91" w:themeColor="accent1" w:themeShade="BF"/>
      </w:pBdr>
      <w:spacing w:before="280"/>
      <w:outlineLvl w:val="5"/>
    </w:pPr>
    <w:rPr>
      <w:rFonts w:ascii="Rockwell" w:eastAsiaTheme="majorEastAsia" w:hAnsi="Rockwell" w:cstheme="majorBidi"/>
      <w:b/>
      <w:iCs/>
      <w:color w:val="365F91" w:themeColor="accent1" w:themeShade="BF"/>
      <w:sz w:val="28"/>
    </w:rPr>
  </w:style>
  <w:style w:type="paragraph" w:styleId="Heading7">
    <w:name w:val="heading 7"/>
    <w:aliases w:val="Toolkit Box"/>
    <w:basedOn w:val="Normal"/>
    <w:next w:val="Normal"/>
    <w:link w:val="Heading7Char"/>
    <w:uiPriority w:val="9"/>
    <w:unhideWhenUsed/>
    <w:qFormat/>
    <w:rsid w:val="00FB25D6"/>
    <w:pPr>
      <w:spacing w:after="200"/>
      <w:outlineLvl w:val="6"/>
    </w:pPr>
    <w:rPr>
      <w:rFonts w:ascii="Rockwell" w:eastAsiaTheme="majorEastAsia" w:hAnsi="Rockwell" w:cstheme="majorBidi"/>
      <w:bCs/>
      <w:sz w:val="22"/>
      <w:szCs w:val="20"/>
    </w:rPr>
  </w:style>
  <w:style w:type="paragraph" w:styleId="Heading8">
    <w:name w:val="heading 8"/>
    <w:aliases w:val="Subheading 2"/>
    <w:basedOn w:val="Normal"/>
    <w:next w:val="Normal"/>
    <w:link w:val="Heading8Char"/>
    <w:uiPriority w:val="9"/>
    <w:unhideWhenUsed/>
    <w:qFormat/>
    <w:rsid w:val="00FB640E"/>
    <w:pPr>
      <w:spacing w:before="100" w:after="100"/>
      <w:outlineLvl w:val="7"/>
    </w:pPr>
    <w:rPr>
      <w:b/>
      <w:bCs/>
      <w:szCs w:val="20"/>
    </w:rPr>
  </w:style>
  <w:style w:type="paragraph" w:styleId="Heading9">
    <w:name w:val="heading 9"/>
    <w:aliases w:val="Toolkit Heading 3"/>
    <w:basedOn w:val="Normal"/>
    <w:next w:val="Normal"/>
    <w:link w:val="Heading9Char"/>
    <w:uiPriority w:val="9"/>
    <w:unhideWhenUsed/>
    <w:qFormat/>
    <w:rsid w:val="00BA78D1"/>
    <w:pPr>
      <w:spacing w:before="200"/>
      <w:outlineLvl w:val="8"/>
    </w:pPr>
    <w:rPr>
      <w:rFonts w:eastAsiaTheme="majorEastAsia" w:cstheme="majorBidi"/>
      <w:b/>
      <w:i/>
      <w:iCs/>
      <w:sz w:val="26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C3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5A10F2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twn cent + blue lineTitle Heading Char"/>
    <w:basedOn w:val="DefaultParagraphFont"/>
    <w:link w:val="Heading1"/>
    <w:uiPriority w:val="9"/>
    <w:rsid w:val="006C0141"/>
    <w:rPr>
      <w:rFonts w:ascii="Rockwell" w:hAnsi="Rockwell"/>
      <w:b/>
      <w:bCs/>
      <w:color w:val="365F91" w:themeColor="accent1" w:themeShade="BF"/>
      <w:sz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8B1"/>
    <w:pPr>
      <w:outlineLvl w:val="9"/>
    </w:pPr>
    <w:rPr>
      <w:lang w:bidi="en-US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220FD7"/>
    <w:pPr>
      <w:spacing w:after="100"/>
      <w:ind w:left="720"/>
    </w:pPr>
    <w:rPr>
      <w:i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20FD7"/>
    <w:pPr>
      <w:spacing w:after="100"/>
    </w:pPr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220FD7"/>
    <w:pPr>
      <w:tabs>
        <w:tab w:val="right" w:leader="dot" w:pos="9926"/>
      </w:tabs>
      <w:spacing w:after="100"/>
      <w:ind w:left="720"/>
    </w:pPr>
    <w:rPr>
      <w:i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3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3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863"/>
  </w:style>
  <w:style w:type="paragraph" w:styleId="Footer">
    <w:name w:val="footer"/>
    <w:basedOn w:val="Normal"/>
    <w:link w:val="FooterChar"/>
    <w:uiPriority w:val="99"/>
    <w:unhideWhenUsed/>
    <w:rsid w:val="005C3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863"/>
  </w:style>
  <w:style w:type="paragraph" w:styleId="ListParagraph">
    <w:name w:val="List Paragraph"/>
    <w:basedOn w:val="Normal"/>
    <w:uiPriority w:val="34"/>
    <w:qFormat/>
    <w:rsid w:val="009568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3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3863"/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863"/>
    <w:rPr>
      <w:color w:val="0000FF"/>
      <w:u w:val="single"/>
    </w:rPr>
  </w:style>
  <w:style w:type="table" w:styleId="TableGrid">
    <w:name w:val="Table Grid"/>
    <w:basedOn w:val="TableNormal"/>
    <w:uiPriority w:val="59"/>
    <w:rsid w:val="005C3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age"/>
    <w:basedOn w:val="Normal"/>
    <w:link w:val="NoSpacingChar"/>
    <w:uiPriority w:val="1"/>
    <w:qFormat/>
    <w:rsid w:val="00691158"/>
    <w:pPr>
      <w:pBdr>
        <w:top w:val="single" w:sz="4" w:space="1" w:color="auto"/>
      </w:pBdr>
      <w:spacing w:before="240"/>
    </w:pPr>
  </w:style>
  <w:style w:type="paragraph" w:styleId="NormalWeb">
    <w:name w:val="Normal (Web)"/>
    <w:basedOn w:val="Normal"/>
    <w:uiPriority w:val="99"/>
    <w:unhideWhenUsed/>
    <w:rsid w:val="00C4730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tyle4">
    <w:name w:val="style4"/>
    <w:basedOn w:val="Normal"/>
    <w:rsid w:val="00C4730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568B1"/>
    <w:rPr>
      <w:b/>
      <w:bCs/>
      <w:spacing w:val="0"/>
    </w:rPr>
  </w:style>
  <w:style w:type="character" w:customStyle="1" w:styleId="Heading2Char">
    <w:name w:val="Heading 2 Char"/>
    <w:basedOn w:val="DefaultParagraphFont"/>
    <w:link w:val="Heading2"/>
    <w:uiPriority w:val="9"/>
    <w:rsid w:val="00732E64"/>
    <w:rPr>
      <w:rFonts w:ascii="Tw Cen MT" w:eastAsiaTheme="majorEastAsia" w:hAnsi="Tw Cen MT" w:cstheme="majorBidi"/>
      <w:color w:val="365F91" w:themeColor="accent1" w:themeShade="BF"/>
      <w:sz w:val="36"/>
      <w:szCs w:val="24"/>
    </w:rPr>
  </w:style>
  <w:style w:type="character" w:customStyle="1" w:styleId="Heading3Char">
    <w:name w:val="Heading 3 Char"/>
    <w:aliases w:val="Headings Char,Toolkit Char"/>
    <w:basedOn w:val="DefaultParagraphFont"/>
    <w:link w:val="Heading3"/>
    <w:uiPriority w:val="9"/>
    <w:rsid w:val="00FC0D75"/>
    <w:rPr>
      <w:rFonts w:ascii="Tw Cen MT" w:eastAsiaTheme="majorEastAsia" w:hAnsi="Tw Cen MT" w:cstheme="majorBidi"/>
      <w:b/>
      <w:color w:val="365F91" w:themeColor="accent1" w:themeShade="BF"/>
      <w:sz w:val="36"/>
      <w:szCs w:val="24"/>
    </w:rPr>
  </w:style>
  <w:style w:type="character" w:customStyle="1" w:styleId="Heading4Char">
    <w:name w:val="Heading 4 Char"/>
    <w:aliases w:val="Toolkit Heading 1 Char"/>
    <w:basedOn w:val="DefaultParagraphFont"/>
    <w:link w:val="Heading4"/>
    <w:uiPriority w:val="9"/>
    <w:rsid w:val="005E0992"/>
    <w:rPr>
      <w:rFonts w:ascii="Rockwell" w:eastAsiaTheme="majorEastAsia" w:hAnsi="Rockwell" w:cstheme="majorBidi"/>
      <w:b/>
      <w:iCs/>
      <w:color w:val="365F91" w:themeColor="accent1" w:themeShade="BF"/>
      <w:sz w:val="28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57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57A"/>
    <w:rPr>
      <w:rFonts w:ascii="Tahoma" w:hAnsi="Tahoma" w:cs="Tahoma"/>
      <w:sz w:val="16"/>
      <w:szCs w:val="16"/>
    </w:rPr>
  </w:style>
  <w:style w:type="character" w:customStyle="1" w:styleId="TOC3Char">
    <w:name w:val="TOC 3 Char"/>
    <w:basedOn w:val="DefaultParagraphFont"/>
    <w:link w:val="TOC3"/>
    <w:uiPriority w:val="39"/>
    <w:rsid w:val="00220FD7"/>
    <w:rPr>
      <w:rFonts w:ascii="Tw Cen MT" w:eastAsiaTheme="minorEastAsia" w:hAnsi="Tw Cen MT"/>
      <w:i/>
      <w:sz w:val="24"/>
    </w:rPr>
  </w:style>
  <w:style w:type="character" w:customStyle="1" w:styleId="TOC1Char">
    <w:name w:val="TOC 1 Char"/>
    <w:basedOn w:val="DefaultParagraphFont"/>
    <w:link w:val="TOC1"/>
    <w:uiPriority w:val="39"/>
    <w:rsid w:val="00220FD7"/>
    <w:rPr>
      <w:rFonts w:ascii="Tw Cen MT" w:eastAsiaTheme="minorEastAsia" w:hAnsi="Tw Cen MT"/>
      <w:b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220FD7"/>
    <w:rPr>
      <w:rFonts w:ascii="Tw Cen MT" w:eastAsiaTheme="minorEastAsia" w:hAnsi="Tw Cen MT"/>
      <w:i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317253"/>
    <w:rPr>
      <w:rFonts w:ascii="Rockwell" w:eastAsiaTheme="majorEastAsia" w:hAnsi="Rockwell" w:cstheme="majorBidi"/>
      <w:b/>
      <w:iCs/>
      <w:color w:val="365F91" w:themeColor="accent1" w:themeShade="BF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317253"/>
    <w:rPr>
      <w:rFonts w:ascii="Rockwell" w:eastAsiaTheme="majorEastAsia" w:hAnsi="Rockwell" w:cstheme="majorBidi"/>
      <w:b/>
      <w:iCs/>
      <w:color w:val="365F91" w:themeColor="accent1" w:themeShade="BF"/>
      <w:sz w:val="48"/>
      <w:szCs w:val="72"/>
    </w:rPr>
  </w:style>
  <w:style w:type="character" w:customStyle="1" w:styleId="apple-converted-space">
    <w:name w:val="apple-converted-space"/>
    <w:basedOn w:val="DefaultParagraphFont"/>
    <w:rsid w:val="00916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855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855"/>
    <w:rPr>
      <w:rFonts w:ascii="Tw Cen MT" w:hAnsi="Tw Cen MT"/>
      <w:b/>
      <w:bCs/>
      <w:sz w:val="20"/>
      <w:szCs w:val="20"/>
    </w:rPr>
  </w:style>
  <w:style w:type="paragraph" w:customStyle="1" w:styleId="TwCenMTHeader1">
    <w:name w:val="Tw Cen MT Header 1"/>
    <w:basedOn w:val="Normal"/>
    <w:link w:val="TwCenMTHeader1Char"/>
    <w:qFormat/>
    <w:rsid w:val="00D60158"/>
    <w:pPr>
      <w:spacing w:before="240" w:after="240"/>
    </w:pPr>
    <w:rPr>
      <w:sz w:val="48"/>
      <w:szCs w:val="48"/>
      <w:lang w:bidi="en-US"/>
    </w:rPr>
  </w:style>
  <w:style w:type="character" w:customStyle="1" w:styleId="TwCenMTHeader1Char">
    <w:name w:val="Tw Cen MT Header 1 Char"/>
    <w:basedOn w:val="DefaultParagraphFont"/>
    <w:link w:val="TwCenMTHeader1"/>
    <w:rsid w:val="00D60158"/>
    <w:rPr>
      <w:rFonts w:ascii="Tw Cen MT" w:eastAsiaTheme="minorEastAsia" w:hAnsi="Tw Cen MT"/>
      <w:sz w:val="48"/>
      <w:szCs w:val="48"/>
      <w:lang w:bidi="en-US"/>
    </w:rPr>
  </w:style>
  <w:style w:type="character" w:styleId="FollowedHyperlink">
    <w:name w:val="FollowedHyperlink"/>
    <w:basedOn w:val="DefaultParagraphFont"/>
    <w:uiPriority w:val="99"/>
    <w:unhideWhenUsed/>
    <w:rsid w:val="00D60158"/>
    <w:rPr>
      <w:color w:val="800080" w:themeColor="followedHyperlink"/>
      <w:u w:val="single"/>
    </w:rPr>
  </w:style>
  <w:style w:type="character" w:customStyle="1" w:styleId="Heading5Char">
    <w:name w:val="Heading 5 Char"/>
    <w:aliases w:val="Toolkit Heading 2 Char"/>
    <w:basedOn w:val="DefaultParagraphFont"/>
    <w:link w:val="Heading5"/>
    <w:uiPriority w:val="9"/>
    <w:rsid w:val="00A7656D"/>
    <w:rPr>
      <w:rFonts w:ascii="Tw Cen MT" w:eastAsiaTheme="majorEastAsia" w:hAnsi="Tw Cen MT" w:cstheme="majorBidi"/>
      <w:b/>
      <w:sz w:val="28"/>
    </w:rPr>
  </w:style>
  <w:style w:type="paragraph" w:customStyle="1" w:styleId="TwCenMTHeader2">
    <w:name w:val="Tw Cen MT Header 2"/>
    <w:basedOn w:val="Normal"/>
    <w:link w:val="TwCenMTHeader2Char"/>
    <w:rsid w:val="00D60158"/>
    <w:pPr>
      <w:spacing w:before="240" w:after="240"/>
    </w:pPr>
    <w:rPr>
      <w:b/>
      <w:sz w:val="28"/>
      <w:szCs w:val="28"/>
      <w:lang w:bidi="en-US"/>
    </w:rPr>
  </w:style>
  <w:style w:type="paragraph" w:customStyle="1" w:styleId="TwCenMTHeader3">
    <w:name w:val="Tw Cen MT Header 3"/>
    <w:basedOn w:val="Normal"/>
    <w:link w:val="TwCenMTHeader3Char"/>
    <w:rsid w:val="00D60158"/>
    <w:pPr>
      <w:spacing w:before="240" w:after="240"/>
    </w:pPr>
    <w:rPr>
      <w:sz w:val="28"/>
      <w:szCs w:val="28"/>
      <w:u w:val="single"/>
      <w:lang w:bidi="en-US"/>
    </w:rPr>
  </w:style>
  <w:style w:type="character" w:customStyle="1" w:styleId="TwCenMTHeader2Char">
    <w:name w:val="Tw Cen MT Header 2 Char"/>
    <w:basedOn w:val="DefaultParagraphFont"/>
    <w:link w:val="TwCenMTHeader2"/>
    <w:rsid w:val="00D60158"/>
    <w:rPr>
      <w:rFonts w:ascii="Franklin Gothic Book" w:eastAsiaTheme="minorEastAsia" w:hAnsi="Franklin Gothic Book"/>
      <w:b/>
      <w:sz w:val="28"/>
      <w:szCs w:val="28"/>
      <w:lang w:bidi="en-US"/>
    </w:rPr>
  </w:style>
  <w:style w:type="paragraph" w:customStyle="1" w:styleId="ParagraphStyleFGB11font">
    <w:name w:val="Paragraph Style FGB 11 font"/>
    <w:basedOn w:val="Normal"/>
    <w:link w:val="ParagraphStyleFGB11fontChar"/>
    <w:rsid w:val="00D60158"/>
    <w:pPr>
      <w:spacing w:before="240" w:after="240"/>
    </w:pPr>
    <w:rPr>
      <w:lang w:bidi="en-US"/>
    </w:rPr>
  </w:style>
  <w:style w:type="character" w:customStyle="1" w:styleId="TwCenMTHeader3Char">
    <w:name w:val="Tw Cen MT Header 3 Char"/>
    <w:basedOn w:val="DefaultParagraphFont"/>
    <w:link w:val="TwCenMTHeader3"/>
    <w:rsid w:val="00D60158"/>
    <w:rPr>
      <w:rFonts w:ascii="Tw Cen MT" w:eastAsiaTheme="minorEastAsia" w:hAnsi="Tw Cen MT"/>
      <w:sz w:val="28"/>
      <w:szCs w:val="28"/>
      <w:u w:val="single"/>
      <w:lang w:bidi="en-US"/>
    </w:rPr>
  </w:style>
  <w:style w:type="paragraph" w:styleId="Subtitle">
    <w:name w:val="Subtitle"/>
    <w:aliases w:val="Reference"/>
    <w:basedOn w:val="Normal"/>
    <w:next w:val="Normal"/>
    <w:link w:val="SubtitleChar"/>
    <w:uiPriority w:val="11"/>
    <w:qFormat/>
    <w:rsid w:val="00FB25D6"/>
    <w:rPr>
      <w:iCs/>
      <w:szCs w:val="24"/>
    </w:rPr>
  </w:style>
  <w:style w:type="character" w:customStyle="1" w:styleId="SubtitleChar">
    <w:name w:val="Subtitle Char"/>
    <w:aliases w:val="Reference Char"/>
    <w:basedOn w:val="DefaultParagraphFont"/>
    <w:link w:val="Subtitle"/>
    <w:uiPriority w:val="11"/>
    <w:rsid w:val="00FB25D6"/>
    <w:rPr>
      <w:rFonts w:ascii="Tw Cen MT" w:hAnsi="Tw Cen MT"/>
      <w:iCs/>
      <w:sz w:val="24"/>
      <w:szCs w:val="24"/>
    </w:rPr>
  </w:style>
  <w:style w:type="character" w:customStyle="1" w:styleId="ParagraphStyleFGB11fontChar">
    <w:name w:val="Paragraph Style FGB 11 font Char"/>
    <w:basedOn w:val="DefaultParagraphFont"/>
    <w:link w:val="ParagraphStyleFGB11font"/>
    <w:rsid w:val="00D60158"/>
    <w:rPr>
      <w:rFonts w:ascii="Franklin Gothic Book" w:eastAsiaTheme="minorEastAsia" w:hAnsi="Franklin Gothic Book"/>
      <w:lang w:bidi="en-US"/>
    </w:rPr>
  </w:style>
  <w:style w:type="paragraph" w:customStyle="1" w:styleId="TwCenMTHeader2withcolorgreen">
    <w:name w:val="Tw Cen MT Header 2 with color green"/>
    <w:basedOn w:val="Heading2"/>
    <w:link w:val="TwCenMTHeader2withcolorgreenChar"/>
    <w:rsid w:val="00D60158"/>
    <w:pPr>
      <w:pBdr>
        <w:top w:val="single" w:sz="24" w:space="0" w:color="D1EBA7"/>
        <w:left w:val="single" w:sz="24" w:space="0" w:color="D1EBA7"/>
        <w:bottom w:val="single" w:sz="24" w:space="0" w:color="D1EBA7"/>
        <w:right w:val="single" w:sz="24" w:space="0" w:color="D1EBA7"/>
      </w:pBdr>
      <w:shd w:val="clear" w:color="auto" w:fill="D1EBA7"/>
      <w:spacing w:before="240" w:after="240"/>
    </w:pPr>
    <w:rPr>
      <w:rFonts w:eastAsiaTheme="minorEastAsia" w:cstheme="minorBidi"/>
      <w:bCs/>
      <w:smallCaps/>
      <w:sz w:val="28"/>
      <w:szCs w:val="28"/>
      <w:lang w:bidi="en-US"/>
    </w:rPr>
  </w:style>
  <w:style w:type="paragraph" w:customStyle="1" w:styleId="TwCenMTHeader1withUnderline">
    <w:name w:val="Tw Cen MT Header 1 with Underline"/>
    <w:basedOn w:val="TwCenMTHeader1"/>
    <w:link w:val="TwCenMTHeader1withUnderlineChar"/>
    <w:rsid w:val="00D60158"/>
    <w:pPr>
      <w:pBdr>
        <w:bottom w:val="single" w:sz="12" w:space="1" w:color="auto"/>
      </w:pBdr>
    </w:pPr>
  </w:style>
  <w:style w:type="character" w:customStyle="1" w:styleId="TwCenMTHeader2withcolorgreenChar">
    <w:name w:val="Tw Cen MT Header 2 with color green Char"/>
    <w:basedOn w:val="Heading2Char"/>
    <w:link w:val="TwCenMTHeader2withcolorgreen"/>
    <w:rsid w:val="00D60158"/>
    <w:rPr>
      <w:rFonts w:asciiTheme="majorHAnsi" w:eastAsiaTheme="minorEastAsia" w:hAnsiTheme="majorHAnsi" w:cstheme="majorBidi"/>
      <w:b w:val="0"/>
      <w:color w:val="365F91" w:themeColor="accent1" w:themeShade="BF"/>
      <w:sz w:val="28"/>
      <w:szCs w:val="28"/>
      <w:shd w:val="clear" w:color="auto" w:fill="D1EBA7"/>
      <w:lang w:bidi="en-US"/>
    </w:rPr>
  </w:style>
  <w:style w:type="paragraph" w:customStyle="1" w:styleId="TwCenMTHeading2withcolorblue">
    <w:name w:val="Tw Cen MT Heading 2 with color blue"/>
    <w:basedOn w:val="Heading3"/>
    <w:link w:val="TwCenMTHeading2withcolorblueChar"/>
    <w:rsid w:val="00D60158"/>
    <w:pPr>
      <w:pBdr>
        <w:bottom w:val="single" w:sz="6" w:space="0" w:color="4F81BD" w:themeColor="accent1"/>
      </w:pBdr>
      <w:shd w:val="clear" w:color="auto" w:fill="EAF1DD" w:themeFill="accent3" w:themeFillTint="33"/>
      <w:spacing w:before="300"/>
    </w:pPr>
    <w:rPr>
      <w:rFonts w:eastAsiaTheme="minorEastAsia" w:cstheme="minorBidi"/>
      <w:bCs/>
      <w:smallCaps/>
      <w:spacing w:val="10"/>
      <w:szCs w:val="28"/>
      <w:lang w:bidi="en-US"/>
    </w:rPr>
  </w:style>
  <w:style w:type="character" w:customStyle="1" w:styleId="TwCenMTHeader1withUnderlineChar">
    <w:name w:val="Tw Cen MT Header 1 with Underline Char"/>
    <w:basedOn w:val="TwCenMTHeader1Char"/>
    <w:link w:val="TwCenMTHeader1withUnderline"/>
    <w:rsid w:val="00D60158"/>
    <w:rPr>
      <w:rFonts w:ascii="Tw Cen MT" w:eastAsiaTheme="minorEastAsia" w:hAnsi="Tw Cen MT"/>
      <w:sz w:val="48"/>
      <w:szCs w:val="48"/>
      <w:lang w:bidi="en-US"/>
    </w:rPr>
  </w:style>
  <w:style w:type="character" w:customStyle="1" w:styleId="TwCenMTHeading2withcolorblueChar">
    <w:name w:val="Tw Cen MT Heading 2 with color blue Char"/>
    <w:basedOn w:val="Heading3Char"/>
    <w:link w:val="TwCenMTHeading2withcolorblue"/>
    <w:rsid w:val="00D60158"/>
    <w:rPr>
      <w:rFonts w:asciiTheme="majorHAnsi" w:eastAsiaTheme="minorEastAsia" w:hAnsiTheme="majorHAnsi" w:cstheme="majorBidi"/>
      <w:b w:val="0"/>
      <w:color w:val="365F91" w:themeColor="accent1" w:themeShade="BF"/>
      <w:spacing w:val="10"/>
      <w:sz w:val="24"/>
      <w:szCs w:val="28"/>
      <w:shd w:val="clear" w:color="auto" w:fill="EAF1DD" w:themeFill="accent3" w:themeFillTint="33"/>
      <w:lang w:bidi="en-US"/>
    </w:rPr>
  </w:style>
  <w:style w:type="character" w:styleId="FootnoteReference">
    <w:name w:val="footnote reference"/>
    <w:basedOn w:val="DefaultParagraphFont"/>
    <w:rsid w:val="00D60158"/>
    <w:rPr>
      <w:vertAlign w:val="superscript"/>
    </w:rPr>
  </w:style>
  <w:style w:type="character" w:customStyle="1" w:styleId="apple-style-span">
    <w:name w:val="apple-style-span"/>
    <w:basedOn w:val="DefaultParagraphFont"/>
    <w:rsid w:val="00D60158"/>
  </w:style>
  <w:style w:type="table" w:styleId="LightShading-Accent3">
    <w:name w:val="Light Shading Accent 3"/>
    <w:basedOn w:val="TableNormal"/>
    <w:uiPriority w:val="60"/>
    <w:rsid w:val="00D601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6Char">
    <w:name w:val="Heading 6 Char"/>
    <w:aliases w:val="Heading Char,References Char"/>
    <w:basedOn w:val="DefaultParagraphFont"/>
    <w:link w:val="Heading6"/>
    <w:uiPriority w:val="9"/>
    <w:rsid w:val="00BF1900"/>
    <w:rPr>
      <w:rFonts w:ascii="Rockwell" w:eastAsiaTheme="majorEastAsia" w:hAnsi="Rockwell" w:cstheme="majorBidi"/>
      <w:b/>
      <w:iCs/>
      <w:color w:val="365F91" w:themeColor="accent1" w:themeShade="BF"/>
      <w:sz w:val="28"/>
    </w:rPr>
  </w:style>
  <w:style w:type="character" w:customStyle="1" w:styleId="Heading7Char">
    <w:name w:val="Heading 7 Char"/>
    <w:aliases w:val="Toolkit Box Char"/>
    <w:basedOn w:val="DefaultParagraphFont"/>
    <w:link w:val="Heading7"/>
    <w:uiPriority w:val="9"/>
    <w:rsid w:val="00FB25D6"/>
    <w:rPr>
      <w:rFonts w:ascii="Rockwell" w:eastAsiaTheme="majorEastAsia" w:hAnsi="Rockwell" w:cstheme="majorBidi"/>
      <w:bCs/>
      <w:szCs w:val="20"/>
    </w:rPr>
  </w:style>
  <w:style w:type="character" w:customStyle="1" w:styleId="Heading8Char">
    <w:name w:val="Heading 8 Char"/>
    <w:aliases w:val="Subheading 2 Char"/>
    <w:basedOn w:val="DefaultParagraphFont"/>
    <w:link w:val="Heading8"/>
    <w:uiPriority w:val="9"/>
    <w:rsid w:val="00FB640E"/>
    <w:rPr>
      <w:rFonts w:ascii="Tw Cen MT" w:hAnsi="Tw Cen MT"/>
      <w:b/>
      <w:bCs/>
      <w:sz w:val="24"/>
      <w:szCs w:val="20"/>
    </w:rPr>
  </w:style>
  <w:style w:type="character" w:customStyle="1" w:styleId="Heading9Char">
    <w:name w:val="Heading 9 Char"/>
    <w:aliases w:val="Toolkit Heading 3 Char"/>
    <w:basedOn w:val="DefaultParagraphFont"/>
    <w:link w:val="Heading9"/>
    <w:uiPriority w:val="9"/>
    <w:rsid w:val="00BA78D1"/>
    <w:rPr>
      <w:rFonts w:ascii="Tw Cen MT" w:eastAsiaTheme="majorEastAsia" w:hAnsi="Tw Cen MT" w:cstheme="majorBidi"/>
      <w:b/>
      <w:i/>
      <w:iCs/>
      <w:sz w:val="26"/>
      <w:szCs w:val="2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568B1"/>
    <w:rPr>
      <w:b/>
      <w:bCs/>
      <w:sz w:val="18"/>
      <w:szCs w:val="18"/>
    </w:rPr>
  </w:style>
  <w:style w:type="character" w:styleId="Emphasis">
    <w:name w:val="Emphasis"/>
    <w:uiPriority w:val="20"/>
    <w:qFormat/>
    <w:rsid w:val="009568B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aliases w:val="Page Char"/>
    <w:basedOn w:val="DefaultParagraphFont"/>
    <w:link w:val="NoSpacing"/>
    <w:uiPriority w:val="1"/>
    <w:rsid w:val="00691158"/>
    <w:rPr>
      <w:rFonts w:ascii="Tw Cen MT" w:hAnsi="Tw Cen MT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68B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568B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B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B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568B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68B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rsid w:val="00FB25D6"/>
    <w:rPr>
      <w:rFonts w:ascii="Tw Cen MT" w:hAnsi="Tw Cen MT"/>
      <w:color w:val="auto"/>
      <w:sz w:val="24"/>
      <w:u w:val="non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568B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568B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Regulartext">
    <w:name w:val="Regular text"/>
    <w:basedOn w:val="Normal"/>
    <w:qFormat/>
    <w:rsid w:val="00A7656D"/>
    <w:pPr>
      <w:spacing w:after="100" w:line="276" w:lineRule="auto"/>
    </w:pPr>
    <w:rPr>
      <w:rFonts w:ascii="Goudy Old Style" w:hAnsi="Goudy Old Style"/>
      <w:sz w:val="26"/>
      <w:szCs w:val="24"/>
    </w:rPr>
  </w:style>
  <w:style w:type="paragraph" w:customStyle="1" w:styleId="Subheading1">
    <w:name w:val="Subheading 1"/>
    <w:aliases w:val="Twn century regular"/>
    <w:basedOn w:val="Normal"/>
    <w:next w:val="Normal"/>
    <w:qFormat/>
    <w:rsid w:val="00F33F95"/>
    <w:pPr>
      <w:spacing w:before="200" w:after="200" w:line="20" w:lineRule="atLeast"/>
    </w:pPr>
    <w:rPr>
      <w:rFonts w:eastAsiaTheme="majorEastAsia" w:cstheme="majorBidi"/>
      <w:b/>
      <w:smallCaps/>
      <w:color w:val="365F91" w:themeColor="accent1" w:themeShade="BF"/>
      <w:sz w:val="32"/>
      <w:szCs w:val="28"/>
    </w:rPr>
  </w:style>
  <w:style w:type="table" w:styleId="LightList-Accent3">
    <w:name w:val="Light List Accent 3"/>
    <w:basedOn w:val="TableNormal"/>
    <w:uiPriority w:val="61"/>
    <w:rsid w:val="007F1134"/>
    <w:pPr>
      <w:ind w:firstLine="0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fault">
    <w:name w:val="Default"/>
    <w:rsid w:val="00EC1F74"/>
    <w:pPr>
      <w:autoSpaceDE w:val="0"/>
      <w:autoSpaceDN w:val="0"/>
      <w:adjustRightInd w:val="0"/>
      <w:ind w:firstLine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rsid w:val="00FB25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B25D6"/>
    <w:rPr>
      <w:rFonts w:ascii="Tw Cen MT" w:hAnsi="Tw Cen MT"/>
      <w:sz w:val="20"/>
      <w:szCs w:val="20"/>
    </w:rPr>
  </w:style>
  <w:style w:type="character" w:styleId="EndnoteReference">
    <w:name w:val="endnote reference"/>
    <w:basedOn w:val="DefaultParagraphFont"/>
    <w:rsid w:val="00FB25D6"/>
    <w:rPr>
      <w:vertAlign w:val="superscript"/>
    </w:rPr>
  </w:style>
  <w:style w:type="table" w:styleId="ColorfulList-Accent3">
    <w:name w:val="Colorful List Accent 3"/>
    <w:basedOn w:val="TableNormal"/>
    <w:rsid w:val="002D68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Style1">
    <w:name w:val="Style1"/>
    <w:basedOn w:val="TableNormal"/>
    <w:uiPriority w:val="99"/>
    <w:qFormat/>
    <w:rsid w:val="002D6830"/>
    <w:pPr>
      <w:ind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unhideWhenUsed/>
    <w:rsid w:val="00D071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19C"/>
    <w:rPr>
      <w:rFonts w:ascii="Tw Cen MT" w:hAnsi="Tw Cen MT"/>
      <w:sz w:val="20"/>
      <w:szCs w:val="20"/>
    </w:rPr>
  </w:style>
  <w:style w:type="table" w:styleId="ColorfulList-Accent4">
    <w:name w:val="Colorful List Accent 4"/>
    <w:basedOn w:val="TableNormal"/>
    <w:rsid w:val="006C014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1">
    <w:name w:val="Colorful List Accent 1"/>
    <w:basedOn w:val="TableNormal"/>
    <w:uiPriority w:val="72"/>
    <w:rsid w:val="007133B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rsid w:val="000469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on">
    <w:name w:val="Revision"/>
    <w:hidden/>
    <w:semiHidden/>
    <w:rsid w:val="00171C28"/>
    <w:pPr>
      <w:ind w:firstLine="0"/>
    </w:pPr>
    <w:rPr>
      <w:rFonts w:ascii="Tw Cen MT" w:hAnsi="Tw Cen M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ia.gov/consumption/commercial/faq.cf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0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ia.gov/consumption/commercial/data/2003/" TargetMode="External"/><Relationship Id="rId17" Type="http://schemas.openxmlformats.org/officeDocument/2006/relationships/fontTable" Target="fontTable.xml"/><Relationship Id="rId200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mi2.detma.org/lmi/lmi_es_a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i2.detma.org/lmi/lmi_es_a.asp" TargetMode="External"/><Relationship Id="rId10" Type="http://schemas.openxmlformats.org/officeDocument/2006/relationships/hyperlink" Target="http://www.eia.gov/consumption/residential/data/200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ctfinder2.census.gov/faces/nav/jsf/pages/searchresults.xhtml?refresh=t" TargetMode="External"/><Relationship Id="rId14" Type="http://schemas.openxmlformats.org/officeDocument/2006/relationships/hyperlink" Target="http://www.eia.gov/consumption/manufacturing/data/2006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c.org/clean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E32EE-20E4-47D2-AB64-A542B4B8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Area Planning Council</Company>
  <LinksUpToDate>false</LinksUpToDate>
  <CharactersWithSpaces>15354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pyuen</dc:creator>
  <cp:lastModifiedBy>Ani Krishnan</cp:lastModifiedBy>
  <cp:revision>15</cp:revision>
  <cp:lastPrinted>2013-02-25T18:47:00Z</cp:lastPrinted>
  <dcterms:created xsi:type="dcterms:W3CDTF">2013-07-25T13:50:00Z</dcterms:created>
  <dcterms:modified xsi:type="dcterms:W3CDTF">2013-10-17T18:06:00Z</dcterms:modified>
</cp:coreProperties>
</file>