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customXml/item1.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body>
    <w:p>
      <w:pPr>
        <w:spacing w:before="0" w:after="120" w:line="360" w:lineRule="auto"/>
      </w:pPr>
    </w:p>
    <w:p>
      <w:pPr>
        <w:spacing w:before="0" w:after="120" w:line="360" w:lineRule="auto"/>
      </w:pPr>
    </w:p>
    <w:p>
      <w:pPr>
        <w:spacing w:before="0" w:after="200" w:line="360" w:lineRule="auto"/>
        <w:jc w:val="center"/>
      </w:pPr>
      <w:r>
        <w:rPr>
          <w:rFonts w:ascii="Times New Roman" w:hAnsi="Times New Roman" w:eastAsia="Times New Roman"/>
          <w:b/>
          <w:sz w:val="24"/>
        </w:rPr>
        <w:t xml:space="preserve">ПРАКТИЧЕСКАЯ РАБОТА №5</w:t>
      </w:r>
    </w:p>
    <w:p>
      <w:pPr>
        <w:spacing w:before="0" w:after="200" w:line="360" w:lineRule="auto"/>
        <w:jc w:val="center"/>
      </w:pPr>
      <w:r>
        <w:rPr>
          <w:rFonts w:ascii="Times New Roman" w:hAnsi="Times New Roman" w:eastAsia="Times New Roman"/>
          <w:b/>
          <w:sz w:val="24"/>
        </w:rPr>
        <w:t xml:space="preserve">Строки массивы циклы и методы обработки данных</w:t>
      </w:r>
    </w:p>
    <w:p>
      <w:pPr>
        <w:spacing w:before="0" w:after="800" w:line="360" w:lineRule="auto"/>
        <w:jc w:val="center"/>
      </w:pPr>
      <w:r>
        <w:rPr>
          <w:rFonts w:ascii="Times New Roman" w:hAnsi="Times New Roman" w:eastAsia="Times New Roman"/>
          <w:b/>
          <w:sz w:val="24"/>
        </w:rPr>
        <w:t xml:space="preserve">Вариант 9</w:t>
      </w:r>
    </w:p>
    <w:p>
      <w:pPr>
        <w:spacing w:before="0" w:after="280" w:line="360" w:lineRule="auto"/>
      </w:pPr>
      <w:r>
        <w:rPr>
          <w:rFonts w:ascii="Times New Roman" w:hAnsi="Times New Roman" w:eastAsia="Times New Roman"/>
          <w:b w:val="0"/>
          <w:sz w:val="24"/>
        </w:rPr>
        <w:t xml:space="preserve">ФИО студента: ________________________________</w:t>
      </w:r>
    </w:p>
    <w:p>
      <w:pPr>
        <w:spacing w:before="0" w:after="280" w:line="360" w:lineRule="auto"/>
      </w:pPr>
      <w:r>
        <w:rPr>
          <w:rFonts w:ascii="Times New Roman" w:hAnsi="Times New Roman" w:eastAsia="Times New Roman"/>
          <w:b w:val="0"/>
          <w:sz w:val="24"/>
        </w:rPr>
        <w:t xml:space="preserve">Группа: ______________________________________</w:t>
      </w:r>
    </w:p>
    <w:p>
      <w:pPr>
        <w:spacing w:before="0" w:after="280" w:line="360" w:lineRule="auto"/>
      </w:pPr>
      <w:r>
        <w:rPr>
          <w:rFonts w:ascii="Times New Roman" w:hAnsi="Times New Roman" w:eastAsia="Times New Roman"/>
          <w:b w:val="0"/>
          <w:sz w:val="24"/>
        </w:rPr>
        <w:t xml:space="preserve">Номер зачётной книжки: ______________________</w:t>
      </w:r>
    </w:p>
    <w:p>
      <w:pPr>
        <w:spacing w:before="0" w:after="280" w:line="360" w:lineRule="auto"/>
      </w:pPr>
      <w:r>
        <w:rPr>
          <w:rFonts w:ascii="Times New Roman" w:hAnsi="Times New Roman" w:eastAsia="Times New Roman"/>
          <w:b w:val="0"/>
          <w:sz w:val="24"/>
        </w:rPr>
        <w:t xml:space="preserve">Ссылка на репозиторий GitHub: ________________</w:t>
      </w:r>
    </w:p>
    <w:p>
      <w:pPr>
        <w:spacing w:before="0" w:after="120" w:line="360" w:lineRule="auto"/>
      </w:pPr>
    </w:p>
    <w:p>
      <w:pPr>
        <w:spacing w:before="0" w:after="120" w:line="360" w:lineRule="auto"/>
      </w:pPr>
    </w:p>
    <w:p>
      <w:pPr>
        <w:spacing w:before="0" w:after="120" w:line="360" w:lineRule="auto"/>
      </w:pPr>
    </w:p>
    <w:p>
      <w:pPr>
        <w:spacing w:before="0" w:after="120" w:line="360" w:lineRule="auto"/>
      </w:pPr>
    </w:p>
    <w:p>
      <w:pPr>
        <w:spacing w:before="0" w:after="120" w:line="360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 xml:space="preserve">Дата сдачи: __________________</w:t>
      </w:r>
    </w:p>
    <w:p>
      <w:r>
        <w:br w:type="page"/>
      </w:r>
    </w:p>
    <w:p>
      <w:pPr>
        <w:pStyle w:val="Heading1"/>
      </w:pPr>
      <w:r>
        <w:t xml:space="preserve">1 Цель работы</w:t>
      </w:r>
    </w:p>
    <w:p>
      <w:pPr>
        <w:spacing w:before="0" w:after="120" w:line="360" w:lineRule="auto"/>
      </w:pPr>
      <w:r>
        <w:rPr>
          <w:rFonts w:ascii="Times New Roman" w:hAnsi="Times New Roman" w:eastAsia="Times New Roman"/>
          <w:b w:val="0"/>
          <w:sz w:val="24"/>
        </w:rPr>
        <w:t xml:space="preserve">Закрепить базовые средства Java для обработки строк и массивов на задаче анализа табеля рабочего времени. Реализовать проверку входной строки, вычисление показателей, обработку ошибок, автоматические проверки и индивидуальный вариант 9. Связать исходный код с Activity-диаграммой и диаграммой классов.</w:t>
      </w:r>
    </w:p>
    <w:p>
      <w:pPr>
        <w:pStyle w:val="Heading1"/>
      </w:pPr>
      <w:r>
        <w:t xml:space="preserve">2 Описание реализации</w:t>
      </w:r>
    </w:p>
    <w:p>
      <w:pPr>
        <w:spacing w:before="0" w:after="120" w:line="360" w:lineRule="auto"/>
      </w:pPr>
      <w:r>
        <w:rPr>
          <w:rFonts w:ascii="Times New Roman" w:hAnsi="Times New Roman"/>
          <w:b/>
          <w:sz w:val="24"/>
        </w:rPr>
        <w:t xml:space="preserve">parseHours. </w:t>
      </w:r>
      <w:r>
        <w:t xml:space="preserve">разделяет строку через split(";", -1), проверяет ровно пять полей, формат каждого поля и диапазон от 0 до 16. В варианте 9 регулярное выражение ^0*[0-9]+$ разрешает ведущие нули, поэтому 08 преобразуется в 8.</w:t>
      </w:r>
    </w:p>
    <w:p>
      <w:pPr>
        <w:spacing w:before="0" w:after="120" w:line="360" w:lineRule="auto"/>
      </w:pPr>
      <w:r>
        <w:rPr>
          <w:rFonts w:ascii="Times New Roman" w:hAnsi="Times New Roman"/>
          <w:b/>
          <w:sz w:val="24"/>
        </w:rPr>
        <w:t xml:space="preserve">total. </w:t>
      </w:r>
      <w:r>
        <w:t xml:space="preserve">проверяет контракт массива и суммирует пять элементов обычным циклом. Метод возвращает точное целое значение и не повторяет проверку строкового ввода.</w:t>
      </w:r>
    </w:p>
    <w:p>
      <w:pPr>
        <w:spacing w:before="0" w:after="120" w:line="360" w:lineRule="auto"/>
      </w:pPr>
      <w:r>
        <w:rPr>
          <w:rFonts w:ascii="Times New Roman" w:hAnsi="Times New Roman"/>
          <w:b/>
          <w:sz w:val="24"/>
        </w:rPr>
        <w:t xml:space="preserve">average. </w:t>
      </w:r>
      <w:r>
        <w:t xml:space="preserve">использует total, делит сумму на пять и округляет результат до двух знаков. Повторное использование total исключает дублирование логики суммирования.</w:t>
      </w:r>
    </w:p>
    <w:p>
      <w:pPr>
        <w:spacing w:before="0" w:after="120" w:line="360" w:lineRule="auto"/>
      </w:pPr>
      <w:r>
        <w:rPr>
          <w:rFonts w:ascii="Times New Roman" w:hAnsi="Times New Roman"/>
          <w:b/>
          <w:sz w:val="24"/>
        </w:rPr>
        <w:t xml:space="preserve">overtimeDays. </w:t>
      </w:r>
      <w:r>
        <w:t xml:space="preserve">подсчитывает элементы, строго превышающие восемь часов. Значение 8 считается нормой и не увеличивает счётчик.</w:t>
      </w:r>
    </w:p>
    <w:p>
      <w:pPr>
        <w:spacing w:before="0" w:after="120" w:line="360" w:lineRule="auto"/>
      </w:pPr>
      <w:r>
        <w:rPr>
          <w:rFonts w:ascii="Times New Roman" w:hAnsi="Times New Roman"/>
          <w:b/>
          <w:sz w:val="24"/>
        </w:rPr>
        <w:t xml:space="preserve">weeklyOvertime. </w:t>
      </w:r>
      <w:r>
        <w:t xml:space="preserve">вычисляет max(0, total - 40). Дневная и недельная переработка остаются независимыми метриками.</w:t>
      </w:r>
    </w:p>
    <w:p>
      <w:pPr>
        <w:spacing w:before="0" w:after="120" w:line="360" w:lineRule="auto"/>
      </w:pPr>
      <w:r>
        <w:rPr>
          <w:rFonts w:ascii="Times New Roman" w:hAnsi="Times New Roman"/>
          <w:b/>
          <w:sz w:val="24"/>
        </w:rPr>
        <w:t xml:space="preserve">addFormattedTimesheet. </w:t>
      </w:r>
      <w:r>
        <w:t xml:space="preserve">формирует строку с сокращениями дней недели и значениями массива. Для соединения элементов используется StringBuilder, а разделитель добавляется только между днями.</w:t>
      </w:r>
    </w:p>
    <w:p>
      <w:r>
        <w:br w:type="page"/>
      </w:r>
    </w:p>
    <w:p>
      <w:pPr>
        <w:pStyle w:val="Heading1"/>
      </w:pPr>
      <w:r>
        <w:t xml:space="preserve">3 Индивидуальный вариант</w:t>
      </w:r>
    </w:p>
    <w:p>
      <w:pPr>
        <w:pStyle w:val="Heading2"/>
      </w:pPr>
      <w:r>
        <w:t xml:space="preserve">3.1 Часть А</w:t>
      </w:r>
    </w:p>
    <w:p>
      <w:pPr>
        <w:spacing w:before="0" w:after="120" w:line="360" w:lineRule="auto"/>
      </w:pPr>
      <w:r>
        <w:rPr>
          <w:rFonts w:ascii="Times New Roman" w:hAnsi="Times New Roman" w:eastAsia="Times New Roman"/>
          <w:b w:val="0"/>
          <w:sz w:val="24"/>
        </w:rPr>
        <w:t xml:space="preserve">Метод parseHours изменён так, чтобы принимать числа с ведущими нулями. Формат проверяется выражением ^0*[0-9]+$: строка должна содержать только цифры, но перед значащей частью допускается любое число нулей. После преобразования сохраняется проверка диапазона [0, 16]. Поэтому 08 допустимо и равно 8, а +08, 8.0 и 017 остаются недопустимыми из-за формата или диапазона.</w:t>
      </w:r>
    </w:p>
    <w:p>
      <w:pPr>
        <w:pStyle w:val="Heading2"/>
      </w:pPr>
      <w:r>
        <w:t xml:space="preserve">3.2 Часть Б</w:t>
      </w:r>
    </w:p>
    <w:p>
      <w:pPr>
        <w:spacing w:before="0" w:after="120" w:line="360" w:lineRule="auto"/>
      </w:pPr>
      <w:r>
        <w:rPr>
          <w:rFonts w:ascii="Times New Roman" w:hAnsi="Times New Roman" w:eastAsia="Times New Roman"/>
          <w:b w:val="0"/>
          <w:sz w:val="24"/>
        </w:rPr>
        <w:t xml:space="preserve">Добавлен public static метод addFormattedTimesheet(int[] hours). Он принимает проверенный массив из пяти значений и возвращает строку формата «Пн:8, Вт:9, Ср:10, Чт:8, Пт:8». Метод отражён на диаграмме классов и проверяется отдельными unit- и data-driven сценариями.</w:t>
      </w:r>
    </w:p>
    <w:p>
      <w:pPr>
        <w:pStyle w:val="Heading2"/>
      </w:pPr>
      <w:r>
        <w:t xml:space="preserve">3.3 Принятые решения</w:t>
      </w:r>
    </w:p>
    <w:p>
      <w:pPr>
        <w:spacing w:before="0" w:after="120" w:line="360" w:lineRule="auto"/>
      </w:pPr>
      <w:r>
        <w:rPr>
          <w:rFonts w:ascii="Times New Roman" w:hAnsi="Times New Roman" w:eastAsia="Times New Roman"/>
          <w:b w:val="0"/>
          <w:sz w:val="24"/>
        </w:rPr>
        <w:t xml:space="preserve">Ведущие нули обрабатываются только на границе системы. Внутри программы табель представлен массивом int[], поэтому вычислительные методы не зависят от текстового оформления ввода. Форматирование вынесено в отдельный чистый метод: он не печатает данные в консоль, благодаря чему его результат легко проверить и повторно использовать.</w:t>
      </w:r>
    </w:p>
    <w:p>
      <w:r>
        <w:br w:type="page"/>
      </w:r>
    </w:p>
    <w:p>
      <w:pPr>
        <w:pStyle w:val="Heading1"/>
      </w:pPr>
      <w:r>
        <w:t xml:space="preserve">4 Activity диаграмма</w:t>
      </w:r>
    </w:p>
    <w:p>
      <w:pPr>
        <w:spacing w:before="0" w:after="120" w:line="360" w:lineRule="auto"/>
      </w:pPr>
      <w:r>
        <w:rPr>
          <w:rFonts w:ascii="Times New Roman" w:hAnsi="Times New Roman" w:eastAsia="Times New Roman"/>
          <w:b w:val="0"/>
          <w:sz w:val="24"/>
        </w:rPr>
        <w:t xml:space="preserve">Диаграмма отражает полный путь обработки: разбиение строки, проверку структуры, поэлементную проверку формата варианта 9 и диапазона, вычисление метрик и формирование человекочитаемого табеля. По сравнению с исходным каркасом уточнены блоки валидации и итогового вывода, а также добавлен блок нового метода.</w:t>
      </w:r>
    </w:p>
    <w:p>
      <w:pPr>
        <w:jc w:val="center"/>
      </w:pPr>
      <w:r>
        <w:drawing>
          <wp:inline distT="0" distB="0" distL="0" distR="0">
            <wp:extent cx="5940425" cy="7929290"/>
            <wp:effectExtent l="0" t="0" r="0" b="0"/>
            <wp:docPr id="1" name="Picture 1" descr=""/>
            <wp:cNvGraphicFramePr/>
            <a:graphic>
              <a:graphicData uri="http://schemas.openxmlformats.org/drawingml/2006/picture">
                <pic:pic>
                  <pic:nvPicPr>
                    <pic:cNvPr id="0" name="image3.png" descr="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92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200" w:line="360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 xml:space="preserve">Рисунок 1 - Activity-диаграмма обработки табеля</w:t>
      </w:r>
    </w:p>
    <w:p>
      <w:r>
        <w:br w:type="page"/>
      </w:r>
    </w:p>
    <w:p>
      <w:pPr>
        <w:pStyle w:val="Heading1"/>
      </w:pPr>
      <w:r>
        <w:t xml:space="preserve">5 Диаграмма классов</w:t>
      </w:r>
    </w:p>
    <w:p>
      <w:pPr>
        <w:spacing w:before="0" w:after="120" w:line="360" w:lineRule="auto"/>
      </w:pPr>
      <w:r>
        <w:rPr>
          <w:rFonts w:ascii="Times New Roman" w:hAnsi="Times New Roman" w:eastAsia="Times New Roman"/>
          <w:b w:val="0"/>
          <w:sz w:val="24"/>
        </w:rPr>
        <w:t xml:space="preserve">Класс TimesheetAnalyzer содержит пять базовых методов и новый метод addFormattedTimesheet. Закрытый validateHours проверяет программный контракт массивов. SelfCheck остаётся единственной точкой входа и вызывает бизнес-логику в трёх режимах: unit-проверки, data-driven тестирование и интерактивный ввод.</w:t>
      </w:r>
    </w:p>
    <w:p>
      <w:pPr>
        <w:jc w:val="center"/>
      </w:pPr>
      <w:r>
        <w:drawing>
          <wp:inline distT="0" distB="0" distL="0" distR="0">
            <wp:extent cx="5940425" cy="4750664"/>
            <wp:effectExtent l="0" t="0" r="0" b="0"/>
            <wp:docPr id="2" name="Picture 2" descr=""/>
            <wp:cNvGraphicFramePr/>
            <a:graphic>
              <a:graphicData uri="http://schemas.openxmlformats.org/drawingml/2006/picture">
                <pic:pic>
                  <pic:nvPicPr>
                    <pic:cNvPr id="0" name="image4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50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200" w:line="360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 xml:space="preserve">Рисунок 2 - Диаграмма классов итогового проекта</w:t>
      </w:r>
    </w:p>
    <w:p>
      <w:r>
        <w:br w:type="page"/>
      </w:r>
    </w:p>
    <w:p>
      <w:pPr>
        <w:pStyle w:val="Heading1"/>
      </w:pPr>
      <w:r>
        <w:t xml:space="preserve">6 Результаты SelfCheck</w:t>
      </w:r>
    </w:p>
    <w:p>
      <w:pPr>
        <w:spacing w:before="0" w:after="120" w:line="360" w:lineRule="auto"/>
      </w:pPr>
      <w:r>
        <w:rPr>
          <w:rFonts w:ascii="Times New Roman" w:hAnsi="Times New Roman" w:eastAsia="Times New Roman"/>
          <w:b w:val="0"/>
          <w:sz w:val="24"/>
        </w:rPr>
        <w:t xml:space="preserve">Проверки выполнены на итоговом коде. Пройдено 25 из 25 unit-проверок и 15 из 15 data-driven сценариев. В набор включены базовые случаи, граничные значения, ошибки структуры и формата, защитные условия, а также отдельные сценарии обеих частей варианта 9.</w:t>
      </w:r>
    </w:p>
    <w:p>
      <w:pPr>
        <w:spacing w:after="40" w:line="240" w:lineRule="auto"/>
      </w:pPr>
      <w:r>
        <w:rPr>
          <w:rFonts w:ascii="Courier New" w:hAnsi="Courier New" w:eastAsia="Courier New"/>
          <w:sz w:val="20"/>
        </w:rPr>
        <w:t xml:space="preserve">PASS parseHours: корректная строка</w:t>
      </w:r>
    </w:p>
    <w:p>
      <w:pPr>
        <w:spacing w:after="40" w:line="240" w:lineRule="auto"/>
      </w:pPr>
      <w:r>
        <w:rPr>
          <w:rFonts w:ascii="Courier New" w:hAnsi="Courier New" w:eastAsia="Courier New"/>
          <w:sz w:val="20"/>
        </w:rPr>
        <w:t xml:space="preserve">PASS parseHours: пустая строка</w:t>
      </w:r>
    </w:p>
    <w:p>
      <w:pPr>
        <w:spacing w:after="40" w:line="240" w:lineRule="auto"/>
      </w:pPr>
      <w:r>
        <w:rPr>
          <w:rFonts w:ascii="Courier New" w:hAnsi="Courier New" w:eastAsia="Courier New"/>
          <w:sz w:val="20"/>
        </w:rPr>
        <w:t xml:space="preserve">PASS parseHours: значение 17</w:t>
      </w:r>
    </w:p>
    <w:p>
      <w:pPr>
        <w:spacing w:after="40" w:line="240" w:lineRule="auto"/>
      </w:pPr>
      <w:r>
        <w:rPr>
          <w:rFonts w:ascii="Courier New" w:hAnsi="Courier New" w:eastAsia="Courier New"/>
          <w:sz w:val="20"/>
        </w:rPr>
        <w:t xml:space="preserve">PASS parseHours: не число</w:t>
      </w:r>
    </w:p>
    <w:p>
      <w:pPr>
        <w:spacing w:after="40" w:line="240" w:lineRule="auto"/>
      </w:pPr>
      <w:r>
        <w:rPr>
          <w:rFonts w:ascii="Courier New" w:hAnsi="Courier New" w:eastAsia="Courier New"/>
          <w:sz w:val="20"/>
        </w:rPr>
        <w:t xml:space="preserve">PASS parseHours: четыре значения</w:t>
      </w:r>
    </w:p>
    <w:p>
      <w:pPr>
        <w:spacing w:after="40" w:line="240" w:lineRule="auto"/>
      </w:pPr>
      <w:r>
        <w:rPr>
          <w:rFonts w:ascii="Courier New" w:hAnsi="Courier New" w:eastAsia="Courier New"/>
          <w:sz w:val="20"/>
        </w:rPr>
        <w:t xml:space="preserve">PASS parseHours: trailing-разделитель</w:t>
      </w:r>
    </w:p>
    <w:p>
      <w:pPr>
        <w:spacing w:after="40" w:line="240" w:lineRule="auto"/>
      </w:pPr>
      <w:r>
        <w:rPr>
          <w:rFonts w:ascii="Courier New" w:hAnsi="Courier New" w:eastAsia="Courier New"/>
          <w:sz w:val="20"/>
        </w:rPr>
        <w:t xml:space="preserve">PASS parseHours: ведущий ноль варианта 9</w:t>
      </w:r>
    </w:p>
    <w:p>
      <w:pPr>
        <w:spacing w:after="40" w:line="240" w:lineRule="auto"/>
      </w:pPr>
      <w:r>
        <w:rPr>
          <w:rFonts w:ascii="Courier New" w:hAnsi="Courier New" w:eastAsia="Courier New"/>
          <w:sz w:val="20"/>
        </w:rPr>
        <w:t xml:space="preserve">...</w:t>
      </w:r>
    </w:p>
    <w:p>
      <w:pPr>
        <w:spacing w:after="40" w:line="240" w:lineRule="auto"/>
      </w:pPr>
      <w:r>
        <w:rPr>
          <w:rFonts w:ascii="Courier New" w:hAnsi="Courier New" w:eastAsia="Courier New"/>
          <w:sz w:val="20"/>
        </w:rPr>
        <w:t xml:space="preserve">PASS вариант 9A: несколько ведущих нулей</w:t>
      </w:r>
    </w:p>
    <w:p>
      <w:pPr>
        <w:spacing w:after="40" w:line="240" w:lineRule="auto"/>
      </w:pPr>
      <w:r>
        <w:rPr>
          <w:rFonts w:ascii="Courier New" w:hAnsi="Courier New" w:eastAsia="Courier New"/>
          <w:sz w:val="20"/>
        </w:rPr>
        <w:t xml:space="preserve">PASS вариант 9A: только нули и цифры</w:t>
      </w:r>
    </w:p>
    <w:p>
      <w:pPr>
        <w:spacing w:after="40" w:line="240" w:lineRule="auto"/>
      </w:pPr>
      <w:r>
        <w:rPr>
          <w:rFonts w:ascii="Courier New" w:hAnsi="Courier New" w:eastAsia="Courier New"/>
          <w:sz w:val="20"/>
        </w:rPr>
        <w:t xml:space="preserve">PASS вариант 9Б: формат типового табеля</w:t>
      </w:r>
    </w:p>
    <w:p>
      <w:pPr>
        <w:spacing w:after="40" w:line="240" w:lineRule="auto"/>
      </w:pPr>
      <w:r>
        <w:rPr>
          <w:rFonts w:ascii="Courier New" w:hAnsi="Courier New" w:eastAsia="Courier New"/>
          <w:sz w:val="20"/>
        </w:rPr>
        <w:t xml:space="preserve">PASS вариант 9Б: формат нулевой недели</w:t>
      </w:r>
    </w:p>
    <w:p>
      <w:pPr>
        <w:spacing w:after="40" w:line="240" w:lineRule="auto"/>
      </w:pPr>
      <w:r>
        <w:rPr>
          <w:rFonts w:ascii="Courier New" w:hAnsi="Courier New" w:eastAsia="Courier New"/>
          <w:sz w:val="20"/>
        </w:rPr>
        <w:t xml:space="preserve">PASS защитное условие: null</w:t>
      </w:r>
    </w:p>
    <w:p>
      <w:pPr>
        <w:spacing w:after="40" w:line="240" w:lineRule="auto"/>
      </w:pPr>
      <w:r>
        <w:rPr>
          <w:rFonts w:ascii="Courier New" w:hAnsi="Courier New" w:eastAsia="Courier New"/>
          <w:sz w:val="20"/>
        </w:rPr>
        <w:t xml:space="preserve">PASS защитное условие: длина массива</w:t>
      </w:r>
    </w:p>
    <w:p>
      <w:pPr>
        <w:spacing w:after="40" w:line="240" w:lineRule="auto"/>
      </w:pPr>
      <w:r>
        <w:rPr>
          <w:rFonts w:ascii="Courier New" w:hAnsi="Courier New" w:eastAsia="Courier New"/>
          <w:sz w:val="20"/>
        </w:rPr>
        <w:t xml:space="preserve">Unit-проверки: 25/25 passed</w:t>
      </w:r>
    </w:p>
    <w:p>
      <w:pPr>
        <w:spacing w:after="40" w:line="240" w:lineRule="auto"/>
      </w:pPr>
      <w:r>
        <w:rPr>
          <w:rFonts w:ascii="Courier New" w:hAnsi="Courier New" w:eastAsia="Courier New"/>
          <w:sz w:val="20"/>
        </w:rPr>
        <w:t xml:space="preserve">PASS data/12: вариант 9: несколько ведущих нулей</w:t>
      </w:r>
    </w:p>
    <w:p>
      <w:pPr>
        <w:spacing w:after="40" w:line="240" w:lineRule="auto"/>
      </w:pPr>
      <w:r>
        <w:rPr>
          <w:rFonts w:ascii="Courier New" w:hAnsi="Courier New" w:eastAsia="Courier New"/>
          <w:sz w:val="20"/>
        </w:rPr>
        <w:t xml:space="preserve">PASS data/13: вариант 9: форматирование</w:t>
      </w:r>
    </w:p>
    <w:p>
      <w:pPr>
        <w:spacing w:after="40" w:line="240" w:lineRule="auto"/>
      </w:pPr>
      <w:r>
        <w:rPr>
          <w:rFonts w:ascii="Courier New" w:hAnsi="Courier New" w:eastAsia="Courier New"/>
          <w:sz w:val="20"/>
        </w:rPr>
        <w:t xml:space="preserve">PASS data/14: вариант 9: нулевая неделя</w:t>
      </w:r>
    </w:p>
    <w:p>
      <w:pPr>
        <w:spacing w:after="40" w:line="240" w:lineRule="auto"/>
      </w:pPr>
      <w:r>
        <w:rPr>
          <w:rFonts w:ascii="Courier New" w:hAnsi="Courier New" w:eastAsia="Courier New"/>
          <w:sz w:val="20"/>
        </w:rPr>
        <w:t xml:space="preserve">PASS data/15: вариант 9: знак всё ещё запрещён</w:t>
      </w:r>
    </w:p>
    <w:p>
      <w:pPr>
        <w:spacing w:after="40" w:line="240" w:lineRule="auto"/>
      </w:pPr>
      <w:r>
        <w:rPr>
          <w:rFonts w:ascii="Courier New" w:hAnsi="Courier New" w:eastAsia="Courier New"/>
          <w:sz w:val="20"/>
        </w:rPr>
        <w:t xml:space="preserve">Data-driven: 15/15 passed</w:t>
      </w:r>
    </w:p>
    <w:p>
      <w:pPr>
        <w:spacing w:after="40" w:line="240" w:lineRule="auto"/>
      </w:pPr>
      <w:r>
        <w:rPr>
          <w:rFonts w:ascii="Courier New" w:hAnsi="Courier New" w:eastAsia="Courier New"/>
          <w:sz w:val="20"/>
        </w:rPr>
        <w:t xml:space="preserve">Интерактивный режим: добавьте аргумент --interactive</w:t>
      </w:r>
    </w:p>
    <w:p>
      <w:r>
        <w:br w:type="page"/>
      </w:r>
    </w:p>
    <w:p>
      <w:pPr>
        <w:pStyle w:val="Heading1"/>
      </w:pPr>
      <w:r>
        <w:t xml:space="preserve">7 Фрагмент кода для анализа</w:t>
      </w:r>
    </w:p>
    <w:p>
      <w:pPr>
        <w:spacing w:before="0" w:after="120" w:line="360" w:lineRule="auto"/>
      </w:pPr>
      <w:r>
        <w:rPr>
          <w:rFonts w:ascii="Times New Roman" w:hAnsi="Times New Roman" w:eastAsia="Times New Roman"/>
          <w:b w:val="0"/>
          <w:sz w:val="24"/>
        </w:rPr>
        <w:t xml:space="preserve">В условии i &lt;= hours.length допущена ошибка off-by-one: последняя итерация обращается к hours[hours.length], хотя последний допустимый индекс равен hours.length - 1. Это приводит к ArrayIndexOutOfBoundsException. Правильное условие - i &lt; hours.length. При соблюдении R1 массив содержит ровно пять значений, а исправленный цикл безопасно обрабатывает индексы от 0 до 4 без падения.</w:t>
      </w:r>
    </w:p>
    <w:p>
      <w:pPr>
        <w:pStyle w:val="Heading1"/>
      </w:pPr>
      <w:r>
        <w:t xml:space="preserve">8 Ответы на вопросы методички</w:t>
      </w:r>
    </w:p>
    <w:p>
      <w:pPr>
        <w:pStyle w:val="Heading2"/>
      </w:pPr>
      <w:r>
        <w:t xml:space="preserve">8.1 Проверка наиболее вероятной ошибки</w:t>
      </w:r>
    </w:p>
    <w:p>
      <w:pPr>
        <w:spacing w:before="0" w:after="120" w:line="360" w:lineRule="auto"/>
      </w:pPr>
      <w:r>
        <w:rPr>
          <w:rFonts w:ascii="Times New Roman" w:hAnsi="Times New Roman" w:eastAsia="Times New Roman"/>
          <w:b w:val="0"/>
          <w:sz w:val="24"/>
        </w:rPr>
        <w:t xml:space="preserve">Наиболее важна проверка структуры в методе parseHours класса TimesheetAnalyzer: после split(";", -1) массив должен содержать ровно пять элементов. Ошибка в числе значений вероятна из-за пропущенного часа, двойного разделителя или лишней точки с запятой в конце. Сохранение пустых элементов с помощью аргумента -1 позволяет обнаружить завершающий разделитель. Проверка расположена на границе системы, до преобразования и расчётов, поэтому некорректный ввод прекращает обработку по стратегии fail-fast и не вызывает обращения к отсутствующим элементам.</w:t>
      </w:r>
    </w:p>
    <w:p>
      <w:pPr>
        <w:pStyle w:val="Heading2"/>
      </w:pPr>
      <w:r>
        <w:t xml:space="preserve">8.2 Ключевое бизнес правило</w:t>
      </w:r>
    </w:p>
    <w:p>
      <w:pPr>
        <w:spacing w:before="0" w:after="120" w:line="360" w:lineRule="auto"/>
      </w:pPr>
      <w:r>
        <w:rPr>
          <w:rFonts w:ascii="Times New Roman" w:hAnsi="Times New Roman" w:eastAsia="Times New Roman"/>
          <w:b w:val="0"/>
          <w:sz w:val="24"/>
        </w:rPr>
        <w:t xml:space="preserve">Ключевые бизнес-правила сосредоточены в классе TimesheetAnalyzer, а правило варианта 9 реализовано в parseHours. Метод определяет допустимый формат: значение состоит из цифр, может иметь ведущие нули и после преобразования находится в диапазоне от 0 до 16. Размещение здесь оправдано тем, что parseHours является единственной точкой валидации строкового ввода. Остальные методы получают уже проверенный массив и отвечают только за расчёты, поэтому изменение формата не дублируется по проекту.</w:t>
      </w:r>
    </w:p>
    <w:p>
      <w:r>
        <w:br w:type="page"/>
      </w:r>
    </w:p>
    <w:p>
      <w:pPr>
        <w:pStyle w:val="Heading2"/>
      </w:pPr>
      <w:r>
        <w:t xml:space="preserve">8.3 Соответствие диаграммы коду</w:t>
      </w:r>
    </w:p>
    <w:p>
      <w:pPr>
        <w:spacing w:before="0" w:after="120" w:line="360" w:lineRule="auto"/>
      </w:pPr>
      <w:r>
        <w:rPr>
          <w:rFonts w:ascii="Times New Roman" w:hAnsi="Times New Roman" w:eastAsia="Times New Roman"/>
          <w:b w:val="0"/>
          <w:sz w:val="24"/>
        </w:rPr>
        <w:t xml:space="preserve">Блок Activity-диаграммы «Для каждого элемента: проверить ^0*[0-9]+$ и диапазон [0, 16], преобразовать в int» соответствует циклу в parseHours. На каждой итерации программа проверяет строковый элемент регулярным выражением, преобразует его через Integer.parseInt и контролирует диапазон. При ошибке поток переходит к формированию сообщения; после пяти успешных проверок продолжаются вычисления. Диаграмма показывает один логический шаг обработки массива и не повторяет каждый оператор Java отдельным блоком.</w:t>
      </w:r>
    </w:p>
    <w:p>
      <w:pPr>
        <w:pStyle w:val="Heading2"/>
      </w:pPr>
      <w:r>
        <w:t xml:space="preserve">8.4 Локальное изменение требования</w:t>
      </w:r>
    </w:p>
    <w:p>
      <w:pPr>
        <w:spacing w:before="0" w:after="120" w:line="360" w:lineRule="auto"/>
      </w:pPr>
      <w:r>
        <w:rPr>
          <w:rFonts w:ascii="Times New Roman" w:hAnsi="Times New Roman" w:eastAsia="Times New Roman"/>
          <w:b w:val="0"/>
          <w:sz w:val="24"/>
        </w:rPr>
        <w:t xml:space="preserve">Минимальное локальное изменение - смена порога дневной переработки с 8 до 9 часов. Достаточно изменить константу DAILY_NORMAL_HOURS в одном классе TimesheetAnalyzer; структура программы и сигнатуры методов останутся прежними. Ожидания тестов overtimeDays потребуется обновить как спецификацию поведения, но бизнес-логика не распространится по другим классам. Такая локализация достигнута тем, что SelfCheck только вызывает методы, а правила расчёта находятся в специализированном классе.</w:t>
      </w:r>
    </w:p>
    <w:p>
      <w:pPr>
        <w:pStyle w:val="Heading1"/>
      </w:pPr>
      <w:r>
        <w:t xml:space="preserve">9 Ссылка на репозиторий</w:t>
      </w:r>
    </w:p>
    <w:p>
      <w:pPr>
        <w:spacing w:before="0" w:after="120" w:line="360" w:lineRule="auto"/>
      </w:pPr>
      <w:r>
        <w:rPr>
          <w:rFonts w:ascii="Times New Roman" w:hAnsi="Times New Roman" w:eastAsia="Times New Roman"/>
          <w:b w:val="0"/>
          <w:sz w:val="24"/>
        </w:rPr>
        <w:t xml:space="preserve">Публичная ссылка на GitHub: ______________________________________________</w:t>
      </w:r>
    </w:p>
    <w:p>
      <w:pPr>
        <w:spacing w:before="0" w:after="120" w:line="360" w:lineRule="auto"/>
      </w:pPr>
      <w:r>
        <w:rPr>
          <w:rFonts w:ascii="Times New Roman" w:hAnsi="Times New Roman" w:eastAsia="Times New Roman"/>
          <w:b w:val="0"/>
          <w:sz w:val="24"/>
        </w:rPr>
        <w:t xml:space="preserve">Перед сдачей необходимо создать публичный репозиторий, загрузить содержимое проекта и вставить ссылку на титульный лист и в данный раздел.</w:t>
      </w:r>
    </w:p>
    <w:sectPr>
      <w:type w:val="nextPage"/>
      <w:pgSz w:w="11906" w:h="16838"/>
      <w:pgMar w:top="1134" w:right="850" w:bottom="1134" w:left="1701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abstractNum w:abstractNumId="0">
    <w:multiLevelType w:val="multilevel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1">
    <w:multiLevelType w:val="multilevel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2">
    <w:multiLevelType w:val="multilevel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3">
    <w:multiLevelType w:val="multilevel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4">
    <w:multiLevelType w:val="multilevel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5">
    <w:multiLevelType w:val="multilevel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6">
    <w:multiLevelType w:val="multilevel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7">
    <w:multiLevelType w:val="multilevel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8">
    <w:multiLevelType w:val="multilevel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4"/>
  </w:compat>
  <m:mathPr>
    <m:brkBin m:val="before"/>
    <m:brkBinSub m:val="--"/>
    <m:wrapIndent m:val="1440"/>
  </m:mathPr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docDefaults>
    <w:rPrDefault>
      <w:rPr>
        <w:rFonts w:ascii="Cambria" w:hAnsi="Cambria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qFormat/>
    <w:pPr>
      <w:spacing w:after="120" w:line="360" w:lineRule="auto"/>
    </w:pPr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hAnsi="Calibri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00" w:after="0"/>
      <w:outlineLvl w:val="1"/>
    </w:pPr>
    <w:rPr>
      <w:rFonts w:ascii="Calibri" w:hAnsi="Calibri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00" w:after="0"/>
      <w:outlineLvl w:val="2"/>
    </w:pPr>
    <w:rPr>
      <w:rFonts w:ascii="Calibri" w:hAnsi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hAnsi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hAnsi="Calibri"/>
      <w:color w:val="2440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hAnsi="Calibri"/>
      <w:i/>
      <w:iCs/>
      <w:color w:val="2440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="Calibri" w:hAnsi="Calibr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="Calibri" w:hAnsi="Calibr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="Calibri" w:hAnsi="Calibri"/>
      <w:i/>
      <w:iCs/>
      <w:color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Pr>
      <w:rFonts w:ascii="Calibri" w:hAnsi="Calibri"/>
      <w:b/>
      <w:bCs/>
      <w:color w:val="376092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="Calibri" w:hAnsi="Calibri"/>
      <w:b/>
      <w:bCs/>
      <w:color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="Calibri" w:hAnsi="Calibri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hAnsi="Calibri" w:eastAsia="Times New Roman"/>
      <w:b/>
      <w:color w:val="000000"/>
      <w:spacing w:val="5"/>
      <w:kern w:val="28"/>
      <w:sz w:val="32"/>
      <w:szCs w:val="52"/>
    </w:rPr>
  </w:style>
  <w:style w:type="character" w:styleId="TitleChar" w:customStyle="1">
    <w:name w:val="Title Char"/>
    <w:basedOn w:val="DefaultParagraphFont"/>
    <w:link w:val="Title"/>
    <w:uiPriority w:val="10"/>
    <w:rPr>
      <w:rFonts w:ascii="Calibri" w:hAnsi="Calibri"/>
      <w:color w:val="17375E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hAnsi="Calibri"/>
      <w:i/>
      <w:iCs/>
      <w:color w:val="4F81BD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Pr>
      <w:rFonts w:ascii="Calibri" w:hAnsi="Calibri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ilvl w:val="0"/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ilvl w:val="0"/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ilvl w:val="0"/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ilvl w:val="0"/>
        <w:numId w:val="5"/>
      </w:numPr>
      <w:contextualSpacing/>
    </w:pPr>
  </w:style>
  <w:style w:type="paragraph" w:styleId="ListNumber2">
    <w:name w:val="List Number 2"/>
    <w:basedOn w:val="Normal"/>
    <w:uiPriority w:val="99"/>
    <w:pPr>
      <w:numPr>
        <w:ilvl w:val="0"/>
        <w:numId w:val="6"/>
      </w:numPr>
      <w:contextualSpacing/>
    </w:pPr>
  </w:style>
  <w:style w:type="paragraph" w:styleId="ListNumber3">
    <w:name w:val="List Number 3"/>
    <w:basedOn w:val="Normal"/>
    <w:uiPriority w:val="99"/>
    <w:pPr>
      <w:numPr>
        <w:ilvl w:val="0"/>
        <w:numId w:val="7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unhideWhenUsed/>
    <w:rPr>
      <w:rFonts w:ascii="Calibri" w:hAnsi="Calibri"/>
      <w:b/>
      <w:bCs/>
      <w:i/>
      <w:iCs/>
      <w:color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unhideWhenUsed/>
    <w:rPr>
      <w:rFonts w:ascii="Calibri" w:hAnsi="Calibri"/>
      <w:color w:val="244061"/>
    </w:rPr>
  </w:style>
  <w:style w:type="character" w:styleId="Heading6Char" w:customStyle="1">
    <w:name w:val="Heading 6 Char"/>
    <w:basedOn w:val="DefaultParagraphFont"/>
    <w:link w:val="Heading6"/>
    <w:uiPriority w:val="9"/>
    <w:semiHidden/>
    <w:unhideWhenUsed/>
    <w:rPr>
      <w:rFonts w:ascii="Calibri" w:hAnsi="Calibri"/>
      <w:i/>
      <w:iCs/>
      <w:color w:val="244061"/>
    </w:rPr>
  </w:style>
  <w:style w:type="character" w:styleId="Heading7Char" w:customStyle="1">
    <w:name w:val="Heading 7 Char"/>
    <w:basedOn w:val="DefaultParagraphFont"/>
    <w:link w:val="Heading7"/>
    <w:uiPriority w:val="9"/>
    <w:semiHidden/>
    <w:unhideWhenUsed/>
    <w:rPr>
      <w:rFonts w:ascii="Calibri" w:hAnsi="Calibri"/>
      <w:i/>
      <w:iCs/>
      <w:color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unhideWhenUsed/>
    <w:rPr>
      <w:rFonts w:ascii="Calibri" w:hAnsi="Calibri"/>
      <w:color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unhideWhenUsed/>
    <w:rPr>
      <w:rFonts w:ascii="Calibri" w:hAnsi="Calibr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single" w:sz="8" w:space="0" w:color="000000"/>
          <w:left w:val="nil" w:sz="4" w:space="0" w:color="auto"/>
          <w:bottom w:val="single" w:sz="8" w:space="0" w:color="000000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000000"/>
          <w:left w:val="nil" w:sz="4" w:space="0" w:color="auto"/>
          <w:bottom w:val="single" w:sz="8" w:space="0" w:color="000000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76092"/>
    </w:rPr>
    <w:tblPr>
      <w:tblStyleRowBandSize w:val="1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single" w:sz="8" w:space="0" w:color="4F81BD"/>
          <w:left w:val="nil" w:sz="4" w:space="0" w:color="auto"/>
          <w:bottom w:val="single" w:sz="8" w:space="0" w:color="4F81BD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4F81BD"/>
          <w:left w:val="nil" w:sz="4" w:space="0" w:color="auto"/>
          <w:bottom w:val="single" w:sz="8" w:space="0" w:color="4F81BD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53735"/>
    </w:rPr>
    <w:tblPr>
      <w:tblStyleRowBandSize w:val="1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single" w:sz="8" w:space="0" w:color="C0504D"/>
          <w:left w:val="nil" w:sz="4" w:space="0" w:color="auto"/>
          <w:bottom w:val="single" w:sz="8" w:space="0" w:color="C0504D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C0504D"/>
          <w:left w:val="nil" w:sz="4" w:space="0" w:color="auto"/>
          <w:bottom w:val="single" w:sz="8" w:space="0" w:color="C0504D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33C"/>
    </w:rPr>
    <w:tblPr>
      <w:tblStyleRowBandSize w:val="1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single" w:sz="8" w:space="0" w:color="9BBB59"/>
          <w:left w:val="nil" w:sz="4" w:space="0" w:color="auto"/>
          <w:bottom w:val="single" w:sz="8" w:space="0" w:color="9BBB59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9BBB59"/>
          <w:left w:val="nil" w:sz="4" w:space="0" w:color="auto"/>
          <w:bottom w:val="single" w:sz="8" w:space="0" w:color="9BBB59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604A7B"/>
    </w:rPr>
    <w:tblPr>
      <w:tblStyleRowBandSize w:val="1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single" w:sz="8" w:space="0" w:color="8064A2"/>
          <w:left w:val="nil" w:sz="4" w:space="0" w:color="auto"/>
          <w:bottom w:val="single" w:sz="8" w:space="0" w:color="8064A2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8064A2"/>
          <w:left w:val="nil" w:sz="4" w:space="0" w:color="auto"/>
          <w:bottom w:val="single" w:sz="8" w:space="0" w:color="8064A2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59B"/>
    </w:rPr>
    <w:tblPr>
      <w:tblStyleRowBandSize w:val="1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single" w:sz="8" w:space="0" w:color="4BACC6"/>
          <w:left w:val="nil" w:sz="4" w:space="0" w:color="auto"/>
          <w:bottom w:val="single" w:sz="8" w:space="0" w:color="4BACC6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4BACC6"/>
          <w:left w:val="nil" w:sz="4" w:space="0" w:color="auto"/>
          <w:bottom w:val="single" w:sz="8" w:space="0" w:color="4BACC6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46C0A"/>
    </w:rPr>
    <w:tblPr>
      <w:tblStyleRowBandSize w:val="1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single" w:sz="8" w:space="0" w:color="F79646"/>
          <w:left w:val="nil" w:sz="4" w:space="0" w:color="auto"/>
          <w:bottom w:val="single" w:sz="8" w:space="0" w:color="F79646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F79646"/>
          <w:left w:val="nil" w:sz="4" w:space="0" w:color="auto"/>
          <w:bottom w:val="single" w:sz="8" w:space="0" w:color="F79646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shd w:val="clear" w:color="auto" w:fill="000000"/>
      </w:tcPr>
    </w:tblStylePr>
    <w:tblStylePr w:type="lastRow">
      <w:rPr>
        <w:b/>
        <w:bCs/>
      </w:rPr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shd w:val="clear" w:color="auto" w:fill="4F81BD"/>
      </w:tcPr>
    </w:tblStylePr>
    <w:tblStylePr w:type="lastRow">
      <w:rPr>
        <w:b/>
        <w:bCs/>
      </w:rPr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shd w:val="clear" w:color="auto" w:fill="C0504D"/>
      </w:tcPr>
    </w:tblStylePr>
    <w:tblStylePr w:type="lastRow">
      <w:rPr>
        <w:b/>
        <w:bCs/>
      </w:rPr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shd w:val="clear" w:color="auto" w:fill="9BBB59"/>
      </w:tcPr>
    </w:tblStylePr>
    <w:tblStylePr w:type="lastRow">
      <w:rPr>
        <w:b/>
        <w:bCs/>
      </w:rPr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shd w:val="clear" w:color="auto" w:fill="8064A2"/>
      </w:tcPr>
    </w:tblStylePr>
    <w:tblStylePr w:type="lastRow">
      <w:rPr>
        <w:b/>
        <w:bCs/>
      </w:rPr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shd w:val="clear" w:color="auto" w:fill="4BACC6"/>
      </w:tcPr>
    </w:tblStylePr>
    <w:tblStylePr w:type="lastRow">
      <w:rPr>
        <w:b/>
        <w:bCs/>
      </w:rPr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shd w:val="clear" w:color="auto" w:fill="F79646"/>
      </w:tcPr>
    </w:tblStylePr>
    <w:tblStylePr w:type="lastRow">
      <w:rPr>
        <w:b/>
        <w:bCs/>
      </w:rPr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/>
        <w:b/>
        <w:bCs/>
      </w:rPr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 w:sz="4" w:space="0" w:color="auto"/>
          <w:insideV w:val="single" w:sz="8" w:space="0" w:color="000000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sz="4" w:space="0" w:color="auto"/>
          <w:insideV w:val="single" w:sz="8" w:space="0" w:color="000000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/>
        <w:b/>
        <w:bCs/>
      </w:rPr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 w:sz="4" w:space="0" w:color="auto"/>
          <w:insideV w:val="single" w:sz="8" w:space="0" w:color="4F81BD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 w:sz="4" w:space="0" w:color="auto"/>
          <w:insideV w:val="single" w:sz="8" w:space="0" w:color="4F81BD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4E0EF"/>
      </w:tcPr>
    </w:tblStylePr>
    <w:tblStylePr w:type="band1Horz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4E0EF"/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/>
        <w:b/>
        <w:bCs/>
      </w:rPr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 w:sz="4" w:space="0" w:color="auto"/>
          <w:insideV w:val="single" w:sz="8" w:space="0" w:color="C0504D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 w:sz="4" w:space="0" w:color="auto"/>
          <w:insideV w:val="single" w:sz="8" w:space="0" w:color="C0504D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4D3"/>
      </w:tcPr>
    </w:tblStylePr>
    <w:tblStylePr w:type="band1Horz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4D3"/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/>
        <w:b/>
        <w:bCs/>
      </w:rPr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 w:sz="4" w:space="0" w:color="auto"/>
          <w:insideV w:val="single" w:sz="8" w:space="0" w:color="9BBB59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 w:sz="4" w:space="0" w:color="auto"/>
          <w:insideV w:val="single" w:sz="8" w:space="0" w:color="9BBB59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6"/>
      </w:tcPr>
    </w:tblStylePr>
    <w:tblStylePr w:type="band1Horz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6"/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/>
        <w:b/>
        <w:bCs/>
      </w:rPr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 w:sz="4" w:space="0" w:color="auto"/>
          <w:insideV w:val="single" w:sz="8" w:space="0" w:color="8064A2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 w:sz="4" w:space="0" w:color="auto"/>
          <w:insideV w:val="single" w:sz="8" w:space="0" w:color="8064A2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E0D9E8"/>
      </w:tcPr>
    </w:tblStylePr>
    <w:tblStylePr w:type="band1Horz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E0D9E8"/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/>
        <w:b/>
        <w:bCs/>
      </w:rPr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 w:sz="4" w:space="0" w:color="auto"/>
          <w:insideV w:val="single" w:sz="8" w:space="0" w:color="4BACC6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 w:sz="4" w:space="0" w:color="auto"/>
          <w:insideV w:val="single" w:sz="8" w:space="0" w:color="4BACC6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3EAF1"/>
      </w:tcPr>
    </w:tblStylePr>
    <w:tblStylePr w:type="band1Horz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3EAF1"/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/>
        <w:b/>
        <w:bCs/>
      </w:rPr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 w:sz="4" w:space="0" w:color="auto"/>
          <w:insideV w:val="single" w:sz="8" w:space="0" w:color="F79646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 w:sz="4" w:space="0" w:color="auto"/>
          <w:insideV w:val="single" w:sz="8" w:space="0" w:color="F79646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5D1"/>
      </w:tcPr>
    </w:tblStylePr>
    <w:tblStylePr w:type="band1Horz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5D1"/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rPr>
        <w:b/>
        <w:bCs/>
      </w:rPr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C0C0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C0C0C0"/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Row">
      <w:rPr>
        <w:b/>
        <w:bCs/>
      </w:rPr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4E0EF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D4E0EF"/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Row">
      <w:rPr>
        <w:b/>
        <w:bCs/>
      </w:rPr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4D3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EFD4D3"/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Row">
      <w:rPr>
        <w:b/>
        <w:bCs/>
      </w:rPr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6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E6EED6"/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Row">
      <w:rPr>
        <w:b/>
        <w:bCs/>
      </w:rPr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0D9E8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E0D9E8"/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Row">
      <w:rPr>
        <w:b/>
        <w:bCs/>
      </w:rPr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EAF1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D3EAF1"/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Row">
      <w:rPr>
        <w:b/>
        <w:bCs/>
      </w:rPr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FDE5D1"/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00000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4F81BD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cPr>
        <w:shd w:val="clear" w:color="auto" w:fill="D4E0EF"/>
      </w:tcPr>
    </w:tblStylePr>
    <w:tblStylePr w:type="band1Horz">
      <w:tcPr>
        <w:shd w:val="clear" w:color="auto" w:fill="D4E0E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C0504D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cPr>
        <w:shd w:val="clear" w:color="auto" w:fill="EFD4D3"/>
      </w:tcPr>
    </w:tblStylePr>
    <w:tblStylePr w:type="band1Horz">
      <w:tcPr>
        <w:shd w:val="clear" w:color="auto" w:fill="EFD4D3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9BBB59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cPr>
        <w:shd w:val="clear" w:color="auto" w:fill="E6EED6"/>
      </w:tcPr>
    </w:tblStylePr>
    <w:tblStylePr w:type="band1Horz">
      <w:tcPr>
        <w:shd w:val="clear" w:color="auto" w:fill="E6EED6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8064A2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cPr>
        <w:shd w:val="clear" w:color="auto" w:fill="E0D9E8"/>
      </w:tcPr>
    </w:tblStylePr>
    <w:tblStylePr w:type="band1Horz">
      <w:tcPr>
        <w:shd w:val="clear" w:color="auto" w:fill="E0D9E8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4BACC6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cPr>
        <w:shd w:val="clear" w:color="auto" w:fill="D3EAF1"/>
      </w:tcPr>
    </w:tblStylePr>
    <w:tblStylePr w:type="band1Horz">
      <w:tcPr>
        <w:shd w:val="clear" w:color="auto" w:fill="D3EAF1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F79646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cPr>
        <w:shd w:val="clear" w:color="auto" w:fill="FDE5D1"/>
      </w:tcPr>
    </w:tblStylePr>
    <w:tblStylePr w:type="band1Horz">
      <w:tcPr>
        <w:shd w:val="clear" w:color="auto" w:fill="FDE5D1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000000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000000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000000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4F81B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4F81BD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4F81BD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4F81BD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C0504D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C0504D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C0504D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9BBB59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9BBB59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9BBB59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9BBB59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8064A2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8064A2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8064A2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8064A2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4BACC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4BACC6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4BACC6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4BACC6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F7964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F79646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F79646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F79646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/>
      </w:tcPr>
    </w:tblStylePr>
    <w:tblStylePr w:type="band1Horz">
      <w:tcPr>
        <w:shd w:val="clear" w:color="auto" w:fill="A7C0DE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0A8A6"/>
      </w:tcPr>
    </w:tblStylePr>
    <w:tblStylePr w:type="band1Horz">
      <w:tcPr>
        <w:shd w:val="clear" w:color="auto" w:fill="E0A8A6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/>
      </w:tcPr>
    </w:tblStylePr>
    <w:tblStylePr w:type="band1Horz"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B2D1"/>
      </w:tcPr>
    </w:tblStylePr>
    <w:tblStylePr w:type="band1Horz">
      <w:tcPr>
        <w:shd w:val="clear" w:color="auto" w:fill="C0B2D1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6E3"/>
      </w:tcPr>
    </w:tblStylePr>
    <w:tblStylePr w:type="band1Horz">
      <w:tcPr>
        <w:shd w:val="clear" w:color="auto" w:fill="A5D6E3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BA3"/>
      </w:tcPr>
    </w:tblStylePr>
    <w:tblStylePr w:type="band1Horz">
      <w:tcPr>
        <w:shd w:val="clear" w:color="auto" w:fill="FBCBA3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000000"/>
      </w:rPr>
      <w:tcPr>
        <w:shd w:val="clear" w:color="auto" w:fill="E6E6E6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CCCCC"/>
      </w:tcPr>
    </w:tblStylePr>
    <w:tblStylePr w:type="band1Vert">
      <w:tcPr>
        <w:shd w:val="clear" w:color="auto" w:fill="808080"/>
      </w:tcPr>
    </w:tblStylePr>
    <w:tblStylePr w:type="band1Horz"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000000"/>
      </w:rPr>
      <w:tcPr>
        <w:shd w:val="clear" w:color="auto" w:fill="EEF3F9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CE6F2"/>
      </w:tcPr>
    </w:tblStylePr>
    <w:tblStylePr w:type="band1Vert">
      <w:tcPr>
        <w:shd w:val="clear" w:color="auto" w:fill="A7C0DE"/>
      </w:tcPr>
    </w:tblStylePr>
    <w:tblStylePr w:type="band1Horz">
      <w:tcPr>
        <w:tcBorders>
          <w:insideH w:val="single" w:sz="6" w:space="0" w:color="4F81BD"/>
          <w:insideV w:val="single" w:sz="6" w:space="0" w:color="4F81BD"/>
        </w:tcBorders>
        <w:shd w:val="clear" w:color="auto" w:fill="A7C0DE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000000"/>
      </w:rPr>
      <w:tcPr>
        <w:shd w:val="clear" w:color="auto" w:fill="F9EEEE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2DCDB"/>
      </w:tcPr>
    </w:tblStylePr>
    <w:tblStylePr w:type="band1Vert">
      <w:tcPr>
        <w:shd w:val="clear" w:color="auto" w:fill="E0A8A6"/>
      </w:tcPr>
    </w:tblStylePr>
    <w:tblStylePr w:type="band1Horz">
      <w:tcPr>
        <w:tcBorders>
          <w:insideH w:val="single" w:sz="6" w:space="0" w:color="C0504D"/>
          <w:insideV w:val="single" w:sz="6" w:space="0" w:color="C0504D"/>
        </w:tcBorders>
        <w:shd w:val="clear" w:color="auto" w:fill="E0A8A6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000000"/>
      </w:rPr>
      <w:tcPr>
        <w:shd w:val="clear" w:color="auto" w:fill="F5F8EF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BF1DE"/>
      </w:tcPr>
    </w:tblStylePr>
    <w:tblStylePr w:type="band1Vert">
      <w:tcPr>
        <w:shd w:val="clear" w:color="auto" w:fill="CDDDAC"/>
      </w:tcPr>
    </w:tblStylePr>
    <w:tblStylePr w:type="band1Horz"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000000"/>
      </w:rPr>
      <w:tcPr>
        <w:shd w:val="clear" w:color="auto" w:fill="F3F0F6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0EC"/>
      </w:tcPr>
    </w:tblStylePr>
    <w:tblStylePr w:type="band1Vert">
      <w:tcPr>
        <w:shd w:val="clear" w:color="auto" w:fill="C0B2D1"/>
      </w:tcPr>
    </w:tblStylePr>
    <w:tblStylePr w:type="band1Horz">
      <w:tcPr>
        <w:tcBorders>
          <w:insideH w:val="single" w:sz="6" w:space="0" w:color="8064A2"/>
          <w:insideV w:val="single" w:sz="6" w:space="0" w:color="8064A2"/>
        </w:tcBorders>
        <w:shd w:val="clear" w:color="auto" w:fill="C0B2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000000"/>
      </w:rPr>
      <w:tcPr>
        <w:shd w:val="clear" w:color="auto" w:fill="EDF7F9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BEEF4"/>
      </w:tcPr>
    </w:tblStylePr>
    <w:tblStylePr w:type="band1Vert">
      <w:tcPr>
        <w:shd w:val="clear" w:color="auto" w:fill="A5D6E3"/>
      </w:tcPr>
    </w:tblStylePr>
    <w:tblStylePr w:type="band1Horz">
      <w:tcPr>
        <w:tcBorders>
          <w:insideH w:val="single" w:sz="6" w:space="0" w:color="4BACC6"/>
          <w:insideV w:val="single" w:sz="6" w:space="0" w:color="4BACC6"/>
        </w:tcBorders>
        <w:shd w:val="clear" w:color="auto" w:fill="A5D6E3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000000"/>
      </w:rPr>
      <w:tcPr>
        <w:shd w:val="clear" w:color="auto" w:fill="FEF5ED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ADA"/>
      </w:tcPr>
    </w:tblStylePr>
    <w:tblStylePr w:type="band1Vert">
      <w:tcPr>
        <w:shd w:val="clear" w:color="auto" w:fill="FBCBA3"/>
      </w:tcPr>
    </w:tblStylePr>
    <w:tblStylePr w:type="band1Horz">
      <w:tcPr>
        <w:tcBorders>
          <w:insideH w:val="single" w:sz="6" w:space="0" w:color="F79646"/>
          <w:insideV w:val="single" w:sz="6" w:space="0" w:color="F79646"/>
        </w:tcBorders>
        <w:shd w:val="clear" w:color="auto" w:fill="FBCBA3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808080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A7C0DE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C0DE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E0A8A6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E0A8A6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CDDDAC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C0B2D1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0B2D1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A5D6E3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6E3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FBCBA3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BA3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44061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376092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76092"/>
      </w:tc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76092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76092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32523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953735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53735"/>
      </w:tc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53735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53735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6228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76933C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6933C"/>
      </w:tc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6933C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6933C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03152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604A7B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04A7B"/>
      </w:tc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04A7B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04A7B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15867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31859B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1859B"/>
      </w:tc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1859B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1859B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74807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E46C0A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46C0A"/>
      </w:tc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46C0A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46C0A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000000"/>
          <w:insideV w:val="nil" w:sz="4" w:space="0" w:color="auto"/>
        </w:tcBorders>
        <w:shd w:val="clear" w:color="auto" w:fill="000000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band1Vert">
      <w:tcPr>
        <w:shd w:val="clear" w:color="auto" w:fill="999999"/>
      </w:tcPr>
    </w:tblStylePr>
    <w:tblStylePr w:type="band1Horz">
      <w:tcPr>
        <w:shd w:val="clear" w:color="auto" w:fill="808080"/>
      </w:tc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2C4D75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2C4C74"/>
          <w:insideV w:val="nil" w:sz="4" w:space="0" w:color="auto"/>
        </w:tcBorders>
        <w:shd w:val="clear" w:color="auto" w:fill="2C4D75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C4D75"/>
      </w:tcPr>
    </w:tblStylePr>
    <w:tblStylePr w:type="band1Vert">
      <w:tcPr>
        <w:shd w:val="clear" w:color="auto" w:fill="B9CDE5"/>
      </w:tcPr>
    </w:tblStylePr>
    <w:tblStylePr w:type="band1Horz">
      <w:tcPr>
        <w:shd w:val="clear" w:color="auto" w:fill="A7C0DE"/>
      </w:tc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772C2A"/>
          <w:insideV w:val="nil" w:sz="4" w:space="0" w:color="auto"/>
        </w:tcBorders>
        <w:shd w:val="clear" w:color="auto" w:fill="772C2A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72C2A"/>
      </w:tcPr>
    </w:tblStylePr>
    <w:tblStylePr w:type="band1Vert">
      <w:tcPr>
        <w:shd w:val="clear" w:color="auto" w:fill="E6B9B8"/>
      </w:tcPr>
    </w:tblStylePr>
    <w:tblStylePr w:type="band1Horz">
      <w:tcPr>
        <w:shd w:val="clear" w:color="auto" w:fill="E0A8A6"/>
      </w:tc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8064A2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5F7530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5E7530"/>
          <w:insideV w:val="nil" w:sz="4" w:space="0" w:color="auto"/>
        </w:tcBorders>
        <w:shd w:val="clear" w:color="auto" w:fill="5F7530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5F7530"/>
      </w:tcPr>
    </w:tblStylePr>
    <w:tblStylePr w:type="band1Vert">
      <w:tcPr>
        <w:shd w:val="clear" w:color="auto" w:fill="D7E4BD"/>
      </w:tcPr>
    </w:tblStylePr>
    <w:tblStylePr w:type="band1Horz"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9BBB59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4D3B62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4C3B62"/>
          <w:insideV w:val="nil" w:sz="4" w:space="0" w:color="auto"/>
        </w:tcBorders>
        <w:shd w:val="clear" w:color="auto" w:fill="4D3B62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D3B62"/>
      </w:tcPr>
    </w:tblStylePr>
    <w:tblStylePr w:type="band1Vert">
      <w:tcPr>
        <w:shd w:val="clear" w:color="auto" w:fill="CCC1DA"/>
      </w:tcPr>
    </w:tblStylePr>
    <w:tblStylePr w:type="band1Horz">
      <w:tcPr>
        <w:shd w:val="clear" w:color="auto" w:fill="C0B2D1"/>
      </w:tc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F7964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276A7C"/>
          <w:insideV w:val="nil" w:sz="4" w:space="0" w:color="auto"/>
        </w:tcBorders>
        <w:shd w:val="clear" w:color="auto" w:fill="276A7C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76A7C"/>
      </w:tcPr>
    </w:tblStylePr>
    <w:tblStylePr w:type="band1Vert">
      <w:tcPr>
        <w:shd w:val="clear" w:color="auto" w:fill="B7DEE8"/>
      </w:tcPr>
    </w:tblStylePr>
    <w:tblStylePr w:type="band1Horz">
      <w:tcPr>
        <w:shd w:val="clear" w:color="auto" w:fill="A5D6E3"/>
      </w:tc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4BACC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B65708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B65608"/>
          <w:insideV w:val="nil" w:sz="4" w:space="0" w:color="auto"/>
        </w:tcBorders>
        <w:shd w:val="clear" w:color="auto" w:fill="B65708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B65708"/>
      </w:tcPr>
    </w:tblStylePr>
    <w:tblStylePr w:type="band1Vert">
      <w:tcPr>
        <w:shd w:val="clear" w:color="auto" w:fill="FCD5B5"/>
      </w:tcPr>
    </w:tblStylePr>
    <w:tblStylePr w:type="band1Horz">
      <w:tcPr>
        <w:shd w:val="clear" w:color="auto" w:fill="FBCBA3"/>
      </w:tc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9F3B38"/>
      </w:tcPr>
    </w:tblStylePr>
    <w:tblStylePr w:type="lastRow">
      <w:rPr>
        <w:b/>
        <w:bCs/>
        <w:color w:val="9F3B38"/>
      </w:rPr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band1Horz"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9F3B38"/>
      </w:tcPr>
    </w:tblStylePr>
    <w:tblStylePr w:type="lastRow">
      <w:rPr>
        <w:b/>
        <w:bCs/>
        <w:color w:val="9F3B38"/>
      </w:rPr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band1Horz">
      <w:tcPr>
        <w:shd w:val="clear" w:color="auto" w:fill="DCE6F2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9F3B38"/>
      </w:tcPr>
    </w:tblStylePr>
    <w:tblStylePr w:type="lastRow">
      <w:rPr>
        <w:b/>
        <w:bCs/>
        <w:color w:val="9F3B38"/>
      </w:rPr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band1Horz">
      <w:tcPr>
        <w:shd w:val="clear" w:color="auto" w:fill="F2DCDB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664F83"/>
      </w:tcPr>
    </w:tblStylePr>
    <w:tblStylePr w:type="lastRow">
      <w:rPr>
        <w:b/>
        <w:bCs/>
        <w:color w:val="664F83"/>
      </w:rPr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band1Horz">
      <w:tcPr>
        <w:shd w:val="clear" w:color="auto" w:fill="EBF1DE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7E9D40"/>
      </w:tcPr>
    </w:tblStylePr>
    <w:tblStylePr w:type="lastRow">
      <w:rPr>
        <w:b/>
        <w:bCs/>
        <w:color w:val="7E9D40"/>
      </w:rPr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band1Horz">
      <w:tcPr>
        <w:shd w:val="clear" w:color="auto" w:fill="E6E0EC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F3740B"/>
      </w:tcPr>
    </w:tblStylePr>
    <w:tblStylePr w:type="lastRow">
      <w:rPr>
        <w:b/>
        <w:bCs/>
        <w:color w:val="F3740B"/>
      </w:rPr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band1Horz">
      <w:tcPr>
        <w:shd w:val="clear" w:color="auto" w:fill="DBEEF4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358EA6"/>
      </w:tcPr>
    </w:tblStylePr>
    <w:tblStylePr w:type="lastRow">
      <w:rPr>
        <w:b/>
        <w:bCs/>
        <w:color w:val="358EA6"/>
      </w:rPr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band1Horz">
      <w:tcPr>
        <w:shd w:val="clear" w:color="auto" w:fill="FDEADA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shd w:val="clear" w:color="auto" w:fill="999999"/>
      </w:tcPr>
    </w:tblStylePr>
    <w:tblStylePr w:type="lastRow">
      <w:rPr>
        <w:b/>
        <w:bCs/>
        <w:color w:val="000000"/>
      </w:rPr>
      <w:tcPr>
        <w:shd w:val="clear" w:color="auto" w:fill="999999"/>
      </w:tcPr>
    </w:tblStylePr>
    <w:tblStylePr w:type="firstCol">
      <w:rPr>
        <w:color w:val="FFFFFF"/>
      </w:rPr>
      <w:tcPr>
        <w:shd w:val="clear" w:color="auto" w:fill="000000"/>
      </w:tcPr>
    </w:tblStylePr>
    <w:tblStylePr w:type="lastCol">
      <w:rPr>
        <w:color w:val="FFFFFF"/>
      </w:rPr>
      <w:tcPr>
        <w:shd w:val="clear" w:color="auto" w:fill="000000"/>
      </w:tcPr>
    </w:tblStyle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shd w:val="clear" w:color="auto" w:fill="B9CDE5"/>
      </w:tcPr>
    </w:tblStylePr>
    <w:tblStylePr w:type="lastRow">
      <w:rPr>
        <w:b/>
        <w:bCs/>
        <w:color w:val="000000"/>
      </w:rPr>
      <w:tcPr>
        <w:shd w:val="clear" w:color="auto" w:fill="B9CDE5"/>
      </w:tcPr>
    </w:tblStylePr>
    <w:tblStylePr w:type="firstCol">
      <w:rPr>
        <w:color w:val="FFFFFF"/>
      </w:rPr>
      <w:tcPr>
        <w:shd w:val="clear" w:color="auto" w:fill="376092"/>
      </w:tcPr>
    </w:tblStylePr>
    <w:tblStylePr w:type="lastCol">
      <w:rPr>
        <w:color w:val="FFFFFF"/>
      </w:rPr>
      <w:tcPr>
        <w:shd w:val="clear" w:color="auto" w:fill="376092"/>
      </w:tcPr>
    </w:tblStylePr>
    <w:tblStylePr w:type="band1Vert">
      <w:tcPr>
        <w:shd w:val="clear" w:color="auto" w:fill="A7C0DE"/>
      </w:tcPr>
    </w:tblStylePr>
    <w:tblStylePr w:type="band1Horz">
      <w:tcPr>
        <w:shd w:val="clear" w:color="auto" w:fill="A7C0DE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shd w:val="clear" w:color="auto" w:fill="E6B9B8"/>
      </w:tcPr>
    </w:tblStylePr>
    <w:tblStylePr w:type="lastRow">
      <w:rPr>
        <w:b/>
        <w:bCs/>
        <w:color w:val="000000"/>
      </w:rPr>
      <w:tcPr>
        <w:shd w:val="clear" w:color="auto" w:fill="E6B9B8"/>
      </w:tcPr>
    </w:tblStylePr>
    <w:tblStylePr w:type="firstCol">
      <w:rPr>
        <w:color w:val="FFFFFF"/>
      </w:rPr>
      <w:tcPr>
        <w:shd w:val="clear" w:color="auto" w:fill="953735"/>
      </w:tcPr>
    </w:tblStylePr>
    <w:tblStylePr w:type="lastCol">
      <w:rPr>
        <w:color w:val="FFFFFF"/>
      </w:rPr>
      <w:tcPr>
        <w:shd w:val="clear" w:color="auto" w:fill="953735"/>
      </w:tcPr>
    </w:tblStylePr>
    <w:tblStylePr w:type="band1Vert">
      <w:tcPr>
        <w:shd w:val="clear" w:color="auto" w:fill="E0A8A6"/>
      </w:tcPr>
    </w:tblStylePr>
    <w:tblStylePr w:type="band1Horz">
      <w:tcPr>
        <w:shd w:val="clear" w:color="auto" w:fill="E0A8A6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shd w:val="clear" w:color="auto" w:fill="D7E4BD"/>
      </w:tcPr>
    </w:tblStylePr>
    <w:tblStylePr w:type="lastRow">
      <w:rPr>
        <w:b/>
        <w:bCs/>
        <w:color w:val="000000"/>
      </w:rPr>
      <w:tcPr>
        <w:shd w:val="clear" w:color="auto" w:fill="D7E4BD"/>
      </w:tcPr>
    </w:tblStylePr>
    <w:tblStylePr w:type="firstCol">
      <w:rPr>
        <w:color w:val="FFFFFF"/>
      </w:rPr>
      <w:tcPr>
        <w:shd w:val="clear" w:color="auto" w:fill="76933C"/>
      </w:tcPr>
    </w:tblStylePr>
    <w:tblStylePr w:type="lastCol">
      <w:rPr>
        <w:color w:val="FFFFFF"/>
      </w:rPr>
      <w:tcPr>
        <w:shd w:val="clear" w:color="auto" w:fill="76933C"/>
      </w:tcPr>
    </w:tblStylePr>
    <w:tblStylePr w:type="band1Vert">
      <w:tcPr>
        <w:shd w:val="clear" w:color="auto" w:fill="CDDDAC"/>
      </w:tcPr>
    </w:tblStylePr>
    <w:tblStylePr w:type="band1Horz"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shd w:val="clear" w:color="auto" w:fill="CCC1DA"/>
      </w:tcPr>
    </w:tblStylePr>
    <w:tblStylePr w:type="lastRow">
      <w:rPr>
        <w:b/>
        <w:bCs/>
        <w:color w:val="000000"/>
      </w:rPr>
      <w:tcPr>
        <w:shd w:val="clear" w:color="auto" w:fill="CCC1DA"/>
      </w:tcPr>
    </w:tblStylePr>
    <w:tblStylePr w:type="firstCol">
      <w:rPr>
        <w:color w:val="FFFFFF"/>
      </w:rPr>
      <w:tcPr>
        <w:shd w:val="clear" w:color="auto" w:fill="604A7B"/>
      </w:tcPr>
    </w:tblStylePr>
    <w:tblStylePr w:type="lastCol">
      <w:rPr>
        <w:color w:val="FFFFFF"/>
      </w:rPr>
      <w:tcPr>
        <w:shd w:val="clear" w:color="auto" w:fill="604A7B"/>
      </w:tcPr>
    </w:tblStylePr>
    <w:tblStylePr w:type="band1Vert">
      <w:tcPr>
        <w:shd w:val="clear" w:color="auto" w:fill="C0B2D1"/>
      </w:tcPr>
    </w:tblStylePr>
    <w:tblStylePr w:type="band1Horz">
      <w:tcPr>
        <w:shd w:val="clear" w:color="auto" w:fill="C0B2D1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shd w:val="clear" w:color="auto" w:fill="B7DEE8"/>
      </w:tcPr>
    </w:tblStylePr>
    <w:tblStylePr w:type="lastRow">
      <w:rPr>
        <w:b/>
        <w:bCs/>
        <w:color w:val="000000"/>
      </w:rPr>
      <w:tcPr>
        <w:shd w:val="clear" w:color="auto" w:fill="B7DEE8"/>
      </w:tcPr>
    </w:tblStylePr>
    <w:tblStylePr w:type="firstCol">
      <w:rPr>
        <w:color w:val="FFFFFF"/>
      </w:rPr>
      <w:tcPr>
        <w:shd w:val="clear" w:color="auto" w:fill="31859B"/>
      </w:tcPr>
    </w:tblStylePr>
    <w:tblStylePr w:type="lastCol">
      <w:rPr>
        <w:color w:val="FFFFFF"/>
      </w:rPr>
      <w:tcPr>
        <w:shd w:val="clear" w:color="auto" w:fill="31859B"/>
      </w:tcPr>
    </w:tblStylePr>
    <w:tblStylePr w:type="band1Vert">
      <w:tcPr>
        <w:shd w:val="clear" w:color="auto" w:fill="A5D6E3"/>
      </w:tcPr>
    </w:tblStylePr>
    <w:tblStylePr w:type="band1Horz">
      <w:tcPr>
        <w:shd w:val="clear" w:color="auto" w:fill="A5D6E3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shd w:val="clear" w:color="auto" w:fill="FCD5B5"/>
      </w:tcPr>
    </w:tblStylePr>
    <w:tblStylePr w:type="lastRow">
      <w:rPr>
        <w:b/>
        <w:bCs/>
        <w:color w:val="000000"/>
      </w:rPr>
      <w:tcPr>
        <w:shd w:val="clear" w:color="auto" w:fill="FCD5B5"/>
      </w:tcPr>
    </w:tblStylePr>
    <w:tblStylePr w:type="firstCol">
      <w:rPr>
        <w:color w:val="FFFFFF"/>
      </w:rPr>
      <w:tcPr>
        <w:shd w:val="clear" w:color="auto" w:fill="E46C0A"/>
      </w:tcPr>
    </w:tblStylePr>
    <w:tblStylePr w:type="lastCol">
      <w:rPr>
        <w:color w:val="FFFFFF"/>
      </w:rPr>
      <w:tcPr>
        <w:shd w:val="clear" w:color="auto" w:fill="E46C0A"/>
      </w:tcPr>
    </w:tblStylePr>
    <w:tblStylePr w:type="band1Vert">
      <w:tcPr>
        <w:shd w:val="clear" w:color="auto" w:fill="FBCBA3"/>
      </w:tcPr>
    </w:tblStylePr>
    <w:tblStylePr w:type="band1Horz">
      <w:tcPr>
        <w:shd w:val="clear" w:color="auto" w:fill="FBCBA3"/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Relationship Id="rId8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Them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 Them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914</Words>
  <Paragraphs>82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№5 Вариант 9</dc:title>
  <dc:subject>Строки массивы циклы и методы обработки данных</dc:subject>
  <dc:creator>Студент</dc:creator>
  <dc:description>generated by python-docx</dc:description>
  <cp:lastModifiedBy>WordCraft User</cp:lastModifiedBy>
  <cp:revision>17</cp:revision>
  <dcterms:created xsi:type="dcterms:W3CDTF">2013-12-23T23:15:00Z</dcterms:created>
  <dcterms:modified xsi:type="dcterms:W3CDTF">2026-10-14T08:58:30Z</dcterms:modified>
</cp:coreProperties>
</file>