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YaHei" w:hAnsi="Microsoft YaHei" w:eastAsia="Microsoft YaHei"/>
          <w:b/>
          <w:i w:val="0"/>
          <w:color w:val="000000"/>
          <w:sz w:val="48"/>
        </w:rPr>
        <w:t>小红书品牌营销周报系统数据需求说明书</w:t>
      </w:r>
    </w:p>
    <w:p>
      <w:pPr>
        <w:spacing w:after="260"/>
      </w:pPr>
      <w:r>
        <w:rPr>
          <w:rFonts w:ascii="Microsoft YaHei" w:hAnsi="Microsoft YaHei" w:eastAsia="Microsoft YaHei"/>
          <w:b w:val="0"/>
          <w:i w:val="0"/>
          <w:color w:val="64748B"/>
          <w:sz w:val="23"/>
        </w:rPr>
        <w:t>面向数据采集、分析建模与可视化周报开发的字段和口径说明</w:t>
      </w:r>
    </w:p>
    <w:p>
      <w:r>
        <w:rPr>
          <w:rFonts w:ascii="Microsoft YaHei" w:hAnsi="Microsoft YaHei" w:eastAsia="Microsoft YaHei"/>
          <w:b w:val="0"/>
          <w:i w:val="0"/>
          <w:color w:val="15243C"/>
          <w:sz w:val="21"/>
        </w:rPr>
        <w:t>本说明书回答系统需要采集什么数据、如何组织数据、如何计算指标，以及如何判断数据是否足以支撑品牌营销决策。数据入口复用现有小红书采集基座，分析层以周为时间单位形成可追溯的 BrandWeeklySnapshot。</w:t>
      </w:r>
    </w:p>
    <w:p>
      <w:pPr>
        <w:pStyle w:val="Heading1"/>
      </w:pPr>
      <w:r>
        <w:t>一 建设范围与数据粒度</w:t>
      </w:r>
    </w:p>
    <w:p>
      <w:r>
        <w:rPr>
          <w:rFonts w:ascii="Microsoft YaHei" w:hAnsi="Microsoft YaHei" w:eastAsia="Microsoft YaHei"/>
          <w:b w:val="0"/>
          <w:i w:val="0"/>
          <w:color w:val="15243C"/>
          <w:sz w:val="21"/>
        </w:rPr>
        <w:t>系统围绕品牌、竞品和行业话题建立统一的数据范围。采集数据保持原始响应与请求轨迹，标准化层再按照笔记、作者、评论、话题和周报快照五种粒度组织数据。未返回的字段保持缺失，并记录缺失原因。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512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数据粒度</w:t>
            </w:r>
          </w:p>
        </w:tc>
        <w:tc>
          <w:tcPr>
            <w:tcW w:type="dxa" w:w="216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主键建议</w:t>
            </w:r>
          </w:p>
        </w:tc>
        <w:tc>
          <w:tcPr>
            <w:tcW w:type="dxa" w:w="2376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时间字段</w:t>
            </w:r>
          </w:p>
        </w:tc>
        <w:tc>
          <w:tcPr>
            <w:tcW w:type="dxa" w:w="432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笔记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note_id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published_at / captured_at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品牌声量、内容类型、互动效率、证据下钻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作者</w:t>
            </w:r>
          </w:p>
        </w:tc>
        <w:tc>
          <w:tcPr>
            <w:tcW w:type="dxa" w:w="216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author_id</w:t>
            </w:r>
          </w:p>
        </w:tc>
        <w:tc>
          <w:tcPr>
            <w:tcW w:type="dxa" w:w="237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captured_at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达人结构、作者画像和竞品合作分析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评论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comment_id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created_at / captured_at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情绪分析、评价维度、风险预警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话题</w:t>
            </w:r>
          </w:p>
        </w:tc>
        <w:tc>
          <w:tcPr>
            <w:tcW w:type="dxa" w:w="216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topic_id 或标准化词</w:t>
            </w:r>
          </w:p>
        </w:tc>
        <w:tc>
          <w:tcPr>
            <w:tcW w:type="dxa" w:w="237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week_start / week_end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热点排行、增长率、选题建议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周报快照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brand_id + week_start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generated_at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门户展示、历史对比、导出和审计</w:t>
            </w:r>
          </w:p>
        </w:tc>
      </w:tr>
    </w:tbl>
    <w:p>
      <w:pPr>
        <w:spacing w:after="40"/>
      </w:pPr>
    </w:p>
    <w:p>
      <w:pPr>
        <w:pStyle w:val="Heading1"/>
      </w:pPr>
      <w:r>
        <w:t>二 必需原始数据</w:t>
      </w:r>
    </w:p>
    <w:p>
      <w:r>
        <w:rPr>
          <w:rFonts w:ascii="Microsoft YaHei" w:hAnsi="Microsoft YaHei" w:eastAsia="Microsoft YaHei"/>
          <w:b w:val="0"/>
          <w:i w:val="0"/>
          <w:color w:val="15243C"/>
          <w:sz w:val="21"/>
        </w:rPr>
        <w:t>以下字段构成最小可用采集集。字段分为必需、建议和条件必需三类：必需字段缺失时影响主指标；建议字段缺失时保留缺失状态；条件必需字段仅在对应数据链路启用时要求。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/>
        </w:trPr>
        <w:tc>
          <w:tcPr>
            <w:tcW w:type="dxa" w:w="1123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数据对象</w:t>
            </w:r>
          </w:p>
        </w:tc>
        <w:tc>
          <w:tcPr>
            <w:tcW w:type="dxa" w:w="2448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</w:t>
            </w:r>
          </w:p>
        </w:tc>
        <w:tc>
          <w:tcPr>
            <w:tcW w:type="dxa" w:w="108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级别</w:t>
            </w:r>
          </w:p>
        </w:tc>
        <w:tc>
          <w:tcPr>
            <w:tcW w:type="dxa" w:w="432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字段说明</w:t>
            </w:r>
          </w:p>
        </w:tc>
        <w:tc>
          <w:tcPr>
            <w:tcW w:type="dxa" w:w="1656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来源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笔记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note_id / title / desc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笔记唯一标识、标题和正文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搜索与详情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笔记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published_at / type</w:t>
            </w:r>
          </w:p>
        </w:tc>
        <w:tc>
          <w:tcPr>
            <w:tcW w:type="dxa" w:w="10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发布时间、图文或视频类型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详情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笔记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author_id / author_name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作者关联及展示名称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搜索与详情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笔记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liked_count / collected_count / comment_count / share_count</w:t>
            </w:r>
          </w:p>
        </w:tc>
        <w:tc>
          <w:tcPr>
            <w:tcW w:type="dxa" w:w="10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互动指标；缺失时保留原始状态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详情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笔记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tags / topics / image_count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建议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话题、标签和内容形态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详情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作者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author_id / nickname</w:t>
            </w:r>
          </w:p>
        </w:tc>
        <w:tc>
          <w:tcPr>
            <w:tcW w:type="dxa" w:w="10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作者主键和昵称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作者资料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作者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fans_count / interaction_metrics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建议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粉丝及公开互动指标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作者资料 / 蒲公英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评论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comment_id / note_id / content</w:t>
            </w:r>
          </w:p>
        </w:tc>
        <w:tc>
          <w:tcPr>
            <w:tcW w:type="dxa" w:w="10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评论主键、所属笔记和文本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主评论与子评论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评论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created_at / like_count / author_id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建议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评论时间、点赞和评论作者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评论接口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任务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job_id / keyword / pages / status</w:t>
            </w:r>
          </w:p>
        </w:tc>
        <w:tc>
          <w:tcPr>
            <w:tcW w:type="dxa" w:w="10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采集任务配置、状态和页数</w:t>
            </w:r>
          </w:p>
        </w:tc>
        <w:tc>
          <w:tcPr>
            <w:tcW w:type="dxa" w:w="165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任务运行时</w:t>
            </w:r>
          </w:p>
        </w:tc>
      </w:tr>
      <w:tr>
        <w:trPr>
          <w:cantSplit/>
        </w:trPr>
        <w:tc>
          <w:tcPr>
            <w:tcW w:type="dxa" w:w="1123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任务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captured_at / response_status / error</w:t>
            </w:r>
          </w:p>
        </w:tc>
        <w:tc>
          <w:tcPr>
            <w:tcW w:type="dxa" w:w="10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必需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采集时间、响应状态和错误信息</w:t>
            </w:r>
          </w:p>
        </w:tc>
        <w:tc>
          <w:tcPr>
            <w:tcW w:type="dxa" w:w="165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请求轨迹</w:t>
            </w:r>
          </w:p>
        </w:tc>
      </w:tr>
    </w:tbl>
    <w:p>
      <w:pPr>
        <w:spacing w:after="40"/>
      </w:pPr>
    </w:p>
    <w:p>
      <w:pPr>
        <w:pStyle w:val="Heading1"/>
      </w:pPr>
      <w:r>
        <w:t>三 品牌与竞品配置数据</w:t>
      </w:r>
    </w:p>
    <w:p>
      <w:r>
        <w:rPr>
          <w:rFonts w:ascii="Microsoft YaHei" w:hAnsi="Microsoft YaHei" w:eastAsia="Microsoft YaHei"/>
          <w:b w:val="0"/>
          <w:i w:val="0"/>
          <w:color w:val="15243C"/>
          <w:sz w:val="21"/>
        </w:rPr>
        <w:t>品牌词配置是分析结果可解释的前提。系统应允许同一品牌维护主品牌词、产品词、别名、排除词和竞品词，并记录版本与生效时间。配置变化后，历史周报保留当时使用的配置版本。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配置项</w:t>
            </w:r>
          </w:p>
        </w:tc>
        <w:tc>
          <w:tcPr>
            <w:tcW w:type="dxa" w:w="2448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示例</w:t>
            </w:r>
          </w:p>
        </w:tc>
        <w:tc>
          <w:tcPr>
            <w:tcW w:type="dxa" w:w="360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288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校验要求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品牌主词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NEO 咖啡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识别品牌主体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至少 1 个；大小写和空格标准化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品牌别名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NEO、尼欧咖啡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覆盖用户自然表达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去重后保存；记录添加时间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产品词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秋日拿铁、冷萃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拆分产品线和内容主题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关联产品或活动实体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竞品词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SEYA COFFEE、NOWWA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计算 Share of Voice 和差距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与品牌词使用相同规则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排除词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招聘、二手转让</w:t>
            </w:r>
          </w:p>
        </w:tc>
        <w:tc>
          <w:tcPr>
            <w:tcW w:type="dxa" w:w="360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降低非营销内容干扰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支持精确词和正则规则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风险阈值</w:t>
            </w:r>
          </w:p>
        </w:tc>
        <w:tc>
          <w:tcPr>
            <w:tcW w:type="dxa" w:w="244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负向率、增长率、互动量</w:t>
            </w:r>
          </w:p>
        </w:tc>
        <w:tc>
          <w:tcPr>
            <w:tcW w:type="dxa" w:w="360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触发风险话题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保存阈值版本和调整人</w:t>
            </w:r>
          </w:p>
        </w:tc>
      </w:tr>
    </w:tbl>
    <w:p>
      <w:pPr>
        <w:spacing w:after="40"/>
      </w:pPr>
    </w:p>
    <w:p>
      <w:pPr>
        <w:pStyle w:val="Heading1"/>
      </w:pPr>
      <w:r>
        <w:t>四 派生指标与计算口径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指标</w:t>
            </w:r>
          </w:p>
        </w:tc>
        <w:tc>
          <w:tcPr>
            <w:tcW w:type="dxa" w:w="5904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计算方式</w:t>
            </w:r>
          </w:p>
        </w:tc>
        <w:tc>
          <w:tcPr>
            <w:tcW w:type="dxa" w:w="288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展示要求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品牌声量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时间窗内命中品牌词组的去重笔记数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显示本周值、环比和样本量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总互动量</w:t>
            </w:r>
          </w:p>
        </w:tc>
        <w:tc>
          <w:tcPr>
            <w:tcW w:type="dxa" w:w="5904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点赞 + 收藏 + 评论 + 分享；缺失字段不补 0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显示原始覆盖率和缺失说明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互动效率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互动量 / 笔记数；有曝光字段时再计算互动率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避免把互动效率称为曝光互动率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正向情绪率</w:t>
            </w:r>
          </w:p>
        </w:tc>
        <w:tc>
          <w:tcPr>
            <w:tcW w:type="dxa" w:w="5904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有效文本中正向文本数 / 有效文本总数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附有效文本量与低置信量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热点增长率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(本周声量 - 上周声量) / 上周声量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上周样本不足时显示基线不足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竞品声量份额</w:t>
            </w:r>
          </w:p>
        </w:tc>
        <w:tc>
          <w:tcPr>
            <w:tcW w:type="dxa" w:w="5904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品牌声量 / 品牌与竞品声量总和</w:t>
            </w:r>
          </w:p>
        </w:tc>
        <w:tc>
          <w:tcPr>
            <w:tcW w:type="dxa" w:w="288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使用同时间窗和同去重规则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风险分</w:t>
            </w:r>
          </w:p>
        </w:tc>
        <w:tc>
          <w:tcPr>
            <w:tcW w:type="dxa" w:w="5904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负向占比、增长速度和互动量的加权结果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必须可下钻到证据笔记和评论</w:t>
            </w:r>
          </w:p>
        </w:tc>
      </w:tr>
    </w:tbl>
    <w:p>
      <w:pPr>
        <w:spacing w:after="40"/>
      </w:pPr>
    </w:p>
    <w:p>
      <w:pPr>
        <w:pStyle w:val="Heading1"/>
      </w:pPr>
      <w:r>
        <w:t>五 数据质量与治理要求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完整性：记录每个字段的原始状态、缺失原因和采集覆盖率，空响应不直接等同于没有内容。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唯一性：笔记、作者和评论按平台主键去重；分页重复和重试响应保留请求轨迹。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一致性：同一周报内的品牌词、时间窗、去重规则和情感版本保持一致。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可追溯性：每个结论绑定 evidence，至少能够回到 note_id、comment_id、captured_at 和规则版本。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可重放性：原始快照按周保存，分析任务可离线重算并产生同一份指标结果。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隐私边界：仅保存完成分析所需的公开字段，不将登录 Cookie、设备配置和私密会话写入周报数据集。</w:t>
      </w:r>
    </w:p>
    <w:p>
      <w:pPr>
        <w:pStyle w:val="Heading1"/>
      </w:pPr>
      <w:r>
        <w:t>六 周报输出数据集</w:t>
      </w:r>
    </w:p>
    <w:p>
      <w:r>
        <w:rPr>
          <w:rFonts w:ascii="Microsoft YaHei" w:hAnsi="Microsoft YaHei" w:eastAsia="Microsoft YaHei"/>
          <w:b w:val="0"/>
          <w:i w:val="0"/>
          <w:color w:val="15243C"/>
          <w:sz w:val="21"/>
        </w:rPr>
        <w:t>门户读取统一的 BrandWeeklySnapshot。该对象同时保存指标、趋势、洞察和证据索引，避免前端直接拼接原始响应。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字段组</w:t>
            </w:r>
          </w:p>
        </w:tc>
        <w:tc>
          <w:tcPr>
            <w:tcW w:type="dxa" w:w="4320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核心字段</w:t>
            </w:r>
          </w:p>
        </w:tc>
        <w:tc>
          <w:tcPr>
            <w:tcW w:type="dxa" w:w="4752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身份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brand_id / week_start / week_end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品牌和报告时间窗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质量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sample_size / coverage / generated_at</w:t>
            </w:r>
          </w:p>
        </w:tc>
        <w:tc>
          <w:tcPr>
            <w:tcW w:type="dxa" w:w="475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样本量、覆盖率和生成时间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KPI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volume / interactions / positive_rate / risk_topics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四项总览指标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趋势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period / volume / interactions</w:t>
            </w:r>
          </w:p>
        </w:tc>
        <w:tc>
          <w:tcPr>
            <w:tcW w:type="dxa" w:w="475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按日或按周的趋势序列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主题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topic / volume / growth / sentiment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热点及其情绪状态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竞品</w:t>
            </w:r>
          </w:p>
        </w:tc>
        <w:tc>
          <w:tcPr>
            <w:tcW w:type="dxa" w:w="4320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brand / share / interactions / gap</w:t>
            </w:r>
          </w:p>
        </w:tc>
        <w:tc>
          <w:tcPr>
            <w:tcW w:type="dxa" w:w="475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竞品对标和差异机会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证据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note_id / comment_id / matched_terms / url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结论下钻和审计依据</w:t>
            </w:r>
          </w:p>
        </w:tc>
      </w:tr>
    </w:tbl>
    <w:p>
      <w:pPr>
        <w:spacing w:after="40"/>
      </w:pPr>
    </w:p>
    <w:p>
      <w:pPr>
        <w:pStyle w:val="Heading1"/>
      </w:pPr>
      <w:r>
        <w:t>七 最小可用版本</w:t>
      </w:r>
    </w:p>
    <w:p>
      <w:r>
        <w:rPr>
          <w:rFonts w:ascii="Microsoft YaHei" w:hAnsi="Microsoft YaHei" w:eastAsia="Microsoft YaHei"/>
          <w:b w:val="0"/>
          <w:i w:val="0"/>
          <w:color w:val="15243C"/>
          <w:sz w:val="21"/>
        </w:rPr>
        <w:t>第一期只要稳定获得笔记搜索结果、笔记详情、主评论、发布时间、作者标识和互动指标，就可以上线周报总览、热点排行和基础情绪分析。作者画像、子评论、蒲公英商业数据和自动导出属于第二阶段增强项。</w:t>
      </w:r>
    </w:p>
    <w:p>
      <w:pPr>
        <w:pStyle w:val="Heading1"/>
      </w:pPr>
      <w:r>
        <w:t>八 数据接口交付建议</w:t>
      </w:r>
    </w:p>
    <w:p>
      <w:r>
        <w:rPr>
          <w:rFonts w:ascii="Microsoft YaHei" w:hAnsi="Microsoft YaHei" w:eastAsia="Microsoft YaHei"/>
          <w:b w:val="0"/>
          <w:i w:val="0"/>
          <w:color w:val="15243C"/>
          <w:sz w:val="21"/>
        </w:rPr>
        <w:t>分析层与门户之间建议使用版本化 JSON 契约。接口只返回周报快照和必要的证据索引，原始响应通过 note_id 或 comment_id 进行二次查询，避免首屏负载过大。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3096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接口</w:t>
            </w:r>
          </w:p>
        </w:tc>
        <w:tc>
          <w:tcPr>
            <w:tcW w:type="dxa" w:w="1152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方法</w:t>
            </w:r>
          </w:p>
        </w:tc>
        <w:tc>
          <w:tcPr>
            <w:tcW w:type="dxa" w:w="3168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用途</w:t>
            </w:r>
          </w:p>
        </w:tc>
        <w:tc>
          <w:tcPr>
            <w:tcW w:type="dxa" w:w="4032"/>
            <w:vAlign w:val="center"/>
            <w:shd w:fill="173B70"/>
            <w:tcBorders>
              <w:top w:val="single" w:sz="6" w:space="0" w:color="173B70"/>
              <w:left w:val="single" w:sz="6" w:space="0" w:color="173B70"/>
              <w:bottom w:val="single" w:sz="6" w:space="0" w:color="173B70"/>
              <w:right w:val="single" w:sz="6" w:space="0" w:color="173B70"/>
              <w:insideH w:val="single" w:sz="6" w:space="0" w:color="173B70"/>
              <w:insideV w:val="single" w:sz="6" w:space="0" w:color="173B70"/>
            </w:tcBorders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最低返回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/v1/brand-report/snapshots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GET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按品牌和周次读取周报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brand_id、week、kpis、quality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/v1/brand-report/topics</w:t>
            </w:r>
          </w:p>
        </w:tc>
        <w:tc>
          <w:tcPr>
            <w:tcW w:type="dxa" w:w="115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GET</w:t>
            </w:r>
          </w:p>
        </w:tc>
        <w:tc>
          <w:tcPr>
            <w:tcW w:type="dxa" w:w="316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读取热点排行和证据</w:t>
            </w:r>
          </w:p>
        </w:tc>
        <w:tc>
          <w:tcPr>
            <w:tcW w:type="dxa" w:w="403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topic、volume、growth、evidence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/v1/brand-report/competitors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GET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读取竞品对标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brand、share、interactions、gap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/v1/brand-report/sentiment</w:t>
            </w:r>
          </w:p>
        </w:tc>
        <w:tc>
          <w:tcPr>
            <w:tcW w:type="dxa" w:w="115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GET</w:t>
            </w:r>
          </w:p>
        </w:tc>
        <w:tc>
          <w:tcPr>
            <w:tcW w:type="dxa" w:w="3168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读取情绪和评价维度</w:t>
            </w:r>
          </w:p>
        </w:tc>
        <w:tc>
          <w:tcPr>
            <w:tcW w:type="dxa" w:w="4032"/>
            <w:vAlign w:val="center"/>
            <w:shd w:fill="F7F9FC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distribution、aspects、examples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/v1/brand-report/runtime</w:t>
            </w:r>
          </w:p>
        </w:tc>
        <w:tc>
          <w:tcPr>
            <w:tcW w:type="dxa" w:w="115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GET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读取采集新鲜度和质量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6" w:space="0" w:color="D9E0EA"/>
              <w:left w:val="single" w:sz="6" w:space="0" w:color="D9E0EA"/>
              <w:bottom w:val="single" w:sz="6" w:space="0" w:color="D9E0EA"/>
              <w:right w:val="single" w:sz="6" w:space="0" w:color="D9E0EA"/>
              <w:insideH w:val="single" w:sz="6" w:space="0" w:color="D9E0EA"/>
              <w:insideV w:val="single" w:sz="6" w:space="0" w:color="D9E0EA"/>
            </w:tcBorders>
          </w:tcPr>
          <w:p>
            <w:pPr>
              <w:spacing w:after="40" w:before="40" w:line="276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15243C"/>
                <w:sz w:val="17"/>
              </w:rPr>
              <w:t>last_sync、job_status、coverage</w:t>
            </w:r>
          </w:p>
        </w:tc>
      </w:tr>
    </w:tbl>
    <w:p>
      <w:pPr>
        <w:spacing w:after="40"/>
      </w:pPr>
    </w:p>
    <w:p>
      <w:pPr>
        <w:pStyle w:val="Heading1"/>
      </w:pPr>
      <w:r>
        <w:t>九 交付优先级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P0：笔记主键、标题、正文、发布时间、作者标识、互动指标、采集时间和任务状态。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P1：主评论、话题标签、品牌与竞品配置、去重规则、BrandWeeklySnapshot 和证据索引。</w:t>
      </w:r>
    </w:p>
    <w:p>
      <w:pPr>
        <w:pStyle w:val="ListBullet"/>
        <w:spacing w:after="60"/>
        <w:ind w:left="317"/>
      </w:pPr>
      <w:r>
        <w:rPr>
          <w:rFonts w:ascii="Microsoft YaHei" w:hAnsi="Microsoft YaHei" w:eastAsia="Microsoft YaHei"/>
          <w:b w:val="0"/>
          <w:i w:val="0"/>
          <w:color w:val="15243C"/>
          <w:sz w:val="20"/>
        </w:rPr>
        <w:t>P2：作者画像、子评论、蒲公英商业字段、低置信文本复核和 HTML/PDF 自动导出。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4748B"/>
        <w:sz w:val="16"/>
      </w:rPr>
      <w:t>小红书品牌营销可视化周报系统 · 设计与开发文档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4748B"/>
        <w:sz w:val="17"/>
      </w:rPr>
      <w:t>XHS Brand Weekly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Microsoft YaHei" w:hAnsi="Microsoft YaHei" w:eastAsia="Microsoft YaHei"/>
      <w:color w:val="1524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