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YaHei" w:hAnsi="Microsoft YaHei" w:eastAsia="Microsoft YaHei"/>
          <w:b/>
          <w:i w:val="0"/>
          <w:color w:val="000000"/>
          <w:sz w:val="48"/>
        </w:rPr>
        <w:t>小红书品牌营销周报系统架构与功能说明书</w:t>
      </w:r>
    </w:p>
    <w:p>
      <w:pPr>
        <w:spacing w:after="260"/>
      </w:pPr>
      <w:r>
        <w:rPr>
          <w:rFonts w:ascii="Microsoft YaHei" w:hAnsi="Microsoft YaHei" w:eastAsia="Microsoft YaHei"/>
          <w:b w:val="0"/>
          <w:i w:val="0"/>
          <w:color w:val="64748B"/>
          <w:sz w:val="23"/>
        </w:rPr>
        <w:t>系统框架图、功能结构图及模块职责说明</w:t>
      </w:r>
    </w:p>
    <w:p>
      <w:r>
        <w:rPr>
          <w:rFonts w:ascii="Microsoft YaHei" w:hAnsi="Microsoft YaHei" w:eastAsia="Microsoft YaHei"/>
          <w:b w:val="0"/>
          <w:i w:val="0"/>
          <w:color w:val="15243C"/>
          <w:sz w:val="21"/>
        </w:rPr>
        <w:t>本说明书用于说明品牌营销周报系统如何承接现有小红书数据采集基座，并将原始内容转化为可追溯的品牌营销洞察。阅读者可以从两张图快速理解系统边界，再结合文字说明定位开发模块和验收重点。</w:t>
      </w:r>
    </w:p>
    <w:p>
      <w:pPr>
        <w:pStyle w:val="Heading1"/>
      </w:pPr>
      <w:r>
        <w:t>一 系统框架图</w:t>
      </w:r>
    </w:p>
    <w:p>
      <w:pPr>
        <w:jc w:val="center"/>
      </w:pPr>
      <w:r>
        <w:drawing>
          <wp:inline xmlns:a="http://schemas.openxmlformats.org/drawingml/2006/main" xmlns:pic="http://schemas.openxmlformats.org/drawingml/2006/picture">
            <wp:extent cx="6263640" cy="3653790"/>
            <wp:docPr id="1" name="Picture 1"/>
            <wp:cNvGraphicFramePr>
              <a:graphicFrameLocks noChangeAspect="1"/>
            </wp:cNvGraphicFramePr>
            <a:graphic>
              <a:graphicData uri="http://schemas.openxmlformats.org/drawingml/2006/picture">
                <pic:pic>
                  <pic:nvPicPr>
                    <pic:cNvPr id="0" name="brand-report-system-architecture.png"/>
                    <pic:cNvPicPr/>
                  </pic:nvPicPr>
                  <pic:blipFill>
                    <a:blip r:embed="rId11"/>
                    <a:stretch>
                      <a:fillRect/>
                    </a:stretch>
                  </pic:blipFill>
                  <pic:spPr>
                    <a:xfrm>
                      <a:off x="0" y="0"/>
                      <a:ext cx="6263640" cy="3653790"/>
                    </a:xfrm>
                    <a:prstGeom prst="rect"/>
                  </pic:spPr>
                </pic:pic>
              </a:graphicData>
            </a:graphic>
          </wp:inline>
        </w:drawing>
      </w:r>
    </w:p>
    <w:p>
      <w:pPr>
        <w:spacing w:before="60" w:after="180"/>
        <w:jc w:val="center"/>
      </w:pPr>
      <w:r>
        <w:rPr>
          <w:rFonts w:ascii="Microsoft YaHei" w:hAnsi="Microsoft YaHei" w:eastAsia="Microsoft YaHei"/>
          <w:b w:val="0"/>
          <w:i/>
          <w:color w:val="64748B"/>
          <w:sz w:val="18"/>
        </w:rPr>
        <w:t>图 1  从小红书公开数据到品牌营销决策的分层框架</w:t>
      </w:r>
    </w:p>
    <w:p>
      <w:r>
        <w:rPr>
          <w:rFonts w:ascii="Microsoft YaHei" w:hAnsi="Microsoft YaHei" w:eastAsia="Microsoft YaHei"/>
          <w:b w:val="0"/>
          <w:i w:val="0"/>
          <w:color w:val="15243C"/>
          <w:sz w:val="21"/>
        </w:rPr>
        <w:t>系统采用数据来源、采集基座、数据层、分析层和展示层五层结构。数据来源提供公开笔记、作者、评论和互动信息；采集基座复用现有搜索、详情、作者和评论能力，并负责任务状态与请求轨迹；数据层保存原始快照和标准化结果；分析层计算声量、互动、热点、情绪、竞品和风险；展示层以品牌周报门户和导出文件服务营销决策。</w:t>
      </w:r>
    </w:p>
    <w:p>
      <w:r>
        <w:rPr>
          <w:rFonts w:ascii="Microsoft YaHei" w:hAnsi="Microsoft YaHei" w:eastAsia="Microsoft YaHei"/>
          <w:b w:val="0"/>
          <w:i w:val="0"/>
          <w:color w:val="15243C"/>
          <w:sz w:val="21"/>
        </w:rPr>
        <w:t>配置中心为分析层提供品牌词、竞品词、行业词、排除词和风险阈值。数据质量与证据索引贯穿各层，确保门户中的增长、领先和风险结论都可以回到具体样本。</w:t>
      </w:r>
    </w:p>
    <w:p>
      <w:pPr>
        <w:pStyle w:val="Heading1"/>
      </w:pPr>
      <w:r>
        <w:t>二 框架分层职责</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656"/>
            <w:vAlign w:val="center"/>
            <w:shd w:fill="173B70"/>
            <w:tcBorders>
              <w:top w:val="single" w:sz="6" w:space="0" w:color="173B70"/>
              <w:left w:val="single" w:sz="6" w:space="0" w:color="173B70"/>
              <w:bottom w:val="single" w:sz="6" w:space="0" w:color="173B70"/>
              <w:right w:val="single" w:sz="6" w:space="0" w:color="173B70"/>
              <w:insideH w:val="single" w:sz="6" w:space="0" w:color="173B70"/>
              <w:insideV w:val="single" w:sz="6" w:space="0" w:color="173B70"/>
            </w:tcBorders>
          </w:tcPr>
          <w:p>
            <w:pPr>
              <w:spacing w:after="40" w:before="40" w:line="276" w:lineRule="auto"/>
              <w:jc w:val="center"/>
            </w:pPr>
            <w:r/>
            <w:r>
              <w:rPr>
                <w:rFonts w:ascii="Microsoft YaHei" w:hAnsi="Microsoft YaHei" w:eastAsia="Microsoft YaHei"/>
                <w:b/>
                <w:i w:val="0"/>
                <w:color w:val="FFFFFF"/>
                <w:sz w:val="18"/>
              </w:rPr>
              <w:t>层级</w:t>
            </w:r>
          </w:p>
        </w:tc>
        <w:tc>
          <w:tcPr>
            <w:tcW w:type="dxa" w:w="3816"/>
            <w:vAlign w:val="center"/>
            <w:shd w:fill="173B70"/>
            <w:tcBorders>
              <w:top w:val="single" w:sz="6" w:space="0" w:color="173B70"/>
              <w:left w:val="single" w:sz="6" w:space="0" w:color="173B70"/>
              <w:bottom w:val="single" w:sz="6" w:space="0" w:color="173B70"/>
              <w:right w:val="single" w:sz="6" w:space="0" w:color="173B70"/>
              <w:insideH w:val="single" w:sz="6" w:space="0" w:color="173B70"/>
              <w:insideV w:val="single" w:sz="6" w:space="0" w:color="173B70"/>
            </w:tcBorders>
          </w:tcPr>
          <w:p>
            <w:pPr>
              <w:spacing w:after="40" w:before="40" w:line="276" w:lineRule="auto"/>
              <w:jc w:val="center"/>
            </w:pPr>
            <w:r/>
            <w:r>
              <w:rPr>
                <w:rFonts w:ascii="Microsoft YaHei" w:hAnsi="Microsoft YaHei" w:eastAsia="Microsoft YaHei"/>
                <w:b/>
                <w:i w:val="0"/>
                <w:color w:val="FFFFFF"/>
                <w:sz w:val="18"/>
              </w:rPr>
              <w:t>核心职责</w:t>
            </w:r>
          </w:p>
        </w:tc>
        <w:tc>
          <w:tcPr>
            <w:tcW w:type="dxa" w:w="2448"/>
            <w:vAlign w:val="center"/>
            <w:shd w:fill="173B70"/>
            <w:tcBorders>
              <w:top w:val="single" w:sz="6" w:space="0" w:color="173B70"/>
              <w:left w:val="single" w:sz="6" w:space="0" w:color="173B70"/>
              <w:bottom w:val="single" w:sz="6" w:space="0" w:color="173B70"/>
              <w:right w:val="single" w:sz="6" w:space="0" w:color="173B70"/>
              <w:insideH w:val="single" w:sz="6" w:space="0" w:color="173B70"/>
              <w:insideV w:val="single" w:sz="6" w:space="0" w:color="173B70"/>
            </w:tcBorders>
          </w:tcPr>
          <w:p>
            <w:pPr>
              <w:spacing w:after="40" w:before="40" w:line="276" w:lineRule="auto"/>
              <w:jc w:val="center"/>
            </w:pPr>
            <w:r/>
            <w:r>
              <w:rPr>
                <w:rFonts w:ascii="Microsoft YaHei" w:hAnsi="Microsoft YaHei" w:eastAsia="Microsoft YaHei"/>
                <w:b/>
                <w:i w:val="0"/>
                <w:color w:val="FFFFFF"/>
                <w:sz w:val="18"/>
              </w:rPr>
              <w:t>输入</w:t>
            </w:r>
          </w:p>
        </w:tc>
        <w:tc>
          <w:tcPr>
            <w:tcW w:type="dxa" w:w="2880"/>
            <w:vAlign w:val="center"/>
            <w:shd w:fill="173B70"/>
            <w:tcBorders>
              <w:top w:val="single" w:sz="6" w:space="0" w:color="173B70"/>
              <w:left w:val="single" w:sz="6" w:space="0" w:color="173B70"/>
              <w:bottom w:val="single" w:sz="6" w:space="0" w:color="173B70"/>
              <w:right w:val="single" w:sz="6" w:space="0" w:color="173B70"/>
              <w:insideH w:val="single" w:sz="6" w:space="0" w:color="173B70"/>
              <w:insideV w:val="single" w:sz="6" w:space="0" w:color="173B70"/>
            </w:tcBorders>
          </w:tcPr>
          <w:p>
            <w:pPr>
              <w:spacing w:after="40" w:before="40" w:line="276" w:lineRule="auto"/>
              <w:jc w:val="center"/>
            </w:pPr>
            <w:r/>
            <w:r>
              <w:rPr>
                <w:rFonts w:ascii="Microsoft YaHei" w:hAnsi="Microsoft YaHei" w:eastAsia="Microsoft YaHei"/>
                <w:b/>
                <w:i w:val="0"/>
                <w:color w:val="FFFFFF"/>
                <w:sz w:val="18"/>
              </w:rPr>
              <w:t>输出</w:t>
            </w:r>
          </w:p>
        </w:tc>
      </w:tr>
      <w:tr>
        <w:trPr>
          <w:cantSplit/>
        </w:trPr>
        <w:tc>
          <w:tcPr>
            <w:tcW w:type="dxa" w:w="1656"/>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数据来源</w:t>
            </w:r>
          </w:p>
        </w:tc>
        <w:tc>
          <w:tcPr>
            <w:tcW w:type="dxa" w:w="3816"/>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定义公开数据范围和平台字段</w:t>
            </w:r>
          </w:p>
        </w:tc>
        <w:tc>
          <w:tcPr>
            <w:tcW w:type="dxa" w:w="2448"/>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公开笔记、作者、评论</w:t>
            </w:r>
          </w:p>
        </w:tc>
        <w:tc>
          <w:tcPr>
            <w:tcW w:type="dxa" w:w="2880"/>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可采集对象</w:t>
            </w:r>
          </w:p>
        </w:tc>
      </w:tr>
      <w:tr>
        <w:trPr>
          <w:cantSplit/>
        </w:trPr>
        <w:tc>
          <w:tcPr>
            <w:tcW w:type="dxa" w:w="1656"/>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采集基座</w:t>
            </w:r>
          </w:p>
        </w:tc>
        <w:tc>
          <w:tcPr>
            <w:tcW w:type="dxa" w:w="3816"/>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请求、签名、分页、重试和任务管理</w:t>
            </w:r>
          </w:p>
        </w:tc>
        <w:tc>
          <w:tcPr>
            <w:tcW w:type="dxa" w:w="2448"/>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关键词、分页、会话状态</w:t>
            </w:r>
          </w:p>
        </w:tc>
        <w:tc>
          <w:tcPr>
            <w:tcW w:type="dxa" w:w="2880"/>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原始响应与任务轨迹</w:t>
            </w:r>
          </w:p>
        </w:tc>
      </w:tr>
      <w:tr>
        <w:trPr>
          <w:cantSplit/>
        </w:trPr>
        <w:tc>
          <w:tcPr>
            <w:tcW w:type="dxa" w:w="1656"/>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数据层</w:t>
            </w:r>
          </w:p>
        </w:tc>
        <w:tc>
          <w:tcPr>
            <w:tcW w:type="dxa" w:w="3816"/>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保存、去重、标准化和按周快照</w:t>
            </w:r>
          </w:p>
        </w:tc>
        <w:tc>
          <w:tcPr>
            <w:tcW w:type="dxa" w:w="2448"/>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原始响应</w:t>
            </w:r>
          </w:p>
        </w:tc>
        <w:tc>
          <w:tcPr>
            <w:tcW w:type="dxa" w:w="2880"/>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NormalizedNote / Comment</w:t>
            </w:r>
          </w:p>
        </w:tc>
      </w:tr>
      <w:tr>
        <w:trPr>
          <w:cantSplit/>
        </w:trPr>
        <w:tc>
          <w:tcPr>
            <w:tcW w:type="dxa" w:w="1656"/>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分析层</w:t>
            </w:r>
          </w:p>
        </w:tc>
        <w:tc>
          <w:tcPr>
            <w:tcW w:type="dxa" w:w="3816"/>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计算指标、识别热点、评估情绪和竞品差距</w:t>
            </w:r>
          </w:p>
        </w:tc>
        <w:tc>
          <w:tcPr>
            <w:tcW w:type="dxa" w:w="2448"/>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标准化数据、配置规则</w:t>
            </w:r>
          </w:p>
        </w:tc>
        <w:tc>
          <w:tcPr>
            <w:tcW w:type="dxa" w:w="2880"/>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BrandWeeklySnapshot</w:t>
            </w:r>
          </w:p>
        </w:tc>
      </w:tr>
      <w:tr>
        <w:trPr>
          <w:cantSplit/>
        </w:trPr>
        <w:tc>
          <w:tcPr>
            <w:tcW w:type="dxa" w:w="1656"/>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展示层</w:t>
            </w:r>
          </w:p>
        </w:tc>
        <w:tc>
          <w:tcPr>
            <w:tcW w:type="dxa" w:w="3816"/>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门户看板、下钻证据和周报导出</w:t>
            </w:r>
          </w:p>
        </w:tc>
        <w:tc>
          <w:tcPr>
            <w:tcW w:type="dxa" w:w="2448"/>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周报快照、运行状态</w:t>
            </w:r>
          </w:p>
        </w:tc>
        <w:tc>
          <w:tcPr>
            <w:tcW w:type="dxa" w:w="2880"/>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门户、HTML/PDF/JSON</w:t>
            </w:r>
          </w:p>
        </w:tc>
      </w:tr>
    </w:tbl>
    <w:p>
      <w:pPr>
        <w:spacing w:after="40"/>
      </w:pPr>
    </w:p>
    <w:p>
      <w:pPr>
        <w:pStyle w:val="Heading1"/>
      </w:pPr>
      <w:r>
        <w:t>三 功能结构图</w:t>
      </w:r>
    </w:p>
    <w:p>
      <w:pPr>
        <w:jc w:val="center"/>
      </w:pPr>
      <w:r>
        <w:drawing>
          <wp:inline xmlns:a="http://schemas.openxmlformats.org/drawingml/2006/main" xmlns:pic="http://schemas.openxmlformats.org/drawingml/2006/picture">
            <wp:extent cx="6263640" cy="3897376"/>
            <wp:docPr id="2" name="Picture 2"/>
            <wp:cNvGraphicFramePr>
              <a:graphicFrameLocks noChangeAspect="1"/>
            </wp:cNvGraphicFramePr>
            <a:graphic>
              <a:graphicData uri="http://schemas.openxmlformats.org/drawingml/2006/picture">
                <pic:pic>
                  <pic:nvPicPr>
                    <pic:cNvPr id="0" name="brand-report-functional-structure.png"/>
                    <pic:cNvPicPr/>
                  </pic:nvPicPr>
                  <pic:blipFill>
                    <a:blip r:embed="rId12"/>
                    <a:stretch>
                      <a:fillRect/>
                    </a:stretch>
                  </pic:blipFill>
                  <pic:spPr>
                    <a:xfrm>
                      <a:off x="0" y="0"/>
                      <a:ext cx="6263640" cy="3897376"/>
                    </a:xfrm>
                    <a:prstGeom prst="rect"/>
                  </pic:spPr>
                </pic:pic>
              </a:graphicData>
            </a:graphic>
          </wp:inline>
        </w:drawing>
      </w:r>
    </w:p>
    <w:p>
      <w:pPr>
        <w:spacing w:before="60" w:after="180"/>
        <w:jc w:val="center"/>
      </w:pPr>
      <w:r>
        <w:rPr>
          <w:rFonts w:ascii="Microsoft YaHei" w:hAnsi="Microsoft YaHei" w:eastAsia="Microsoft YaHei"/>
          <w:b w:val="0"/>
          <w:i/>
          <w:color w:val="64748B"/>
          <w:sz w:val="18"/>
        </w:rPr>
        <w:t>图 2  品牌营销周报门户功能结构</w:t>
      </w:r>
    </w:p>
    <w:p>
      <w:r>
        <w:rPr>
          <w:rFonts w:ascii="Microsoft YaHei" w:hAnsi="Microsoft YaHei" w:eastAsia="Microsoft YaHei"/>
          <w:b w:val="0"/>
          <w:i w:val="0"/>
          <w:color w:val="15243C"/>
          <w:sz w:val="21"/>
        </w:rPr>
        <w:t>门户以周报总览为一级入口，核心分析模块围绕四个问题组织：品牌本周表现如何、用户正在讨论什么、竞品在哪些话题上领先、用户为什么喜欢或不满。行动中心把结论转成负责人和截止时间，周报归档保存历史快照，报表设置维护品牌词和分析阈值。</w:t>
      </w:r>
    </w:p>
    <w:p>
      <w:pPr>
        <w:pStyle w:val="Heading1"/>
      </w:pPr>
      <w:r>
        <w:t>四 功能模块文字说明</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656"/>
            <w:vAlign w:val="center"/>
            <w:shd w:fill="173B70"/>
            <w:tcBorders>
              <w:top w:val="single" w:sz="6" w:space="0" w:color="173B70"/>
              <w:left w:val="single" w:sz="6" w:space="0" w:color="173B70"/>
              <w:bottom w:val="single" w:sz="6" w:space="0" w:color="173B70"/>
              <w:right w:val="single" w:sz="6" w:space="0" w:color="173B70"/>
              <w:insideH w:val="single" w:sz="6" w:space="0" w:color="173B70"/>
              <w:insideV w:val="single" w:sz="6" w:space="0" w:color="173B70"/>
            </w:tcBorders>
          </w:tcPr>
          <w:p>
            <w:pPr>
              <w:spacing w:after="40" w:before="40" w:line="276" w:lineRule="auto"/>
              <w:jc w:val="center"/>
            </w:pPr>
            <w:r/>
            <w:r>
              <w:rPr>
                <w:rFonts w:ascii="Microsoft YaHei" w:hAnsi="Microsoft YaHei" w:eastAsia="Microsoft YaHei"/>
                <w:b/>
                <w:i w:val="0"/>
                <w:color w:val="FFFFFF"/>
                <w:sz w:val="18"/>
              </w:rPr>
              <w:t>模块</w:t>
            </w:r>
          </w:p>
        </w:tc>
        <w:tc>
          <w:tcPr>
            <w:tcW w:type="dxa" w:w="3528"/>
            <w:vAlign w:val="center"/>
            <w:shd w:fill="173B70"/>
            <w:tcBorders>
              <w:top w:val="single" w:sz="6" w:space="0" w:color="173B70"/>
              <w:left w:val="single" w:sz="6" w:space="0" w:color="173B70"/>
              <w:bottom w:val="single" w:sz="6" w:space="0" w:color="173B70"/>
              <w:right w:val="single" w:sz="6" w:space="0" w:color="173B70"/>
              <w:insideH w:val="single" w:sz="6" w:space="0" w:color="173B70"/>
              <w:insideV w:val="single" w:sz="6" w:space="0" w:color="173B70"/>
            </w:tcBorders>
          </w:tcPr>
          <w:p>
            <w:pPr>
              <w:spacing w:after="40" w:before="40" w:line="276" w:lineRule="auto"/>
              <w:jc w:val="center"/>
            </w:pPr>
            <w:r/>
            <w:r>
              <w:rPr>
                <w:rFonts w:ascii="Microsoft YaHei" w:hAnsi="Microsoft YaHei" w:eastAsia="Microsoft YaHei"/>
                <w:b/>
                <w:i w:val="0"/>
                <w:color w:val="FFFFFF"/>
                <w:sz w:val="18"/>
              </w:rPr>
              <w:t>功能说明</w:t>
            </w:r>
          </w:p>
        </w:tc>
        <w:tc>
          <w:tcPr>
            <w:tcW w:type="dxa" w:w="3240"/>
            <w:vAlign w:val="center"/>
            <w:shd w:fill="173B70"/>
            <w:tcBorders>
              <w:top w:val="single" w:sz="6" w:space="0" w:color="173B70"/>
              <w:left w:val="single" w:sz="6" w:space="0" w:color="173B70"/>
              <w:bottom w:val="single" w:sz="6" w:space="0" w:color="173B70"/>
              <w:right w:val="single" w:sz="6" w:space="0" w:color="173B70"/>
              <w:insideH w:val="single" w:sz="6" w:space="0" w:color="173B70"/>
              <w:insideV w:val="single" w:sz="6" w:space="0" w:color="173B70"/>
            </w:tcBorders>
          </w:tcPr>
          <w:p>
            <w:pPr>
              <w:spacing w:after="40" w:before="40" w:line="276" w:lineRule="auto"/>
              <w:jc w:val="center"/>
            </w:pPr>
            <w:r/>
            <w:r>
              <w:rPr>
                <w:rFonts w:ascii="Microsoft YaHei" w:hAnsi="Microsoft YaHei" w:eastAsia="Microsoft YaHei"/>
                <w:b/>
                <w:i w:val="0"/>
                <w:color w:val="FFFFFF"/>
                <w:sz w:val="18"/>
              </w:rPr>
              <w:t>关键页面元素</w:t>
            </w:r>
          </w:p>
        </w:tc>
        <w:tc>
          <w:tcPr>
            <w:tcW w:type="dxa" w:w="2376"/>
            <w:vAlign w:val="center"/>
            <w:shd w:fill="173B70"/>
            <w:tcBorders>
              <w:top w:val="single" w:sz="6" w:space="0" w:color="173B70"/>
              <w:left w:val="single" w:sz="6" w:space="0" w:color="173B70"/>
              <w:bottom w:val="single" w:sz="6" w:space="0" w:color="173B70"/>
              <w:right w:val="single" w:sz="6" w:space="0" w:color="173B70"/>
              <w:insideH w:val="single" w:sz="6" w:space="0" w:color="173B70"/>
              <w:insideV w:val="single" w:sz="6" w:space="0" w:color="173B70"/>
            </w:tcBorders>
          </w:tcPr>
          <w:p>
            <w:pPr>
              <w:spacing w:after="40" w:before="40" w:line="276" w:lineRule="auto"/>
              <w:jc w:val="center"/>
            </w:pPr>
            <w:r/>
            <w:r>
              <w:rPr>
                <w:rFonts w:ascii="Microsoft YaHei" w:hAnsi="Microsoft YaHei" w:eastAsia="Microsoft YaHei"/>
                <w:b/>
                <w:i w:val="0"/>
                <w:color w:val="FFFFFF"/>
                <w:sz w:val="18"/>
              </w:rPr>
              <w:t>依赖数据</w:t>
            </w:r>
          </w:p>
        </w:tc>
      </w:tr>
      <w:tr>
        <w:trPr>
          <w:cantSplit/>
        </w:trPr>
        <w:tc>
          <w:tcPr>
            <w:tcW w:type="dxa" w:w="1656"/>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周报总览</w:t>
            </w:r>
          </w:p>
        </w:tc>
        <w:tc>
          <w:tcPr>
            <w:tcW w:type="dxa" w:w="3528"/>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展示本周核心 KPI、环比变化和自动摘要</w:t>
            </w:r>
          </w:p>
        </w:tc>
        <w:tc>
          <w:tcPr>
            <w:tcW w:type="dxa" w:w="3240"/>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声量、互动、情绪、风险卡片；趋势图；本周结论</w:t>
            </w:r>
          </w:p>
        </w:tc>
        <w:tc>
          <w:tcPr>
            <w:tcW w:type="dxa" w:w="2376"/>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BrandWeeklySnapshot.kpis / trend / insights</w:t>
            </w:r>
          </w:p>
        </w:tc>
      </w:tr>
      <w:tr>
        <w:trPr>
          <w:cantSplit/>
        </w:trPr>
        <w:tc>
          <w:tcPr>
            <w:tcW w:type="dxa" w:w="1656"/>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热点雷达</w:t>
            </w:r>
          </w:p>
        </w:tc>
        <w:tc>
          <w:tcPr>
            <w:tcW w:type="dxa" w:w="3528"/>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发现增长最快的话题并提供内容证据</w:t>
            </w:r>
          </w:p>
        </w:tc>
        <w:tc>
          <w:tcPr>
            <w:tcW w:type="dxa" w:w="3240"/>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话题排行、增长率、情绪、样本笔记</w:t>
            </w:r>
          </w:p>
        </w:tc>
        <w:tc>
          <w:tcPr>
            <w:tcW w:type="dxa" w:w="2376"/>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topics / notes / matched_terms</w:t>
            </w:r>
          </w:p>
        </w:tc>
      </w:tr>
      <w:tr>
        <w:trPr>
          <w:cantSplit/>
        </w:trPr>
        <w:tc>
          <w:tcPr>
            <w:tcW w:type="dxa" w:w="1656"/>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竞品对标</w:t>
            </w:r>
          </w:p>
        </w:tc>
        <w:tc>
          <w:tcPr>
            <w:tcW w:type="dxa" w:w="3528"/>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比较品牌与竞品的声量份额和互动效率</w:t>
            </w:r>
          </w:p>
        </w:tc>
        <w:tc>
          <w:tcPr>
            <w:tcW w:type="dxa" w:w="3240"/>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Share of Voice、进度条、机会提示</w:t>
            </w:r>
          </w:p>
        </w:tc>
        <w:tc>
          <w:tcPr>
            <w:tcW w:type="dxa" w:w="2376"/>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competitors / volume / interactions</w:t>
            </w:r>
          </w:p>
        </w:tc>
      </w:tr>
      <w:tr>
        <w:trPr>
          <w:cantSplit/>
        </w:trPr>
        <w:tc>
          <w:tcPr>
            <w:tcW w:type="dxa" w:w="1656"/>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情绪与评价</w:t>
            </w:r>
          </w:p>
        </w:tc>
        <w:tc>
          <w:tcPr>
            <w:tcW w:type="dxa" w:w="3528"/>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拆分正向、中性、负向声音并识别评价维度</w:t>
            </w:r>
          </w:p>
        </w:tc>
        <w:tc>
          <w:tcPr>
            <w:tcW w:type="dxa" w:w="3240"/>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情绪环图、关键词、原声评论、风险证据</w:t>
            </w:r>
          </w:p>
        </w:tc>
        <w:tc>
          <w:tcPr>
            <w:tcW w:type="dxa" w:w="2376"/>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sentiment / comments / evidence</w:t>
            </w:r>
          </w:p>
        </w:tc>
      </w:tr>
      <w:tr>
        <w:trPr>
          <w:cantSplit/>
        </w:trPr>
        <w:tc>
          <w:tcPr>
            <w:tcW w:type="dxa" w:w="1656"/>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行动中心</w:t>
            </w:r>
          </w:p>
        </w:tc>
        <w:tc>
          <w:tcPr>
            <w:tcW w:type="dxa" w:w="3528"/>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把洞察转成可跟踪的营销任务</w:t>
            </w:r>
          </w:p>
        </w:tc>
        <w:tc>
          <w:tcPr>
            <w:tcW w:type="dxa" w:w="3240"/>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行动项、负责人、截止时间、优先级</w:t>
            </w:r>
          </w:p>
        </w:tc>
        <w:tc>
          <w:tcPr>
            <w:tcW w:type="dxa" w:w="2376"/>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insights / action_items</w:t>
            </w:r>
          </w:p>
        </w:tc>
      </w:tr>
      <w:tr>
        <w:trPr>
          <w:cantSplit/>
        </w:trPr>
        <w:tc>
          <w:tcPr>
            <w:tcW w:type="dxa" w:w="1656"/>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周报归档</w:t>
            </w:r>
          </w:p>
        </w:tc>
        <w:tc>
          <w:tcPr>
            <w:tcW w:type="dxa" w:w="3528"/>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按品牌和周次查看历史快照并导出</w:t>
            </w:r>
          </w:p>
        </w:tc>
        <w:tc>
          <w:tcPr>
            <w:tcW w:type="dxa" w:w="3240"/>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周次筛选、版本差异、导出记录</w:t>
            </w:r>
          </w:p>
        </w:tc>
        <w:tc>
          <w:tcPr>
            <w:tcW w:type="dxa" w:w="2376"/>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weekly_snapshots / export_logs</w:t>
            </w:r>
          </w:p>
        </w:tc>
      </w:tr>
      <w:tr>
        <w:trPr>
          <w:cantSplit/>
        </w:trPr>
        <w:tc>
          <w:tcPr>
            <w:tcW w:type="dxa" w:w="1656"/>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报表设置</w:t>
            </w:r>
          </w:p>
        </w:tc>
        <w:tc>
          <w:tcPr>
            <w:tcW w:type="dxa" w:w="3528"/>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维护品牌、竞品、行业词和阈值</w:t>
            </w:r>
          </w:p>
        </w:tc>
        <w:tc>
          <w:tcPr>
            <w:tcW w:type="dxa" w:w="3240"/>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词库版本、阈值、权限和采集范围</w:t>
            </w:r>
          </w:p>
        </w:tc>
        <w:tc>
          <w:tcPr>
            <w:tcW w:type="dxa" w:w="2376"/>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brand_config / rule_versions</w:t>
            </w:r>
          </w:p>
        </w:tc>
      </w:tr>
    </w:tbl>
    <w:p>
      <w:pPr>
        <w:spacing w:after="40"/>
      </w:pPr>
    </w:p>
    <w:p>
      <w:pPr>
        <w:pStyle w:val="Heading1"/>
      </w:pPr>
      <w:r>
        <w:t>五 典型使用流程</w:t>
      </w:r>
    </w:p>
    <w:p>
      <w:pPr>
        <w:pStyle w:val="ListBullet"/>
        <w:spacing w:after="60"/>
        <w:ind w:left="317"/>
      </w:pPr>
      <w:r>
        <w:rPr>
          <w:rFonts w:ascii="Microsoft YaHei" w:hAnsi="Microsoft YaHei" w:eastAsia="Microsoft YaHei"/>
          <w:b w:val="0"/>
          <w:i w:val="0"/>
          <w:color w:val="15243C"/>
          <w:sz w:val="20"/>
        </w:rPr>
        <w:t>配置品牌工作区：录入品牌主词、别名、产品词、排除词和竞品词，并保存配置版本。</w:t>
      </w:r>
    </w:p>
    <w:p>
      <w:pPr>
        <w:pStyle w:val="ListBullet"/>
        <w:spacing w:after="60"/>
        <w:ind w:left="317"/>
      </w:pPr>
      <w:r>
        <w:rPr>
          <w:rFonts w:ascii="Microsoft YaHei" w:hAnsi="Microsoft YaHei" w:eastAsia="Microsoft YaHei"/>
          <w:b w:val="0"/>
          <w:i w:val="0"/>
          <w:color w:val="15243C"/>
          <w:sz w:val="20"/>
        </w:rPr>
        <w:t>执行周采集：采集基座按关键词和任务配置获取笔记、作者、评论及互动数据，记录任务状态和覆盖率。</w:t>
      </w:r>
    </w:p>
    <w:p>
      <w:pPr>
        <w:pStyle w:val="ListBullet"/>
        <w:spacing w:after="60"/>
        <w:ind w:left="317"/>
      </w:pPr>
      <w:r>
        <w:rPr>
          <w:rFonts w:ascii="Microsoft YaHei" w:hAnsi="Microsoft YaHei" w:eastAsia="Microsoft YaHei"/>
          <w:b w:val="0"/>
          <w:i w:val="0"/>
          <w:color w:val="15243C"/>
          <w:sz w:val="20"/>
        </w:rPr>
        <w:t>生成周报快照：标准化层去重和字段映射，分析层计算指标、话题、情绪、竞品差距和风险分。</w:t>
      </w:r>
    </w:p>
    <w:p>
      <w:pPr>
        <w:pStyle w:val="ListBullet"/>
        <w:spacing w:after="60"/>
        <w:ind w:left="317"/>
      </w:pPr>
      <w:r>
        <w:rPr>
          <w:rFonts w:ascii="Microsoft YaHei" w:hAnsi="Microsoft YaHei" w:eastAsia="Microsoft YaHei"/>
          <w:b w:val="0"/>
          <w:i w:val="0"/>
          <w:color w:val="15243C"/>
          <w:sz w:val="20"/>
        </w:rPr>
        <w:t>审核洞察证据：营销人员从总览下钻到笔记和评论，确认结论的样本量、时间窗和证据。</w:t>
      </w:r>
    </w:p>
    <w:p>
      <w:pPr>
        <w:pStyle w:val="ListBullet"/>
        <w:spacing w:after="60"/>
        <w:ind w:left="317"/>
      </w:pPr>
      <w:r>
        <w:rPr>
          <w:rFonts w:ascii="Microsoft YaHei" w:hAnsi="Microsoft YaHei" w:eastAsia="Microsoft YaHei"/>
          <w:b w:val="0"/>
          <w:i w:val="0"/>
          <w:color w:val="15243C"/>
          <w:sz w:val="20"/>
        </w:rPr>
        <w:t>形成行动计划：将热点机会、竞品差异和风险反馈转成内容、投放、产品或客服任务。</w:t>
      </w:r>
    </w:p>
    <w:p>
      <w:pPr>
        <w:pStyle w:val="ListBullet"/>
        <w:spacing w:after="60"/>
        <w:ind w:left="317"/>
      </w:pPr>
      <w:r>
        <w:rPr>
          <w:rFonts w:ascii="Microsoft YaHei" w:hAnsi="Microsoft YaHei" w:eastAsia="Microsoft YaHei"/>
          <w:b w:val="0"/>
          <w:i w:val="0"/>
          <w:color w:val="15243C"/>
          <w:sz w:val="20"/>
        </w:rPr>
        <w:t>归档与复盘：保存周报快照和导出版本，在下一周对比增长、行动完成度和风险变化。</w:t>
      </w:r>
    </w:p>
    <w:p>
      <w:pPr>
        <w:pStyle w:val="Heading1"/>
      </w:pPr>
      <w:r>
        <w:t>六 角色与权限建议</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vAlign w:val="center"/>
            <w:shd w:fill="173B70"/>
            <w:tcBorders>
              <w:top w:val="single" w:sz="6" w:space="0" w:color="173B70"/>
              <w:left w:val="single" w:sz="6" w:space="0" w:color="173B70"/>
              <w:bottom w:val="single" w:sz="6" w:space="0" w:color="173B70"/>
              <w:right w:val="single" w:sz="6" w:space="0" w:color="173B70"/>
              <w:insideH w:val="single" w:sz="6" w:space="0" w:color="173B70"/>
              <w:insideV w:val="single" w:sz="6" w:space="0" w:color="173B70"/>
            </w:tcBorders>
          </w:tcPr>
          <w:p>
            <w:pPr>
              <w:spacing w:after="40" w:before="40" w:line="276" w:lineRule="auto"/>
              <w:jc w:val="center"/>
            </w:pPr>
            <w:r/>
            <w:r>
              <w:rPr>
                <w:rFonts w:ascii="Microsoft YaHei" w:hAnsi="Microsoft YaHei" w:eastAsia="Microsoft YaHei"/>
                <w:b/>
                <w:i w:val="0"/>
                <w:color w:val="FFFFFF"/>
                <w:sz w:val="18"/>
              </w:rPr>
              <w:t>角色</w:t>
            </w:r>
          </w:p>
        </w:tc>
        <w:tc>
          <w:tcPr>
            <w:tcW w:type="dxa" w:w="3672"/>
            <w:vAlign w:val="center"/>
            <w:shd w:fill="173B70"/>
            <w:tcBorders>
              <w:top w:val="single" w:sz="6" w:space="0" w:color="173B70"/>
              <w:left w:val="single" w:sz="6" w:space="0" w:color="173B70"/>
              <w:bottom w:val="single" w:sz="6" w:space="0" w:color="173B70"/>
              <w:right w:val="single" w:sz="6" w:space="0" w:color="173B70"/>
              <w:insideH w:val="single" w:sz="6" w:space="0" w:color="173B70"/>
              <w:insideV w:val="single" w:sz="6" w:space="0" w:color="173B70"/>
            </w:tcBorders>
          </w:tcPr>
          <w:p>
            <w:pPr>
              <w:spacing w:after="40" w:before="40" w:line="276" w:lineRule="auto"/>
              <w:jc w:val="center"/>
            </w:pPr>
            <w:r/>
            <w:r>
              <w:rPr>
                <w:rFonts w:ascii="Microsoft YaHei" w:hAnsi="Microsoft YaHei" w:eastAsia="Microsoft YaHei"/>
                <w:b/>
                <w:i w:val="0"/>
                <w:color w:val="FFFFFF"/>
                <w:sz w:val="18"/>
              </w:rPr>
              <w:t>可见范围</w:t>
            </w:r>
          </w:p>
        </w:tc>
        <w:tc>
          <w:tcPr>
            <w:tcW w:type="dxa" w:w="5328"/>
            <w:vAlign w:val="center"/>
            <w:shd w:fill="173B70"/>
            <w:tcBorders>
              <w:top w:val="single" w:sz="6" w:space="0" w:color="173B70"/>
              <w:left w:val="single" w:sz="6" w:space="0" w:color="173B70"/>
              <w:bottom w:val="single" w:sz="6" w:space="0" w:color="173B70"/>
              <w:right w:val="single" w:sz="6" w:space="0" w:color="173B70"/>
              <w:insideH w:val="single" w:sz="6" w:space="0" w:color="173B70"/>
              <w:insideV w:val="single" w:sz="6" w:space="0" w:color="173B70"/>
            </w:tcBorders>
          </w:tcPr>
          <w:p>
            <w:pPr>
              <w:spacing w:after="40" w:before="40" w:line="276" w:lineRule="auto"/>
              <w:jc w:val="center"/>
            </w:pPr>
            <w:r/>
            <w:r>
              <w:rPr>
                <w:rFonts w:ascii="Microsoft YaHei" w:hAnsi="Microsoft YaHei" w:eastAsia="Microsoft YaHei"/>
                <w:b/>
                <w:i w:val="0"/>
                <w:color w:val="FFFFFF"/>
                <w:sz w:val="18"/>
              </w:rPr>
              <w:t>主要操作</w:t>
            </w:r>
          </w:p>
        </w:tc>
      </w:tr>
      <w:tr>
        <w:trPr>
          <w:cantSplit/>
        </w:trPr>
        <w:tc>
          <w:tcPr>
            <w:tcW w:type="dxa" w:w="1800"/>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品牌负责人</w:t>
            </w:r>
          </w:p>
        </w:tc>
        <w:tc>
          <w:tcPr>
            <w:tcW w:type="dxa" w:w="3672"/>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全部品牌周报和归档</w:t>
            </w:r>
          </w:p>
        </w:tc>
        <w:tc>
          <w:tcPr>
            <w:tcW w:type="dxa" w:w="5328"/>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查看结论、确认行动、导出周报</w:t>
            </w:r>
          </w:p>
        </w:tc>
      </w:tr>
      <w:tr>
        <w:trPr>
          <w:cantSplit/>
        </w:trPr>
        <w:tc>
          <w:tcPr>
            <w:tcW w:type="dxa" w:w="1800"/>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内容运营</w:t>
            </w:r>
          </w:p>
        </w:tc>
        <w:tc>
          <w:tcPr>
            <w:tcW w:type="dxa" w:w="3672"/>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热点、笔记和行动中心</w:t>
            </w:r>
          </w:p>
        </w:tc>
        <w:tc>
          <w:tcPr>
            <w:tcW w:type="dxa" w:w="5328"/>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筛选话题、查看证据、维护选题任务</w:t>
            </w:r>
          </w:p>
        </w:tc>
      </w:tr>
      <w:tr>
        <w:trPr>
          <w:cantSplit/>
        </w:trPr>
        <w:tc>
          <w:tcPr>
            <w:tcW w:type="dxa" w:w="1800"/>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媒介投放</w:t>
            </w:r>
          </w:p>
        </w:tc>
        <w:tc>
          <w:tcPr>
            <w:tcW w:type="dxa" w:w="3672"/>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竞品与达人相关模块</w:t>
            </w:r>
          </w:p>
        </w:tc>
        <w:tc>
          <w:tcPr>
            <w:tcW w:type="dxa" w:w="5328"/>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查看声量份额、互动效率和作者结构</w:t>
            </w:r>
          </w:p>
        </w:tc>
      </w:tr>
      <w:tr>
        <w:trPr>
          <w:cantSplit/>
        </w:trPr>
        <w:tc>
          <w:tcPr>
            <w:tcW w:type="dxa" w:w="1800"/>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公关客服</w:t>
            </w:r>
          </w:p>
        </w:tc>
        <w:tc>
          <w:tcPr>
            <w:tcW w:type="dxa" w:w="3672"/>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情绪、评价和风险证据</w:t>
            </w:r>
          </w:p>
        </w:tc>
        <w:tc>
          <w:tcPr>
            <w:tcW w:type="dxa" w:w="5328"/>
            <w:vAlign w:val="center"/>
            <w:shd w:fill="F7F9FC"/>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查看负向样本、记录回应和处理状态</w:t>
            </w:r>
          </w:p>
        </w:tc>
      </w:tr>
      <w:tr>
        <w:trPr>
          <w:cantSplit/>
        </w:trPr>
        <w:tc>
          <w:tcPr>
            <w:tcW w:type="dxa" w:w="1800"/>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数据管理员</w:t>
            </w:r>
          </w:p>
        </w:tc>
        <w:tc>
          <w:tcPr>
            <w:tcW w:type="dxa" w:w="3672"/>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配置、任务、质量和审计</w:t>
            </w:r>
          </w:p>
        </w:tc>
        <w:tc>
          <w:tcPr>
            <w:tcW w:type="dxa" w:w="5328"/>
            <w:vAlign w:val="center"/>
            <w:shd w:fill="FFFFFF"/>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Pr>
          <w:p>
            <w:pPr>
              <w:spacing w:after="40" w:before="40" w:line="276" w:lineRule="auto"/>
              <w:jc w:val="left"/>
            </w:pPr>
            <w:r/>
            <w:r>
              <w:rPr>
                <w:rFonts w:ascii="Microsoft YaHei" w:hAnsi="Microsoft YaHei" w:eastAsia="Microsoft YaHei"/>
                <w:b w:val="0"/>
                <w:i w:val="0"/>
                <w:color w:val="15243C"/>
                <w:sz w:val="17"/>
              </w:rPr>
              <w:t>维护词库、阈值、采集任务和版本</w:t>
            </w:r>
          </w:p>
        </w:tc>
      </w:tr>
    </w:tbl>
    <w:p>
      <w:pPr>
        <w:spacing w:after="40"/>
      </w:pPr>
    </w:p>
    <w:p>
      <w:pPr>
        <w:pStyle w:val="Heading1"/>
      </w:pPr>
      <w:r>
        <w:t>七 非功能要求与验收重点</w:t>
      </w:r>
    </w:p>
    <w:p>
      <w:pPr>
        <w:pStyle w:val="ListBullet"/>
        <w:spacing w:after="60"/>
        <w:ind w:left="317"/>
      </w:pPr>
      <w:r>
        <w:rPr>
          <w:rFonts w:ascii="Microsoft YaHei" w:hAnsi="Microsoft YaHei" w:eastAsia="Microsoft YaHei"/>
          <w:b w:val="0"/>
          <w:i w:val="0"/>
          <w:color w:val="15243C"/>
          <w:sz w:val="20"/>
        </w:rPr>
        <w:t>可用性：门户在 375px、768px、1024px 和 1440px 宽度下保持可读和可操作，不出现横向滚动。</w:t>
      </w:r>
    </w:p>
    <w:p>
      <w:pPr>
        <w:pStyle w:val="ListBullet"/>
        <w:spacing w:after="60"/>
        <w:ind w:left="317"/>
      </w:pPr>
      <w:r>
        <w:rPr>
          <w:rFonts w:ascii="Microsoft YaHei" w:hAnsi="Microsoft YaHei" w:eastAsia="Microsoft YaHei"/>
          <w:b w:val="0"/>
          <w:i w:val="0"/>
          <w:color w:val="15243C"/>
          <w:sz w:val="20"/>
        </w:rPr>
        <w:t>可追溯性：每个 KPI 和洞察都能查看时间窗、样本量、覆盖率、规则版本和证据对象。</w:t>
      </w:r>
    </w:p>
    <w:p>
      <w:pPr>
        <w:pStyle w:val="ListBullet"/>
        <w:spacing w:after="60"/>
        <w:ind w:left="317"/>
      </w:pPr>
      <w:r>
        <w:rPr>
          <w:rFonts w:ascii="Microsoft YaHei" w:hAnsi="Microsoft YaHei" w:eastAsia="Microsoft YaHei"/>
          <w:b w:val="0"/>
          <w:i w:val="0"/>
          <w:color w:val="15243C"/>
          <w:sz w:val="20"/>
        </w:rPr>
        <w:t>可恢复性：采集失败时保留上一版快照，并在门户中显示采集状态和数据新鲜度。</w:t>
      </w:r>
    </w:p>
    <w:p>
      <w:pPr>
        <w:pStyle w:val="ListBullet"/>
        <w:spacing w:after="60"/>
        <w:ind w:left="317"/>
      </w:pPr>
      <w:r>
        <w:rPr>
          <w:rFonts w:ascii="Microsoft YaHei" w:hAnsi="Microsoft YaHei" w:eastAsia="Microsoft YaHei"/>
          <w:b w:val="0"/>
          <w:i w:val="0"/>
          <w:color w:val="15243C"/>
          <w:sz w:val="20"/>
        </w:rPr>
        <w:t>可重算性：同一份离线快照重复执行分析任务，应得到一致的指标和排序结果。</w:t>
      </w:r>
    </w:p>
    <w:p>
      <w:pPr>
        <w:pStyle w:val="ListBullet"/>
        <w:spacing w:after="60"/>
        <w:ind w:left="317"/>
      </w:pPr>
      <w:r>
        <w:rPr>
          <w:rFonts w:ascii="Microsoft YaHei" w:hAnsi="Microsoft YaHei" w:eastAsia="Microsoft YaHei"/>
          <w:b w:val="0"/>
          <w:i w:val="0"/>
          <w:color w:val="15243C"/>
          <w:sz w:val="20"/>
        </w:rPr>
        <w:t>性能：门户首屏只读取周报快照，原始响应和证据在用户下钻时按需加载。</w:t>
      </w:r>
    </w:p>
    <w:p>
      <w:pPr>
        <w:pStyle w:val="ListBullet"/>
        <w:spacing w:after="60"/>
        <w:ind w:left="317"/>
      </w:pPr>
      <w:r>
        <w:rPr>
          <w:rFonts w:ascii="Microsoft YaHei" w:hAnsi="Microsoft YaHei" w:eastAsia="Microsoft YaHei"/>
          <w:b w:val="0"/>
          <w:i w:val="0"/>
          <w:color w:val="15243C"/>
          <w:sz w:val="20"/>
        </w:rPr>
        <w:t>安全：账号会话、Cookie、设备私有配置和运行数据库不进入周报导出文件。</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i w:val="0"/>
        <w:color w:val="64748B"/>
        <w:sz w:val="16"/>
      </w:rPr>
      <w:t>小红书品牌营销可视化周报系统 · 设计与开发文档</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i w:val="0"/>
        <w:color w:val="64748B"/>
        <w:sz w:val="17"/>
      </w:rPr>
      <w:t>XHS Brand Weekly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24" w:lineRule="auto"/>
    </w:pPr>
    <w:rPr>
      <w:rFonts w:ascii="Microsoft YaHei" w:hAnsi="Microsoft YaHei" w:eastAsia="Microsoft YaHei"/>
      <w:color w:val="1524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80"/>
      <w:contextualSpacing/>
    </w:pPr>
    <w:rPr>
      <w:rFonts w:asciiTheme="majorHAnsi" w:eastAsiaTheme="majorEastAsia" w:hAnsiTheme="majorHAnsi" w:cstheme="majorBidi" w:ascii="Microsoft YaHei" w:hAnsi="Microsoft YaHei"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