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Office:</w:t>
      </w:r>
      <w:r>
        <w:t xml:space="preserve"> </w:t>
      </w:r>
      <w:r>
        <w:t xml:space="preserve">Overview</w:t>
      </w:r>
    </w:p>
    <w:p>
      <w:pPr>
        <w:pStyle w:val="Author"/>
      </w:pPr>
      <w:r>
        <w:t xml:space="preserve">Marcin</w:t>
      </w:r>
      <w:r>
        <w:t xml:space="preserve"> </w:t>
      </w:r>
      <w:r>
        <w:t xml:space="preserve">Zinówko</w:t>
      </w:r>
    </w:p>
    <w:bookmarkStart w:id="20" w:name="a-brief-description-of-the-office"/>
    <w:p>
      <w:pPr>
        <w:pStyle w:val="Heading2"/>
      </w:pPr>
      <w:r>
        <w:t xml:space="preserve">A Brief Description of</w:t>
      </w:r>
      <w:r>
        <w:t xml:space="preserve"> </w:t>
      </w:r>
      <w:r>
        <w:rPr>
          <w:i/>
          <w:iCs/>
        </w:rPr>
        <w:t xml:space="preserve">The Office</w:t>
      </w:r>
    </w:p>
    <w:p>
      <w:pPr>
        <w:pStyle w:val="FirstParagraph"/>
      </w:pPr>
      <w:r>
        <w:rPr>
          <w:i/>
          <w:iCs/>
        </w:rPr>
        <w:t xml:space="preserve">The Office</w:t>
      </w:r>
      <w:r>
        <w:t xml:space="preserve"> </w:t>
      </w:r>
      <w:r>
        <w:t xml:space="preserve">is an American mockumentary sitcom television series based on the 2001–2003 BBC series of the same name created by (and starring) Ricky Gervais and Stephen Merchant. Adapted for NBC by Greg Daniels, a veteran writer for</w:t>
      </w:r>
      <w:r>
        <w:t xml:space="preserve"> </w:t>
      </w:r>
      <w:r>
        <w:rPr>
          <w:i/>
          <w:iCs/>
        </w:rPr>
        <w:t xml:space="preserve">Saturday Night Live, King of the Hill,</w:t>
      </w:r>
      <w:r>
        <w:t xml:space="preserve"> </w:t>
      </w:r>
      <w:r>
        <w:t xml:space="preserve">and</w:t>
      </w:r>
      <w:r>
        <w:t xml:space="preserve"> </w:t>
      </w:r>
      <w:r>
        <w:rPr>
          <w:i/>
          <w:iCs/>
        </w:rPr>
        <w:t xml:space="preserve">The Simpsons,</w:t>
      </w:r>
      <w:r>
        <w:t xml:space="preserve"> </w:t>
      </w:r>
      <w:r>
        <w:t xml:space="preserve">the show depicts the everyday work lives of office employees at the Scranton, Pennsylvania, branch of the fictional Dunder Mifflin Paper Company, and aired from March 24, 2005, to May 16, 2013, with a total of nine seasons consisting of 201 episodes.</w:t>
      </w:r>
    </w:p>
    <w:bookmarkEnd w:id="20"/>
    <w:bookmarkStart w:id="24" w:name="show-logo"/>
    <w:p>
      <w:pPr>
        <w:pStyle w:val="Heading2"/>
      </w:pPr>
      <w:r>
        <w:t xml:space="preserve">Show Logo</w:t>
      </w:r>
    </w:p>
    <w:p>
      <w:pPr>
        <w:pStyle w:val="CaptionedFigure"/>
      </w:pPr>
      <w:r>
        <w:drawing>
          <wp:inline>
            <wp:extent cx="2794000" cy="482600"/>
            <wp:effectExtent b="0" l="0" r="0" t="0"/>
            <wp:docPr descr="The Office Logo" title="" id="22" name="Picture"/>
            <a:graphic>
              <a:graphicData uri="http://schemas.openxmlformats.org/drawingml/2006/picture">
                <pic:pic>
                  <pic:nvPicPr>
                    <pic:cNvPr descr="Theoffice.png" id="23" name="Picture"/>
                    <pic:cNvPicPr>
                      <a:picLocks noChangeArrowheads="1" noChangeAspect="1"/>
                    </pic:cNvPicPr>
                  </pic:nvPicPr>
                  <pic:blipFill>
                    <a:blip r:embed="rId21"/>
                    <a:stretch>
                      <a:fillRect/>
                    </a:stretch>
                  </pic:blipFill>
                  <pic:spPr bwMode="auto">
                    <a:xfrm>
                      <a:off x="0" y="0"/>
                      <a:ext cx="2794000" cy="482600"/>
                    </a:xfrm>
                    <a:prstGeom prst="rect">
                      <a:avLst/>
                    </a:prstGeom>
                    <a:noFill/>
                    <a:ln w="9525">
                      <a:noFill/>
                      <a:headEnd/>
                      <a:tailEnd/>
                    </a:ln>
                  </pic:spPr>
                </pic:pic>
              </a:graphicData>
            </a:graphic>
          </wp:inline>
        </w:drawing>
      </w:r>
    </w:p>
    <w:p>
      <w:pPr>
        <w:pStyle w:val="ImageCaption"/>
      </w:pPr>
      <w:r>
        <w:t xml:space="preserve">The Office Logo</w:t>
      </w:r>
    </w:p>
    <w:bookmarkEnd w:id="24"/>
    <w:bookmarkStart w:id="31" w:name="basic-statistics"/>
    <w:p>
      <w:pPr>
        <w:pStyle w:val="Heading2"/>
      </w:pPr>
      <w:r>
        <w:t xml:space="preserve">Basic Statistics</w:t>
      </w:r>
    </w:p>
    <w:p>
      <w:pPr>
        <w:pStyle w:val="FirstParagraph"/>
      </w:pPr>
      <w:r>
        <w:t xml:space="preserve">Here is a summary of some basic statistics on viewership and ratings:</w:t>
      </w:r>
    </w:p>
    <w:p>
      <w:pPr>
        <w:pStyle w:val="Heading3"/>
      </w:pPr>
      <w:r>
        <w:t xml:space="preserve">Python 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Season</w:t>
            </w:r>
          </w:p>
        </w:tc>
        <w:tc>
          <w:tcPr/>
          <w:p>
            <w:pPr>
              <w:pStyle w:val="Compact"/>
              <w:jc w:val="left"/>
            </w:pPr>
            <w:r>
              <w:t xml:space="preserve">First aired, Viewers (millions)</w:t>
            </w:r>
          </w:p>
        </w:tc>
        <w:tc>
          <w:tcPr/>
          <w:p>
            <w:pPr>
              <w:pStyle w:val="Compact"/>
              <w:jc w:val="left"/>
            </w:pPr>
            <w:r>
              <w:t xml:space="preserve">Rating Rotten Tomatoes</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11.23</w:t>
            </w:r>
          </w:p>
        </w:tc>
        <w:tc>
          <w:tcPr/>
          <w:p>
            <w:pPr>
              <w:pStyle w:val="Compact"/>
              <w:jc w:val="left"/>
            </w:pPr>
            <w:r>
              <w:t xml:space="preserve">7.8</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9.00</w:t>
            </w:r>
          </w:p>
        </w:tc>
        <w:tc>
          <w:tcPr/>
          <w:p>
            <w:pPr>
              <w:pStyle w:val="Compact"/>
              <w:jc w:val="left"/>
            </w:pPr>
            <w:r>
              <w:t xml:space="preserve">8.4</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9.11</w:t>
            </w:r>
          </w:p>
        </w:tc>
        <w:tc>
          <w:tcPr/>
          <w:p>
            <w:pPr>
              <w:pStyle w:val="Compact"/>
              <w:jc w:val="left"/>
            </w:pPr>
            <w:r>
              <w:t xml:space="preserve">8.4</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9.65</w:t>
            </w:r>
          </w:p>
        </w:tc>
        <w:tc>
          <w:tcPr/>
          <w:p>
            <w:pPr>
              <w:pStyle w:val="Compact"/>
              <w:jc w:val="left"/>
            </w:pPr>
            <w:r>
              <w:t xml:space="preserve">7.7</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9.34</w:t>
            </w:r>
          </w:p>
        </w:tc>
        <w:tc>
          <w:tcPr/>
          <w:p>
            <w:pPr>
              <w:pStyle w:val="Compact"/>
              <w:jc w:val="left"/>
            </w:pPr>
            <w:r>
              <w:t xml:space="preserve">8.3</w:t>
            </w:r>
          </w:p>
        </w:tc>
      </w:tr>
      <w:tr>
        <w:tc>
          <w:tcPr/>
          <w:p>
            <w:pPr>
              <w:pStyle w:val="Compact"/>
              <w:jc w:val="left"/>
            </w:pPr>
            <w:r>
              <w:t xml:space="preserve">5</w:t>
            </w:r>
          </w:p>
        </w:tc>
        <w:tc>
          <w:tcPr/>
          <w:p>
            <w:pPr>
              <w:pStyle w:val="Compact"/>
              <w:jc w:val="left"/>
            </w:pPr>
            <w:r>
              <w:t xml:space="preserve">6</w:t>
            </w:r>
          </w:p>
        </w:tc>
        <w:tc>
          <w:tcPr/>
          <w:p>
            <w:pPr>
              <w:pStyle w:val="Compact"/>
              <w:jc w:val="left"/>
            </w:pPr>
            <w:r>
              <w:t xml:space="preserve">8.21</w:t>
            </w:r>
          </w:p>
        </w:tc>
        <w:tc>
          <w:tcPr/>
          <w:p>
            <w:pPr>
              <w:pStyle w:val="Compact"/>
              <w:jc w:val="left"/>
            </w:pPr>
            <w:r>
              <w:t xml:space="preserve">7.3</w:t>
            </w:r>
          </w:p>
        </w:tc>
      </w:tr>
      <w:tr>
        <w:tc>
          <w:tcPr/>
          <w:p>
            <w:pPr>
              <w:pStyle w:val="Compact"/>
              <w:jc w:val="left"/>
            </w:pPr>
            <w:r>
              <w:t xml:space="preserve">6</w:t>
            </w:r>
          </w:p>
        </w:tc>
        <w:tc>
          <w:tcPr/>
          <w:p>
            <w:pPr>
              <w:pStyle w:val="Compact"/>
              <w:jc w:val="left"/>
            </w:pPr>
            <w:r>
              <w:t xml:space="preserve">7</w:t>
            </w:r>
          </w:p>
        </w:tc>
        <w:tc>
          <w:tcPr/>
          <w:p>
            <w:pPr>
              <w:pStyle w:val="Compact"/>
              <w:jc w:val="left"/>
            </w:pPr>
            <w:r>
              <w:t xml:space="preserve">8.48</w:t>
            </w:r>
          </w:p>
        </w:tc>
        <w:tc>
          <w:tcPr/>
          <w:p>
            <w:pPr>
              <w:pStyle w:val="Compact"/>
              <w:jc w:val="left"/>
            </w:pPr>
            <w:r>
              <w:t xml:space="preserve">7.8</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7.64</w:t>
            </w:r>
          </w:p>
        </w:tc>
        <w:tc>
          <w:tcPr/>
          <w:p>
            <w:pPr>
              <w:pStyle w:val="Compact"/>
              <w:jc w:val="left"/>
            </w:pPr>
            <w:r>
              <w:t xml:space="preserve">6.3</w:t>
            </w:r>
          </w:p>
        </w:tc>
      </w:tr>
      <w:tr>
        <w:tc>
          <w:tcPr/>
          <w:p>
            <w:pPr>
              <w:pStyle w:val="Compact"/>
              <w:jc w:val="left"/>
            </w:pPr>
            <w:r>
              <w:t xml:space="preserve">8</w:t>
            </w:r>
          </w:p>
        </w:tc>
        <w:tc>
          <w:tcPr/>
          <w:p>
            <w:pPr>
              <w:pStyle w:val="Compact"/>
              <w:jc w:val="left"/>
            </w:pPr>
            <w:r>
              <w:t xml:space="preserve">9</w:t>
            </w:r>
          </w:p>
        </w:tc>
        <w:tc>
          <w:tcPr/>
          <w:p>
            <w:pPr>
              <w:pStyle w:val="Compact"/>
              <w:jc w:val="left"/>
            </w:pPr>
            <w:r>
              <w:t xml:space="preserve">4.28</w:t>
            </w:r>
          </w:p>
        </w:tc>
        <w:tc>
          <w:tcPr/>
          <w:p>
            <w:pPr>
              <w:pStyle w:val="Compact"/>
              <w:jc w:val="left"/>
            </w:pPr>
            <w:r>
              <w:t xml:space="preserve">7.2</w:t>
            </w:r>
          </w:p>
        </w:tc>
      </w:tr>
    </w:tbl>
    <w:p>
      <w:pPr>
        <w:pStyle w:val="BodyText"/>
      </w:pPr>
      <w:r>
        <w:drawing>
          <wp:inline>
            <wp:extent cx="5334000" cy="3456855"/>
            <wp:effectExtent b="0" l="0" r="0" t="0"/>
            <wp:docPr descr="" title="" id="26" name="Picture"/>
            <a:graphic>
              <a:graphicData uri="http://schemas.openxmlformats.org/drawingml/2006/picture">
                <pic:pic>
                  <pic:nvPicPr>
                    <pic:cNvPr descr="report_files/figure-docx/cell-3-output-1.png" id="27" name="Picture"/>
                    <pic:cNvPicPr>
                      <a:picLocks noChangeArrowheads="1" noChangeAspect="1"/>
                    </pic:cNvPicPr>
                  </pic:nvPicPr>
                  <pic:blipFill>
                    <a:blip r:embed="rId25"/>
                    <a:stretch>
                      <a:fillRect/>
                    </a:stretch>
                  </pic:blipFill>
                  <pic:spPr bwMode="auto">
                    <a:xfrm>
                      <a:off x="0" y="0"/>
                      <a:ext cx="5334000" cy="3456855"/>
                    </a:xfrm>
                    <a:prstGeom prst="rect">
                      <a:avLst/>
                    </a:prstGeom>
                    <a:noFill/>
                    <a:ln w="9525">
                      <a:noFill/>
                      <a:headEnd/>
                      <a:tailEnd/>
                    </a:ln>
                  </pic:spPr>
                </pic:pic>
              </a:graphicData>
            </a:graphic>
          </wp:inline>
        </w:drawing>
      </w:r>
    </w:p>
    <w:p>
      <w:pPr>
        <w:pStyle w:val="BodyText"/>
      </w:pPr>
      <w:r>
        <w:drawing>
          <wp:inline>
            <wp:extent cx="5334000" cy="3389650"/>
            <wp:effectExtent b="0" l="0" r="0" t="0"/>
            <wp:docPr descr="" title="" id="29" name="Picture"/>
            <a:graphic>
              <a:graphicData uri="http://schemas.openxmlformats.org/drawingml/2006/picture">
                <pic:pic>
                  <pic:nvPicPr>
                    <pic:cNvPr descr="report_files/figure-docx/cell-4-output-1.png" id="30" name="Picture"/>
                    <pic:cNvPicPr>
                      <a:picLocks noChangeArrowheads="1" noChangeAspect="1"/>
                    </pic:cNvPicPr>
                  </pic:nvPicPr>
                  <pic:blipFill>
                    <a:blip r:embed="rId28"/>
                    <a:stretch>
                      <a:fillRect/>
                    </a:stretch>
                  </pic:blipFill>
                  <pic:spPr bwMode="auto">
                    <a:xfrm>
                      <a:off x="0" y="0"/>
                      <a:ext cx="5334000" cy="3389650"/>
                    </a:xfrm>
                    <a:prstGeom prst="rect">
                      <a:avLst/>
                    </a:prstGeom>
                    <a:noFill/>
                    <a:ln w="9525">
                      <a:noFill/>
                      <a:headEnd/>
                      <a:tailEnd/>
                    </a:ln>
                  </pic:spPr>
                </pic:pic>
              </a:graphicData>
            </a:graphic>
          </wp:inline>
        </w:drawing>
      </w:r>
    </w:p>
    <w:p>
      <w:pPr>
        <w:pStyle w:val="Heading3"/>
      </w:pPr>
      <w:r>
        <w:t xml:space="preserve">Observed Changes in Viewership</w:t>
      </w:r>
    </w:p>
    <w:p>
      <w:pPr>
        <w:pStyle w:val="FirstParagraph"/>
      </w:pPr>
      <w:r>
        <w:t xml:space="preserve">Viewership decreased from 11.23 million in Season 1 to 9.0 million by Season 2, dropping 2.23 million. A slight recovery occurred between Seasons 2 and 4, reaching 9.65 million. However, a steady decline followed, with a significant drop of 3.93 million from Season 6 (8.21 million) to Season 9 (4.28 million).</w:t>
      </w:r>
    </w:p>
    <w:p>
      <w:pPr>
        <w:pStyle w:val="BodyText"/>
      </w:pPr>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Office: Overview</dc:title>
  <dc:creator>Marcin Zinówko</dc:creator>
  <cp:keywords/>
  <dcterms:created xsi:type="dcterms:W3CDTF">2024-08-31T01:21:10Z</dcterms:created>
  <dcterms:modified xsi:type="dcterms:W3CDTF">2024-08-31T01:21:10Z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oc-title">
    <vt:lpwstr>Table of contents</vt:lpwstr>
  </property>
</Properties>
</file>