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1905000" cy="952500"/>
            <wp:effectExtent t="0" r="0" b="0" l="0"/>
            <wp:docPr id="1" name="logo" descr="SGA Logo" title="S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Nirmala UI" w:cs="Nirmala UI" w:eastAsia="Nirmala UI" w:hAnsi="Nirmala UI"/>
          <w:b/>
          <w:bCs/>
          <w:color w:val="004C7B"/>
          <w:sz w:val="44"/>
          <w:szCs w:val="44"/>
        </w:rPr>
        <w:t xml:space="preserve">ANÁLISE GERAL DE MELHORIAS</w:t>
      </w:r>
    </w:p>
    <w:p>
      <w:pPr>
        <w:spacing w:after="120"/>
        <w:jc w:val="center"/>
      </w:pPr>
      <w:r>
        <w:rPr>
          <w:rFonts w:ascii="Nirmala UI" w:cs="Nirmala UI" w:eastAsia="Nirmala UI" w:hAnsi="Nirmala UI"/>
          <w:color w:val="0094CF"/>
          <w:sz w:val="32"/>
          <w:szCs w:val="32"/>
        </w:rPr>
        <w:t xml:space="preserve">Simulacros de Emergência e Segurança</w:t>
      </w:r>
    </w:p>
    <w:p>
      <w:pPr>
        <w:spacing w:after="60"/>
        <w:jc w:val="center"/>
      </w:pPr>
      <w:r>
        <w:rPr>
          <w:rFonts w:ascii="Nirmala UI" w:cs="Nirmala UI" w:eastAsia="Nirmala UI" w:hAnsi="Nirmala UI"/>
          <w:i/>
          <w:iCs/>
          <w:sz w:val="24"/>
          <w:szCs w:val="24"/>
        </w:rPr>
        <w:t xml:space="preserve">Preparação para o Primeiro Exercício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Nirmala UI" w:cs="Nirmala UI" w:eastAsia="Nirmala UI" w:hAnsi="Nirmala UI"/>
          <w:sz w:val="24"/>
          <w:szCs w:val="24"/>
        </w:rPr>
        <w:t xml:space="preserve">Aeroporto Welwitschia Mirabilis (FNMO)</w:t>
      </w:r>
    </w:p>
    <w:p>
      <w:pPr>
        <w:spacing w:after="60"/>
        <w:jc w:val="center"/>
      </w:pPr>
      <w:r>
        <w:rPr>
          <w:rFonts w:ascii="Nirmala UI" w:cs="Nirmala UI" w:eastAsia="Nirmala UI" w:hAnsi="Nirmala UI"/>
          <w:sz w:val="24"/>
          <w:szCs w:val="24"/>
        </w:rPr>
        <w:t xml:space="preserve">Namibe, Angola</w:t>
      </w:r>
    </w:p>
    <w:p>
      <w:pPr>
        <w:spacing w:after="200"/>
        <w:jc w:val="center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Abril 2026</w:t>
      </w:r>
    </w:p>
    <w:p>
      <w:pPr>
        <w:jc w:val="center"/>
      </w:pPr>
      <w:r>
        <w:rPr>
          <w:rFonts w:ascii="Nirmala UI" w:cs="Nirmala UI" w:eastAsia="Nirmala UI" w:hAnsi="Nirmala UI"/>
          <w:color w:val="666666"/>
          <w:sz w:val="20"/>
          <w:szCs w:val="20"/>
        </w:rPr>
        <w:t xml:space="preserve">Baseado nas normas ICAO (Doc 9137) e ANAC Angola (NTA 32)</w:t>
      </w:r>
    </w:p>
    <w:p>
      <w:r>
        <w:br w:type="page"/>
      </w:r>
    </w:p>
    <w:p>
      <w:pPr>
        <w:spacing w:after="200" w:before="360"/>
      </w:pPr>
      <w:r>
        <w:rPr>
          <w:rFonts w:ascii="Nirmala UI" w:cs="Nirmala UI" w:eastAsia="Nirmala UI" w:hAnsi="Nirmala UI"/>
          <w:b/>
          <w:bCs/>
          <w:color w:val="004C7B"/>
          <w:sz w:val="32"/>
          <w:szCs w:val="32"/>
        </w:rPr>
        <w:t xml:space="preserve">1. Introdução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Este documento apresenta uma análise abrangente do estado actual do projecto de simulacros de emergência e segurança do Aeroporto Welwitschia Mirabilis (Namibe), com recomendações concretas para garantir conformidade com as normas internacionais ICAO e a regulamentação nacional da ANAC Angola.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A análise foi realizada com base nos seguintes documentos de referência: ICAO Doc 9137 (Airport Services Manual — Rescue and Firefighting), NTA N.º 32 da ANAC Angola (Regulamento de Segurança Aérea), ICAO Doc 9157 (Aerodrome Design Manual), e os procedimentos operacionais já existentes do aeroporto.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Sendo que o aeroporto está a planear o seu primeiro simulacro, esta análise identifica lacunas, prioridades e um roteiro prático para implementação.</w:t>
      </w:r>
    </w:p>
    <w:p>
      <w:pPr>
        <w:spacing w:after="200" w:before="360"/>
      </w:pPr>
      <w:r>
        <w:rPr>
          <w:rFonts w:ascii="Nirmala UI" w:cs="Nirmala UI" w:eastAsia="Nirmala UI" w:hAnsi="Nirmala UI"/>
          <w:b/>
          <w:bCs/>
          <w:color w:val="004C7B"/>
          <w:sz w:val="32"/>
          <w:szCs w:val="32"/>
        </w:rPr>
        <w:t xml:space="preserve">2. O Que Já Existe (Pontos Fortes)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Com base na documentação disponível, o aeroporto já possui alguns elementos fundamentais que servem de base sólida para a construção do programa de simulacros:</w:t>
      </w:r>
    </w:p>
    <w:p>
      <w:pPr>
        <w:pStyle w:val="ListParagraph"/>
        <w:numPr>
          <w:ilvl w:val="0"/>
          <w:numId w:val="1"/>
        </w:numPr>
        <w:spacing w:after="80" w:line="28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  Fluxograma de Serviços Médicos de Emergência (estrutura organizacional definida com linhas de reporte desde a TWR até CCOA, SSCI e INEMA)</w:t>
      </w:r>
    </w:p>
    <w:p>
      <w:pPr>
        <w:pStyle w:val="ListParagraph"/>
        <w:numPr>
          <w:ilvl w:val="0"/>
          <w:numId w:val="1"/>
        </w:numPr>
        <w:spacing w:after="80" w:line="28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  Procedimento Operacional Padrão para Medição de Tempo de Resposta (metodologia documentada com parâmetros operacionais)</w:t>
      </w:r>
    </w:p>
    <w:p>
      <w:pPr>
        <w:pStyle w:val="ListParagraph"/>
        <w:numPr>
          <w:ilvl w:val="0"/>
          <w:numId w:val="1"/>
        </w:numPr>
        <w:spacing w:after="80" w:line="28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  Procedimento Operacional para Abastecimento de Combustível (procedimentos de segurança durante reabastecimento)</w:t>
      </w:r>
    </w:p>
    <w:p>
      <w:pPr>
        <w:pStyle w:val="ListParagraph"/>
        <w:numPr>
          <w:ilvl w:val="0"/>
          <w:numId w:val="1"/>
        </w:numPr>
        <w:spacing w:after="80" w:line="28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  Acesso à regulamentação completa da ANAC Angola (NTA 32) e manuais ICAO de referência</w:t>
      </w:r>
    </w:p>
    <w:p>
      <w:pPr>
        <w:spacing w:after="200" w:before="360"/>
      </w:pPr>
      <w:r>
        <w:rPr>
          <w:rFonts w:ascii="Nirmala UI" w:cs="Nirmala UI" w:eastAsia="Nirmala UI" w:hAnsi="Nirmala UI"/>
          <w:b/>
          <w:bCs/>
          <w:color w:val="004C7B"/>
          <w:sz w:val="32"/>
          <w:szCs w:val="32"/>
        </w:rPr>
        <w:t xml:space="preserve">3. Lacunas Identificadas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A análise cruzada entre os requisitos normativos e a documentação existente revelou as seguintes áreas críticas que necessitam de desenvolvimento:</w:t>
      </w:r>
    </w:p>
    <w:p>
      <w:pPr>
        <w:spacing w:after="160" w:before="280"/>
      </w:pPr>
      <w:r>
        <w:rPr>
          <w:rFonts w:ascii="Nirmala UI" w:cs="Nirmala UI" w:eastAsia="Nirmala UI" w:hAnsi="Nirmala UI"/>
          <w:b/>
          <w:bCs/>
          <w:color w:val="0094CF"/>
          <w:sz w:val="26"/>
          <w:szCs w:val="26"/>
        </w:rPr>
        <w:t xml:space="preserve">3.1 Plano de Emergência Aeroportuário (PEA)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O ICAO Doc 9137, Capítulo 11, exige que cada aeroporto possua um Plano de Emergência abrangente. A NTA 32 (Secção 32.225) reforça que os prestadores de serviços aeroportuários devem desenvolver planos de contingência aprovados pela ANAC. Não foi identificado um PEA formal entre os documentos.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O PEA deve incluir: instruções específicas para cada tipo de emergência, funções e responsabilidades de cada entidade envolvida, protocolos de comunicação e alerta, mapas de grelha do aeroporto e área envolvente, posições de standby no área de movimento, e procedimentos para condições meteorológicas adversas.</w:t>
      </w:r>
    </w:p>
    <w:p>
      <w:pPr>
        <w:spacing w:after="160" w:before="280"/>
      </w:pPr>
      <w:r>
        <w:rPr>
          <w:rFonts w:ascii="Nirmala UI" w:cs="Nirmala UI" w:eastAsia="Nirmala UI" w:hAnsi="Nirmala UI"/>
          <w:b/>
          <w:bCs/>
          <w:color w:val="0094CF"/>
          <w:sz w:val="26"/>
          <w:szCs w:val="26"/>
        </w:rPr>
        <w:t xml:space="preserve">3.2 Programa de Treinamento Estruturado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O ICAO Doc 9137, Capítulo 14, define nove faculdades obrigatórias para o currículo de formação do pessoal de Resgate e Combate a Incêndios (RFF): dinâmica do fogo e primeiros socorros, agentes extintores e técnicas de combate, manuseamento de veículos e equipamentos, conhecimento do aeroporto e construção de aeronaves, tácticas operacionais, comunicações de emergência, liderança, aptidão física, e módulos auxiliares.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Não foi identificado um programa de treinamento formal que cubra estas nove áreas de forma sistemática, com instrução inicial e recorrente.</w:t>
      </w:r>
    </w:p>
    <w:p>
      <w:pPr>
        <w:spacing w:after="160" w:before="280"/>
      </w:pPr>
      <w:r>
        <w:rPr>
          <w:rFonts w:ascii="Nirmala UI" w:cs="Nirmala UI" w:eastAsia="Nirmala UI" w:hAnsi="Nirmala UI"/>
          <w:b/>
          <w:bCs/>
          <w:color w:val="0094CF"/>
          <w:sz w:val="26"/>
          <w:szCs w:val="26"/>
        </w:rPr>
        <w:t xml:space="preserve">3.3 Calendário de Exercícios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A NTA 32 (Secção 32.223) define requisitos obrigatórios de frequência: exercícios de grande escala a cada dois anos e exercícios de mesa (table-top) pelo menos uma vez por ano. O ICAO Doc 9137 recomenda simulacros tácticos (dry drills) a intervalos não superiores a um mês.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Não existe ainda um calendário formal de exercícios que estabeleça esta periodicidade.</w:t>
      </w:r>
    </w:p>
    <w:p>
      <w:pPr>
        <w:spacing w:after="160" w:before="280"/>
      </w:pPr>
      <w:r>
        <w:rPr>
          <w:rFonts w:ascii="Nirmala UI" w:cs="Nirmala UI" w:eastAsia="Nirmala UI" w:hAnsi="Nirmala UI"/>
          <w:b/>
          <w:bCs/>
          <w:color w:val="0094CF"/>
          <w:sz w:val="26"/>
          <w:szCs w:val="26"/>
        </w:rPr>
        <w:t xml:space="preserve">3.4 Coordenação Interinstitucional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Tanto a ICAO como a NTA 32 exigem que os exercícios envolvam todas as entidades relevantes. A NTA 32 (Secção 32.225) especifica que devem participar: controladores de tráfego aéreo, companhias aéreas, técnicos de saúde, protecção civil e socorristas, Polícia Nacional, e Forças Armadas (Força Aérea).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Não foram identificados protocolos de cooperação com estas entidades externas.</w:t>
      </w:r>
    </w:p>
    <w:p>
      <w:pPr>
        <w:spacing w:after="160" w:before="280"/>
      </w:pPr>
      <w:r>
        <w:rPr>
          <w:rFonts w:ascii="Nirmala UI" w:cs="Nirmala UI" w:eastAsia="Nirmala UI" w:hAnsi="Nirmala UI"/>
          <w:b/>
          <w:bCs/>
          <w:color w:val="0094CF"/>
          <w:sz w:val="26"/>
          <w:szCs w:val="26"/>
        </w:rPr>
        <w:t xml:space="preserve">3.5 Processo de Avaliação Pós-Exercício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A NTA 32 (Secção 32.225, alíneas l e m) exige explicitamente que após cada exercício seja realizada uma avaliação para corrigir insuficiências identificadas, e que os planos de contingência sejam revistos. Não existe um modelo de avaliação definido.</w:t>
      </w:r>
    </w:p>
    <w:p>
      <w:r>
        <w:br w:type="page"/>
      </w:r>
    </w:p>
    <w:p>
      <w:pPr>
        <w:spacing w:after="200" w:before="360"/>
      </w:pPr>
      <w:r>
        <w:rPr>
          <w:rFonts w:ascii="Nirmala UI" w:cs="Nirmala UI" w:eastAsia="Nirmala UI" w:hAnsi="Nirmala UI"/>
          <w:b/>
          <w:bCs/>
          <w:color w:val="004C7B"/>
          <w:sz w:val="32"/>
          <w:szCs w:val="32"/>
        </w:rPr>
        <w:t xml:space="preserve">4. Recomendações de Melhoria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As recomendações estão organizadas por prioridade e área de actuação:</w:t>
      </w:r>
    </w:p>
    <w:p>
      <w:pPr>
        <w:spacing w:after="160" w:before="280"/>
      </w:pPr>
      <w:r>
        <w:rPr>
          <w:rFonts w:ascii="Nirmala UI" w:cs="Nirmala UI" w:eastAsia="Nirmala UI" w:hAnsi="Nirmala UI"/>
          <w:b/>
          <w:bCs/>
          <w:color w:val="0094CF"/>
          <w:sz w:val="26"/>
          <w:szCs w:val="26"/>
        </w:rPr>
        <w:t xml:space="preserve">4.1 Acções Prioritárias (Antes do Primeiro Simulacro)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Elaborar o Plano de Emergência Aeroportuário (PEA):</w:t>
      </w:r>
    </w:p>
    <w:p>
      <w:pPr>
        <w:spacing w:after="120" w:line="280"/>
        <w:ind w:left="540"/>
      </w:pPr>
      <w:r>
        <w:rPr>
          <w:rFonts w:ascii="Nirmala UI" w:cs="Nirmala UI" w:eastAsia="Nirmala UI" w:hAnsi="Nirmala UI"/>
          <w:i/>
          <w:iCs/>
          <w:color w:val="444444"/>
          <w:sz w:val="21"/>
          <w:szCs w:val="21"/>
        </w:rPr>
        <w:t xml:space="preserve">Documento central que define todos os procedimentos, responsabilidades e recursos para resposta a emergências. Deve cobrir pelo menos: acidentes de aeronave no aeroporto e fora, incêndios em edifícios, ameaças de bomba, sequestro de aeronave, emergências médicas, e condições meteorológicas severas.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Criar Mapas de Grelha (Grid Maps):</w:t>
      </w:r>
    </w:p>
    <w:p>
      <w:pPr>
        <w:spacing w:after="120" w:line="280"/>
        <w:ind w:left="540"/>
      </w:pPr>
      <w:r>
        <w:rPr>
          <w:rFonts w:ascii="Nirmala UI" w:cs="Nirmala UI" w:eastAsia="Nirmala UI" w:hAnsi="Nirmala UI"/>
          <w:i/>
          <w:iCs/>
          <w:color w:val="444444"/>
          <w:sz w:val="21"/>
          <w:szCs w:val="21"/>
        </w:rPr>
        <w:t xml:space="preserve">O ICAO recomenda dois mapas: um do aeroporto com estradas de acesso de emergência e pontos de água, e outro da comunidade envolvente com instalações médicas. Estes devem estar disponíveis na torre de controlo, quartel de bombeiros, centro de operações e veículos RFF.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Estabelecer Protocolos de Cooperação:</w:t>
      </w:r>
    </w:p>
    <w:p>
      <w:pPr>
        <w:spacing w:after="120" w:line="280"/>
        <w:ind w:left="540"/>
      </w:pPr>
      <w:r>
        <w:rPr>
          <w:rFonts w:ascii="Nirmala UI" w:cs="Nirmala UI" w:eastAsia="Nirmala UI" w:hAnsi="Nirmala UI"/>
          <w:i/>
          <w:iCs/>
          <w:color w:val="444444"/>
          <w:sz w:val="21"/>
          <w:szCs w:val="21"/>
        </w:rPr>
        <w:t xml:space="preserve">Formalizar acordos de ajuda mútua com bombeiros municipais, hospitais locais, Polícia Nacional, Força Aérea, e protecção civil. Definir tempos de resposta esperados e canais de comunicação.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Definir o Programa de Treinamento:</w:t>
      </w:r>
    </w:p>
    <w:p>
      <w:pPr>
        <w:spacing w:after="120" w:line="280"/>
        <w:ind w:left="540"/>
      </w:pPr>
      <w:r>
        <w:rPr>
          <w:rFonts w:ascii="Nirmala UI" w:cs="Nirmala UI" w:eastAsia="Nirmala UI" w:hAnsi="Nirmala UI"/>
          <w:i/>
          <w:iCs/>
          <w:color w:val="444444"/>
          <w:sz w:val="21"/>
          <w:szCs w:val="21"/>
        </w:rPr>
        <w:t xml:space="preserve">Estruturar um currículo com as nove faculdades ICAO, adaptado ao pessoal com pouco conhecimento prévio. Incluir instrução inicial intensiva antes do primeiro simulacro e um plano de formação recorrente.</w:t>
      </w:r>
    </w:p>
    <w:p>
      <w:pPr>
        <w:spacing w:after="160" w:before="280"/>
      </w:pPr>
      <w:r>
        <w:rPr>
          <w:rFonts w:ascii="Nirmala UI" w:cs="Nirmala UI" w:eastAsia="Nirmala UI" w:hAnsi="Nirmala UI"/>
          <w:b/>
          <w:bCs/>
          <w:color w:val="0094CF"/>
          <w:sz w:val="26"/>
          <w:szCs w:val="26"/>
        </w:rPr>
        <w:t xml:space="preserve">4.2 Estrutura Sugerida para o Primeiro Simulacro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Recomenda-se começar com um exercício de mesa (table-top) antes de avançar para um exercício de grande escala. A progressão sugerida 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Tipo de Exercício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Objectivo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Exercício de Mesa (Table-top)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Validar o PEA, testar comunicações e cadeia de comando em ambiente controlado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Mês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Dry Drills (Simulacros Secos)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Praticar posicionamento de equipamentos e tácticas operacionais sem uso de agentes extintores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Mês 3-4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Exercício Parcial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Testar componentes específicos (evacuação, resposta RFF, triagem médica) individualmente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Mês 5-6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Exercício de Grande Escala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Simulacro completo com todas as entidades, cenário realista de acidente de aeronave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Mês 8-10</w:t>
            </w:r>
          </w:p>
        </w:tc>
      </w:tr>
    </w:tbl>
    <w:p>
      <w:pPr>
        <w:spacing w:after="160" w:before="280"/>
      </w:pPr>
      <w:r>
        <w:rPr>
          <w:rFonts w:ascii="Nirmala UI" w:cs="Nirmala UI" w:eastAsia="Nirmala UI" w:hAnsi="Nirmala UI"/>
          <w:b/>
          <w:bCs/>
          <w:color w:val="0094CF"/>
          <w:sz w:val="26"/>
          <w:szCs w:val="26"/>
        </w:rPr>
        <w:t xml:space="preserve">4.3 Cenários Recomendados para Exercícios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Com base nos tipos de emergência definidos no ICAO Doc 9137 (Capítulo 11.2), os seguintes cenários devem ser praticados:</w:t>
      </w:r>
    </w:p>
    <w:p>
      <w:pPr>
        <w:pStyle w:val="ListParagraph"/>
        <w:numPr>
          <w:ilvl w:val="0"/>
          <w:numId w:val="1"/>
        </w:numPr>
        <w:spacing w:after="80" w:line="28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  Aeronave com falha conhecida (aterragem de emergência com aviso prévio)</w:t>
      </w:r>
    </w:p>
    <w:p>
      <w:pPr>
        <w:pStyle w:val="ListParagraph"/>
        <w:numPr>
          <w:ilvl w:val="0"/>
          <w:numId w:val="1"/>
        </w:numPr>
        <w:spacing w:after="80" w:line="28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  Acidente de aeronave na pista ou área de movimento</w:t>
      </w:r>
    </w:p>
    <w:p>
      <w:pPr>
        <w:pStyle w:val="ListParagraph"/>
        <w:numPr>
          <w:ilvl w:val="0"/>
          <w:numId w:val="1"/>
        </w:numPr>
        <w:spacing w:after="80" w:line="28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  Acidente de aeronave fora do perímetro do aeroporto</w:t>
      </w:r>
    </w:p>
    <w:p>
      <w:pPr>
        <w:pStyle w:val="ListParagraph"/>
        <w:numPr>
          <w:ilvl w:val="0"/>
          <w:numId w:val="1"/>
        </w:numPr>
        <w:spacing w:after="80" w:line="28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  Incêndio em edifício do aeroporto (terminal, hangar)</w:t>
      </w:r>
    </w:p>
    <w:p>
      <w:pPr>
        <w:pStyle w:val="ListParagraph"/>
        <w:numPr>
          <w:ilvl w:val="0"/>
          <w:numId w:val="1"/>
        </w:numPr>
        <w:spacing w:after="80" w:line="28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  Acto de interferência ilícita (ameaça de bomba ou sequestro — conforme NTA 32)</w:t>
      </w:r>
    </w:p>
    <w:p>
      <w:pPr>
        <w:pStyle w:val="ListParagraph"/>
        <w:numPr>
          <w:ilvl w:val="0"/>
          <w:numId w:val="1"/>
        </w:numPr>
        <w:spacing w:after="80" w:line="28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  Incidente com mercadorias perigosas</w:t>
      </w:r>
    </w:p>
    <w:p>
      <w:pPr>
        <w:spacing w:after="160" w:before="280"/>
      </w:pPr>
      <w:r>
        <w:rPr>
          <w:rFonts w:ascii="Nirmala UI" w:cs="Nirmala UI" w:eastAsia="Nirmala UI" w:hAnsi="Nirmala UI"/>
          <w:b/>
          <w:bCs/>
          <w:color w:val="0094CF"/>
          <w:sz w:val="26"/>
          <w:szCs w:val="26"/>
        </w:rPr>
        <w:t xml:space="preserve">4.4 Melhorias na Documentação Existente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Os procedimentos operacionais já existentes (medição de tempo de resposta, abastecimento de combustível) podem ser melhorados com:</w:t>
      </w:r>
    </w:p>
    <w:p>
      <w:pPr>
        <w:pStyle w:val="ListParagraph"/>
        <w:numPr>
          <w:ilvl w:val="0"/>
          <w:numId w:val="1"/>
        </w:numPr>
        <w:spacing w:after="80" w:line="28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  Integração no PEA: os procedimentos isolados devem ser referenciados e integrados no plano geral de emergência</w:t>
      </w:r>
    </w:p>
    <w:p>
      <w:pPr>
        <w:pStyle w:val="ListParagraph"/>
        <w:numPr>
          <w:ilvl w:val="0"/>
          <w:numId w:val="1"/>
        </w:numPr>
        <w:spacing w:after="80" w:line="28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  Checklists operacionais: transformar procedimentos narrativos em listas de verificação rápida para uso durante emergências</w:t>
      </w:r>
    </w:p>
    <w:p>
      <w:pPr>
        <w:pStyle w:val="ListParagraph"/>
        <w:numPr>
          <w:ilvl w:val="0"/>
          <w:numId w:val="1"/>
        </w:numPr>
        <w:spacing w:after="80" w:line="28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  Tradução para linguagem simples: dado que o público-alvo tem pouco conhecimento, criar versões simplificadas com ilustrações</w:t>
      </w:r>
    </w:p>
    <w:p>
      <w:pPr>
        <w:pStyle w:val="ListParagraph"/>
        <w:numPr>
          <w:ilvl w:val="0"/>
          <w:numId w:val="1"/>
        </w:numPr>
        <w:spacing w:after="80" w:line="28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  Registos e formulários: criar modelos padronizados para registo de exercícios, avaliações e acções correctivas</w:t>
      </w:r>
    </w:p>
    <w:p>
      <w:r>
        <w:br w:type="page"/>
      </w:r>
    </w:p>
    <w:p>
      <w:pPr>
        <w:spacing w:after="200" w:before="360"/>
      </w:pPr>
      <w:r>
        <w:rPr>
          <w:rFonts w:ascii="Nirmala UI" w:cs="Nirmala UI" w:eastAsia="Nirmala UI" w:hAnsi="Nirmala UI"/>
          <w:b/>
          <w:bCs/>
          <w:color w:val="004C7B"/>
          <w:sz w:val="32"/>
          <w:szCs w:val="32"/>
        </w:rPr>
        <w:t xml:space="preserve">5. Matriz de Prioridades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A seguinte matriz resume todas as acções identificadas, classificadas por prioridade e estado: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Acção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Base Normativa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Elaborar Plano de Emergência Aeroportuário (PEA)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ICAO 9137, Cap. 11 / NTA 32, 32.225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Criar mapas de grelha do aeroporto e área envolvente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ICAO 9137, 11.1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Prioritário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Formalizar protocolos de cooperação interinstitucional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NTA 32, 32.225 (k)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Definir programa de treinamento (9 faculdades ICAO)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ICAO 9137, Cap. 14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Realizar primeiro exercício de mesa (table-top)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NTA 32, 32.223 (1)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Prioritário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Estabelecer calendário anual de exercícios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NTA 32, 32.223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Criar modelo de avaliação pós-exercício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NTA 32, 32.225 (m)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Integrar procedimentos existentes no PEA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ICAO 9137, 11.1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Desenvolver checklists operacionais simplificadas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ICAO 9137, Cap. 14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Criar material de treinamento em linguagem simples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Requisito do projecto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Submeter PEA para aprovação da ANAC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NTA 32, 32.225 (h)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Implementar dry drills mensais (após primeiro simulacro)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ICAO 9137, 14.6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A Implementar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Nirmala UI" w:cs="Nirmala UI" w:eastAsia="Nirmala UI" w:hAnsi="Nirmala UI"/>
          <w:b/>
          <w:bCs/>
          <w:color w:val="004C7B"/>
          <w:sz w:val="32"/>
          <w:szCs w:val="32"/>
        </w:rPr>
        <w:t xml:space="preserve">6. Calendário Sugerido (Primeiros 12 Meses)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Actividade Principal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Entidades Envolvidas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Elaboração do PEA e programa de treinamento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Equipa aeroportuária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Criação de mapas de grelha; formalização de protocolos com entidades externas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SGA, Polícia, Hospitais, Bombeiros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Primeiro exercício de mesa (table-top)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Todas as entidades do PEA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Avaliação do table-top; revisão do PEA; início dos dry drills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Equipa aeroportuária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Treinamento prático (tácticas RFF, comunicações, primeiros socorros)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Pessoal RFF, ATS, médicos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Exercício parcial (componente específica)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Seleccionados conforme cenário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Preparação do exercício de grande escala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Comissão organizadora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9-10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Exercício de grande escala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Todas as entidades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Avaliação completa; revisão do PEA e procedimentos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Equipa aeroportuária + ANAC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Submissão do PEA revisto à ANAC; planeamento do ciclo seguinte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SGA, ANAC</w:t>
            </w:r>
          </w:p>
        </w:tc>
      </w:tr>
    </w:tbl>
    <w:p>
      <w:pPr>
        <w:spacing w:after="200" w:before="360"/>
      </w:pPr>
      <w:r>
        <w:rPr>
          <w:rFonts w:ascii="Nirmala UI" w:cs="Nirmala UI" w:eastAsia="Nirmala UI" w:hAnsi="Nirmala UI"/>
          <w:b/>
          <w:bCs/>
          <w:color w:val="004C7B"/>
          <w:sz w:val="32"/>
          <w:szCs w:val="32"/>
        </w:rPr>
        <w:t xml:space="preserve">7. O Que Eu Posso Fazer por Vocês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Com base nesta análise, posso ajudar a criar os seguintes documentos e materiais: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Modelo de Plano de Emergência Aeroportuário (PEA):</w:t>
      </w:r>
    </w:p>
    <w:p>
      <w:pPr>
        <w:spacing w:after="120" w:line="280"/>
        <w:ind w:left="540"/>
      </w:pPr>
      <w:r>
        <w:rPr>
          <w:rFonts w:ascii="Nirmala UI" w:cs="Nirmala UI" w:eastAsia="Nirmala UI" w:hAnsi="Nirmala UI"/>
          <w:i/>
          <w:iCs/>
          <w:color w:val="444444"/>
          <w:sz w:val="21"/>
          <w:szCs w:val="21"/>
        </w:rPr>
        <w:t xml:space="preserve">Documento estruturado com todas as secções exigidas pela ICAO e NTA 32, pronto para ser preenchido com os dados específicos do aeroporto.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Guia de Exercício de Mesa (Table-top):</w:t>
      </w:r>
    </w:p>
    <w:p>
      <w:pPr>
        <w:spacing w:after="120" w:line="280"/>
        <w:ind w:left="540"/>
      </w:pPr>
      <w:r>
        <w:rPr>
          <w:rFonts w:ascii="Nirmala UI" w:cs="Nirmala UI" w:eastAsia="Nirmala UI" w:hAnsi="Nirmala UI"/>
          <w:i/>
          <w:iCs/>
          <w:color w:val="444444"/>
          <w:sz w:val="21"/>
          <w:szCs w:val="21"/>
        </w:rPr>
        <w:t xml:space="preserve">Roteiro completo para o primeiro exercício, incluindo cenário, injects (eventos simulários), e ficha de avaliação.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Apresentações de Treinamento:</w:t>
      </w:r>
    </w:p>
    <w:p>
      <w:pPr>
        <w:spacing w:after="120" w:line="280"/>
        <w:ind w:left="540"/>
      </w:pPr>
      <w:r>
        <w:rPr>
          <w:rFonts w:ascii="Nirmala UI" w:cs="Nirmala UI" w:eastAsia="Nirmala UI" w:hAnsi="Nirmala UI"/>
          <w:i/>
          <w:iCs/>
          <w:color w:val="444444"/>
          <w:sz w:val="21"/>
          <w:szCs w:val="21"/>
        </w:rPr>
        <w:t xml:space="preserve">Slides em linguagem simples para cada módulo de formação, com ilustrações e exemplos práticos.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Checklists Operacionais:</w:t>
      </w:r>
    </w:p>
    <w:p>
      <w:pPr>
        <w:spacing w:after="120" w:line="280"/>
        <w:ind w:left="540"/>
      </w:pPr>
      <w:r>
        <w:rPr>
          <w:rFonts w:ascii="Nirmala UI" w:cs="Nirmala UI" w:eastAsia="Nirmala UI" w:hAnsi="Nirmala UI"/>
          <w:i/>
          <w:iCs/>
          <w:color w:val="444444"/>
          <w:sz w:val="21"/>
          <w:szCs w:val="21"/>
        </w:rPr>
        <w:t xml:space="preserve">Listas de verificação rápida para uso durante emergências e exercícios.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Formulários de Avaliação Pós-Exercício:</w:t>
      </w:r>
    </w:p>
    <w:p>
      <w:pPr>
        <w:spacing w:after="120" w:line="280"/>
        <w:ind w:left="540"/>
      </w:pPr>
      <w:r>
        <w:rPr>
          <w:rFonts w:ascii="Nirmala UI" w:cs="Nirmala UI" w:eastAsia="Nirmala UI" w:hAnsi="Nirmala UI"/>
          <w:i/>
          <w:iCs/>
          <w:color w:val="444444"/>
          <w:sz w:val="21"/>
          <w:szCs w:val="21"/>
        </w:rPr>
        <w:t xml:space="preserve">Modelos padronizados para registo de observações, lições aprendidas e acções correctivas.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Cenários de Simulacro Detalhados:</w:t>
      </w:r>
    </w:p>
    <w:p>
      <w:pPr>
        <w:spacing w:after="120" w:line="280"/>
        <w:ind w:left="540"/>
      </w:pPr>
      <w:r>
        <w:rPr>
          <w:rFonts w:ascii="Nirmala UI" w:cs="Nirmala UI" w:eastAsia="Nirmala UI" w:hAnsi="Nirmala UI"/>
          <w:i/>
          <w:iCs/>
          <w:color w:val="444444"/>
          <w:sz w:val="21"/>
          <w:szCs w:val="21"/>
        </w:rPr>
        <w:t xml:space="preserve">Scripts completos para diferentes tipos de emergência, adaptados à realidade do Aeroporto do Namibe.</w:t>
      </w:r>
    </w:p>
    <w:p>
      <w:pPr>
        <w:spacing w:after="200" w:before="360"/>
      </w:pPr>
      <w:r>
        <w:rPr>
          <w:rFonts w:ascii="Nirmala UI" w:cs="Nirmala UI" w:eastAsia="Nirmala UI" w:hAnsi="Nirmala UI"/>
          <w:b/>
          <w:bCs/>
          <w:color w:val="004C7B"/>
          <w:sz w:val="32"/>
          <w:szCs w:val="32"/>
        </w:rPr>
        <w:t xml:space="preserve">8. Conclusão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O Aeroporto Welwitschia Mirabilis possui uma base documental inicial que demonstra preocupação com a segurança operacional. No entanto, para atingir conformidade plena com as normas ICAO e ANAC Angola e, mais importante, para garantir a capacidade real de resposta a emergências, é necessário um investimento significativo na documentação, treinamento e exercícios práticos.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A abordagem progressiva sugerida — começando pelo exercício de mesa e evoluindo gradualmente para o exercício de grande escala — é particularmente adequada para uma equipa que está a dar os primeiros passos nesta área, permitindo construir confiança e competência de forma sustentada.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O mais importante agora é começar. O primeiro passo concreto deve ser a elaboração do Plano de Emergência Aeroportuário, que servirá de alicerce para todo o programa de simulacros.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Nirmala UI" w:cs="Nirmala UI" w:eastAsia="Nirmala UI" w:hAnsi="Nirmala UI"/>
        <w:color w:val="999999"/>
        <w:sz w:val="18"/>
        <w:szCs w:val="18"/>
      </w:rPr>
      <w:t xml:space="preserve">SGA — Aeroporto Welwitschia Mirabilis</w:t>
    </w:r>
    <w:r>
      <w:rPr>
        <w:rFonts w:ascii="Nirmala UI" w:cs="Nirmala UI" w:eastAsia="Nirmala UI" w:hAnsi="Nirmala UI"/>
        <w:sz w:val="18"/>
        <w:szCs w:val="18"/>
      </w:rPr>
      <w:t xml:space="preserve">	</w:t>
    </w:r>
    <w:r>
      <w:rPr>
        <w:rFonts w:ascii="Nirmala UI" w:cs="Nirmala UI" w:eastAsia="Nirmala UI" w:hAnsi="Nirmala UI"/>
        <w:color w:val="999999"/>
        <w:sz w:val="18"/>
        <w:szCs w:val="18"/>
      </w:rPr>
      <w:t xml:space="preserve">Página </w:t>
    </w:r>
    <w:r>
      <w:rPr>
        <w:rFonts w:ascii="Nirmala UI" w:cs="Nirmala UI" w:eastAsia="Nirmala UI" w:hAnsi="Nirmala U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762000" cy="381000"/>
          <wp:effectExtent t="0" r="0" b="0" l="0"/>
          <wp:docPr id="1" name="logo" descr="SGA Logo" title="SG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94CF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c165859416a1cd418c728b609245d1bcce29c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c165859416a1cd418c728b609245d1bcce29c1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2026-04-08T11:26:24.888Z</dcterms:created>
  <dcterms:modified xsi:type="dcterms:W3CDTF">2026-04-08T11:26:24.892Z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