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1428750" cy="714375"/>
            <wp:effectExtent t="0" r="0" b="0" l="0"/>
            <wp:docPr id="1" name="logo_cover" descr="SGA Logo" title="SG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004C7B"/>
          <w:sz w:val="40"/>
          <w:szCs w:val="40"/>
        </w:rPr>
        <w:t xml:space="preserve">GUIA GERAL</w:t>
      </w:r>
    </w:p>
    <w:p>
      <w:pPr>
        <w:spacing w:after="240"/>
        <w:jc w:val="center"/>
      </w:pPr>
      <w:r>
        <w:rPr>
          <w:rFonts w:ascii="Nirmala UI" w:cs="Nirmala UI" w:eastAsia="Nirmala UI" w:hAnsi="Nirmala UI"/>
          <w:b/>
          <w:bCs/>
          <w:color w:val="0094CF"/>
          <w:sz w:val="32"/>
          <w:szCs w:val="32"/>
        </w:rPr>
        <w:t xml:space="preserve">SIMULACRO DE EMERGÊNCIA AERONÁUTICA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Aeroporto Welwitschia Mirabilis (FNMO)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Namibe, Angola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Código do Exercício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EX-FNMO-PEA-001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CONFIDENCIAL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C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CONFIDENCIAL — Este documento contém informações operacionais e procedimentos de segurança aeroportuária. Deve ser distribuído apenas a participantes autorizados. Qualquer divulgação não autorizada é estritamente proibida.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Introdução</w:t>
      </w:r>
    </w:p>
    <w:p>
      <w:pPr>
        <w:spacing w:after="120"/>
      </w:pPr>
      <w:r>
        <w:t xml:space="preserve">Um simulacro de emergência aeronáutica é um exercício planeado, controlado e periódico que simula uma situação de crise aeroportuária, como um acidente aéreo ou incidente grave. O objetivo é testar e validar os procedimentos de resposta de emergência, avaliar a eficiência das equipas, das comunicações e da coordenação entre todos os organismos envolvidos na resposta.</w:t>
      </w:r>
    </w:p>
    <w:p>
      <w:pPr>
        <w:spacing w:after="240"/>
      </w:pPr>
      <w:r>
        <w:t xml:space="preserve">Durante um simulacro, os participantes agem como se uma situação real estivesse a ocorrer, mas com salvaguardas e protocolos que asseguram a segurança de todos os envolvidos. Os simulacros permitem identificar lacunas nos procedimentos, treinar pessoal novo, atualizar procedimentos operacionais e garantir que todos sabem exatamente o que fazer em caso de emergência real.</w:t>
      </w:r>
    </w:p>
    <w:p>
      <w:pPr>
        <w:pStyle w:val="Heading2"/>
      </w:pPr>
      <w:r>
        <w:t xml:space="preserve">Enquadramento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014"/>
      </w:tblGrid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tcW w:type="dxa" w:w="60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Referência e Escopo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ICAO Doc 9137</w:t>
            </w:r>
          </w:p>
        </w:tc>
        <w:tc>
          <w:tcPr>
            <w:tcW w:type="dxa" w:w="60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de Aviação Civil - Proteção e Resposta a Emergências Aeronáuticas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NTA 32 ANAC</w:t>
            </w:r>
          </w:p>
        </w:tc>
        <w:tc>
          <w:tcPr>
            <w:tcW w:type="dxa" w:w="60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 Técnica de Aviação — República de Angola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Instrutivo 22A.903.001.A</w:t>
            </w:r>
          </w:p>
        </w:tc>
        <w:tc>
          <w:tcPr>
            <w:tcW w:type="dxa" w:w="60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Procedimentos de Resposta a Emergências em Aeroportos Angolanos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t xml:space="preserve">SGA — Aeroporto Welwitschia Mirabilis | EX-FNMO-PEA-001</w:t>
    </w:r>
    <w:r>
      <w:t xml:space="preserve">	</w:t>
    </w: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762000" cy="381000"/>
          <wp:effectExtent t="0" r="0" b="0" l="0"/>
          <wp:docPr id="1" name="logo" descr="SGA Logo" title="SG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4CF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Nirmala UI" w:cs="Nirmala UI" w:eastAsia="Nirmala UI" w:hAnsi="Nirmala UI"/>
      <w:b/>
      <w:bCs/>
      <w:color w:val="004C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Nirmala UI" w:cs="Nirmala UI" w:eastAsia="Nirmala UI" w:hAnsi="Nirmala UI"/>
      <w:b/>
      <w:bCs/>
      <w:color w:val="0094C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165859416a1cd418c728b609245d1bcce29c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c165859416a1cd418c728b609245d1bcce29c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2026-04-06T10:14:53.742Z</dcterms:created>
  <dcterms:modified xsi:type="dcterms:W3CDTF">2026-04-06T10:14:53.742Z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