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300"/>
      </w:pPr>
      <w:r>
        <w:t xml:space="preserve">EGFR Mutation Subtypes and Treatment Response, Resistance, and Clinical Outcomes in NSCLC (2022–2026): An Evidence Synthesis</w:t>
      </w:r>
    </w:p>
    <w:p>
      <w:pPr>
        <w:pStyle w:val="Heading1"/>
        <w:spacing w:after="150" w:before="300"/>
      </w:pPr>
      <w:r>
        <w:t xml:space="preserve">Research question and scope</w:t>
      </w:r>
    </w:p>
    <w:p>
      <w:pPr>
        <w:spacing w:after="160"/>
        <w:jc w:val="left"/>
      </w:pPr>
      <w:r>
        <w:rPr>
          <w:b/>
          <w:bCs/>
          <w:i w:val="false"/>
          <w:iCs w:val="false"/>
        </w:rPr>
        <w:t xml:space="preserve">Question:</w:t>
      </w:r>
      <w:r>
        <w:rPr>
          <w:b w:val="false"/>
          <w:bCs w:val="false"/>
          <w:i w:val="false"/>
          <w:iCs w:val="false"/>
        </w:rPr>
        <w:t xml:space="preserve"> What are the most recent peer-reviewed studies (2022–2026) evaluating EGFR mutation subtypes and their association with treatment response, acquired resistance, and clinical outcomes in patients with non-small cell lung cancer (NSCLC)?</w:t>
      </w:r>
    </w:p>
    <w:p>
      <w:pPr>
        <w:spacing w:after="160"/>
        <w:jc w:val="left"/>
      </w:pPr>
      <w:r>
        <w:rPr>
          <w:b/>
          <w:bCs/>
          <w:i w:val="false"/>
          <w:iCs w:val="false"/>
        </w:rPr>
        <w:t xml:space="preserve">Population:</w:t>
      </w:r>
      <w:r>
        <w:rPr>
          <w:b w:val="false"/>
          <w:bCs w:val="false"/>
          <w:i w:val="false"/>
          <w:iCs w:val="false"/>
        </w:rPr>
        <w:t xml:space="preserve"> Adult NSCLC patients harboring EGFR mutations, spanning common subtypes (exon 19 deletion, L858R) and uncommon/rarer subtypes (exon 20 insertion, G719X, L861Q, S768I, compound mutations).</w:t>
      </w:r>
    </w:p>
    <w:p>
      <w:pPr>
        <w:spacing w:after="160"/>
        <w:jc w:val="left"/>
      </w:pPr>
      <w:r>
        <w:rPr>
          <w:b/>
          <w:bCs/>
          <w:i w:val="false"/>
          <w:iCs w:val="false"/>
        </w:rPr>
        <w:t xml:space="preserve">Intervention/exposure:</w:t>
      </w:r>
      <w:r>
        <w:rPr>
          <w:b w:val="false"/>
          <w:bCs w:val="false"/>
          <w:i w:val="false"/>
          <w:iCs w:val="false"/>
        </w:rPr>
        <w:t xml:space="preserve"> EGFR mutation subtype as a variable, generally in the context of EGFR tyrosine kinase inhibitor (TKI) therapy (osimertinib and other generations) or EGFR-directed antibody/ctDNA-guided therapy.</w:t>
      </w:r>
    </w:p>
    <w:p>
      <w:pPr>
        <w:spacing w:after="160"/>
        <w:jc w:val="left"/>
      </w:pPr>
      <w:r>
        <w:rPr>
          <w:b/>
          <w:bCs/>
          <w:i w:val="false"/>
          <w:iCs w:val="false"/>
        </w:rPr>
        <w:t xml:space="preserve">Comparator:</w:t>
      </w:r>
      <w:r>
        <w:rPr>
          <w:b w:val="false"/>
          <w:bCs w:val="false"/>
          <w:i w:val="false"/>
          <w:iCs w:val="false"/>
        </w:rPr>
        <w:t xml:space="preserve"> Other EGFR mutation subtypes, or wild-type EGFR, where reported.</w:t>
      </w:r>
    </w:p>
    <w:p>
      <w:pPr>
        <w:spacing w:after="160"/>
        <w:jc w:val="left"/>
      </w:pPr>
      <w:r>
        <w:rPr>
          <w:b/>
          <w:bCs/>
          <w:i w:val="false"/>
          <w:iCs w:val="false"/>
        </w:rPr>
        <w:t xml:space="preserve">Outcomes:</w:t>
      </w:r>
      <w:r>
        <w:rPr>
          <w:b w:val="false"/>
          <w:bCs w:val="false"/>
          <w:i w:val="false"/>
          <w:iCs w:val="false"/>
        </w:rPr>
        <w:t xml:space="preserve"> Treatment response (ORR, PFS, OS), acquired resistance mechanisms, and clinical outcomes stratified by mutation subtype.</w:t>
      </w:r>
    </w:p>
    <w:p>
      <w:pPr>
        <w:spacing w:after="160"/>
        <w:jc w:val="left"/>
      </w:pPr>
      <w:r>
        <w:rPr>
          <w:b/>
          <w:bCs/>
          <w:i w:val="false"/>
          <w:iCs w:val="false"/>
        </w:rPr>
        <w:t xml:space="preserve">Study types considered:</w:t>
      </w:r>
      <w:r>
        <w:rPr>
          <w:b w:val="false"/>
          <w:bCs w:val="false"/>
          <w:i w:val="false"/>
          <w:iCs w:val="false"/>
        </w:rPr>
        <w:t xml:space="preserve"> Clinical cohort studies, clinical trials (including trial-embedded biomarker analyses), retrospective/prospective real-world analyses, and systematic reviews/meta-analyses; mechanistic studies included only where tied to clinical outcome data.</w:t>
      </w:r>
    </w:p>
    <w:p>
      <w:pPr>
        <w:spacing w:after="160"/>
        <w:jc w:val="left"/>
      </w:pPr>
      <w:r>
        <w:rPr>
          <w:b/>
          <w:bCs/>
          <w:i w:val="false"/>
          <w:iCs w:val="false"/>
        </w:rPr>
        <w:t xml:space="preserve">Date range / language:</w:t>
      </w:r>
      <w:r>
        <w:rPr>
          <w:b w:val="false"/>
          <w:bCs w:val="false"/>
          <w:i w:val="false"/>
          <w:iCs w:val="false"/>
        </w:rPr>
        <w:t xml:space="preserve"> 2022–2026; English.</w:t>
      </w:r>
    </w:p>
    <w:p>
      <w:pPr>
        <w:spacing w:after="160"/>
        <w:jc w:val="left"/>
      </w:pPr>
      <w:r>
        <w:rPr>
          <w:b/>
          <w:bCs/>
          <w:i w:val="false"/>
          <w:iCs w:val="false"/>
        </w:rPr>
        <w:t xml:space="preserve">Key inclusion criteria:</w:t>
      </w:r>
      <w:r>
        <w:rPr>
          <w:b w:val="false"/>
          <w:bCs w:val="false"/>
          <w:i w:val="false"/>
          <w:iCs w:val="false"/>
        </w:rPr>
        <w:t xml:space="preserve"> peer-reviewed (not preprint-only); human NSCLC with molecularly confirmed EGFR mutation status; outcome data reported </w:t>
      </w:r>
      <w:r>
        <w:rPr>
          <w:b w:val="false"/>
          <w:bCs w:val="false"/>
          <w:i/>
          <w:iCs/>
        </w:rPr>
        <w:t xml:space="preserve">stratified by EGFR mutation subtype</w:t>
      </w:r>
      <w:r>
        <w:rPr>
          <w:b w:val="false"/>
          <w:bCs w:val="false"/>
          <w:i w:val="false"/>
          <w:iCs w:val="false"/>
        </w:rPr>
        <w:t xml:space="preserve"> (not only pooled "EGFR-mutant").</w:t>
      </w:r>
    </w:p>
    <w:p>
      <w:pPr>
        <w:spacing w:after="160"/>
        <w:jc w:val="left"/>
      </w:pPr>
      <w:r>
        <w:rPr>
          <w:b/>
          <w:bCs/>
          <w:i w:val="false"/>
          <w:iCs w:val="false"/>
        </w:rPr>
        <w:t xml:space="preserve">Key exclusion criteria:</w:t>
      </w:r>
      <w:r>
        <w:rPr>
          <w:b w:val="false"/>
          <w:bCs w:val="false"/>
          <w:i w:val="false"/>
          <w:iCs w:val="false"/>
        </w:rPr>
        <w:t xml:space="preserve"> non-NSCLC or purely preclinical studies without clinical correlate; single-patient case reports (unless no other evidence exists for a rare subtype); studies reporting only pooled EGFR-mutant data without subtype breakdown; preprints/conference abstracts without full text.</w:t>
      </w:r>
    </w:p>
    <w:p>
      <w:pPr>
        <w:pStyle w:val="Heading1"/>
        <w:spacing w:after="150" w:before="300"/>
      </w:pPr>
      <w:r>
        <w:t xml:space="preserve">Methods summary</w:t>
      </w:r>
    </w:p>
    <w:p>
      <w:pPr>
        <w:spacing w:after="160"/>
        <w:jc w:val="left"/>
      </w:pPr>
      <w:r>
        <w:rPr>
          <w:b w:val="false"/>
          <w:bCs w:val="false"/>
          <w:i w:val="false"/>
          <w:iCs w:val="false"/>
        </w:rPr>
        <w:t xml:space="preserve">Literature was identified through structured, date-filtered (2022–2026) </w:t>
      </w:r>
      <w:r>
        <w:rPr>
          <w:rFonts w:ascii="Consolas" w:cs="Consolas" w:eastAsia="Consolas" w:hAnsi="Consolas"/>
          <w:b w:val="false"/>
          <w:bCs w:val="false"/>
          <w:i w:val="false"/>
          <w:iCs w:val="false"/>
        </w:rPr>
        <w:t xml:space="preserve">PubMed</w:t>
      </w:r>
      <w:r>
        <w:rPr>
          <w:b w:val="false"/>
          <w:bCs w:val="false"/>
          <w:i w:val="false"/>
          <w:iCs w:val="false"/>
        </w:rPr>
        <w:t xml:space="preserve"> searches (via </w:t>
      </w:r>
      <w:r>
        <w:rPr>
          <w:rFonts w:ascii="Consolas" w:cs="Consolas" w:eastAsia="Consolas" w:hAnsi="Consolas"/>
          <w:b w:val="false"/>
          <w:bCs w:val="false"/>
          <w:i w:val="false"/>
          <w:iCs w:val="false"/>
        </w:rPr>
        <w:t xml:space="preserve">mcp__PubMed__search_articles</w:t>
      </w:r>
      <w:r>
        <w:rPr>
          <w:b w:val="false"/>
          <w:bCs w:val="false"/>
          <w:i w:val="false"/>
          <w:iCs w:val="false"/>
        </w:rPr>
        <w:t xml:space="preserve">) across four targeted query passes: (1) general EGFR-subtype/treatment-response, (2) exon 20 insertion outcomes, (3) acquired-resistance mechanisms after osimertinib, and (4) compound/PACC mutations. Two earlier candidates originally surfaced through unstructured web search could not be verified at that time (network egress to primary bibliographic sources was blocked) and were re-run and independently confirmed once PubMed MCP tools became available; a small set of exploratory web-search-only candidates from that early pass were not re-verified and were not carried forward. Every candidate ultimately included was verified against PubMed's own metadata record (</w:t>
      </w:r>
      <w:r>
        <w:rPr>
          <w:rFonts w:ascii="Consolas" w:cs="Consolas" w:eastAsia="Consolas" w:hAnsi="Consolas"/>
          <w:b w:val="false"/>
          <w:bCs w:val="false"/>
          <w:i w:val="false"/>
          <w:iCs w:val="false"/>
        </w:rPr>
        <w:t xml:space="preserve">mcp__PubMed__get_article_metadata</w:t>
      </w:r>
      <w:r>
        <w:rPr>
          <w:b w:val="false"/>
          <w:bCs w:val="false"/>
          <w:i w:val="false"/>
          <w:iCs w:val="false"/>
        </w:rPr>
        <w:t xml:space="preserve">) for title, full author list, journal, year, volume/issue/pages, DOI, and PMCID — not a search snippet or AI-generated summary.</w:t>
      </w:r>
    </w:p>
    <w:p>
      <w:pPr>
        <w:spacing w:after="160"/>
        <w:jc w:val="left"/>
      </w:pPr>
      <w:r>
        <w:rPr>
          <w:b w:val="false"/>
          <w:bCs w:val="false"/>
          <w:i w:val="false"/>
          <w:iCs w:val="false"/>
        </w:rPr>
        <w:t xml:space="preserve">Fifteen unique candidates were evaluated in total. Four were excluded at intake: one single-patient case report on a compound mutation (other multicenter evidence on compound mutations was already available), and three studies (a MARIPOSA time-to-symptomatic-progression analysis, a VEGFA/VEGFR2-signaling study, and a LAURA safety analysis) that reported outcomes only at the pooled EGFR-mutant level without subtype stratification, failing the study's core inclusion criterion. Nine candidates passed forward, all verified directly against PubMed, all peer-reviewed, spanning 2022–2026; these were extracted into </w:t>
      </w:r>
      <w:r>
        <w:rPr>
          <w:rFonts w:ascii="Consolas" w:cs="Consolas" w:eastAsia="Consolas" w:hAnsi="Consolas"/>
          <w:b w:val="false"/>
          <w:bCs w:val="false"/>
          <w:i w:val="false"/>
          <w:iCs w:val="false"/>
        </w:rPr>
        <w:t xml:space="preserve">outputs/evidence-table.md</w:t>
      </w:r>
      <w:r>
        <w:rPr>
          <w:b w:val="false"/>
          <w:bCs w:val="false"/>
          <w:i w:val="false"/>
          <w:iCs w:val="false"/>
        </w:rPr>
        <w:t xml:space="preserve"> and form the entire evidentiary basis for this report.</w:t>
      </w:r>
    </w:p>
    <w:p>
      <w:pPr>
        <w:pStyle w:val="Heading1"/>
        <w:spacing w:after="150" w:before="300"/>
      </w:pPr>
      <w:r>
        <w:t xml:space="preserve">Evidence synthesis</w:t>
      </w:r>
    </w:p>
    <w:p>
      <w:pPr>
        <w:pStyle w:val="Heading2"/>
        <w:spacing w:after="120" w:before="250"/>
      </w:pPr>
      <w:r>
        <w:t xml:space="preserve">1. Uncommon and compound EGFR mutations: treatment response and TKI-generation choice</w:t>
      </w:r>
    </w:p>
    <w:p>
      <w:pPr>
        <w:spacing w:after="160"/>
        <w:jc w:val="left"/>
      </w:pPr>
      <w:r>
        <w:rPr>
          <w:b w:val="false"/>
          <w:bCs w:val="false"/>
          <w:i w:val="false"/>
          <w:iCs w:val="false"/>
        </w:rPr>
        <w:t xml:space="preserve">Two studies address this subtopic, using different designs and overlapping but non-identical populations.</w:t>
      </w:r>
    </w:p>
    <w:p>
      <w:pPr>
        <w:spacing w:after="160"/>
        <w:jc w:val="left"/>
      </w:pPr>
      <w:r>
        <w:rPr>
          <w:b w:val="false"/>
          <w:bCs w:val="false"/>
          <w:i w:val="false"/>
          <w:iCs w:val="false"/>
        </w:rPr>
        <w:t xml:space="preserve">Nagano et al. (2026) conducted a multicenter, retrospective, real-world cohort (29 Japanese hospitals, IPTW-adjusted, non-randomized) comparing first-line afatinib (n=95) versus osimertinib (n=67) in advanced/recurrent non-squamous NSCLC with uncommon EGFR mutations, explicitly excluding exon 20 insertions and de novo T790M. Overall, there was no statistically significant difference between afatinib and osimertinib in time to treatment failure (HR 1.04, 95% CI 0.61–1.77) or overall survival (HR 1.34, 95% CI 0.73–2.44); afatinib was associated with higher response rates but more dose-reduction-requiring adverse events. A subtype-dependent signal was observed in post hoc subgroup analysis: osimertinib appeared favored for L861X mutations, while afatinib appeared favored for compound mutations (Nagano et al., 2026).</w:t>
      </w:r>
    </w:p>
    <w:p>
      <w:pPr>
        <w:spacing w:after="160"/>
        <w:jc w:val="left"/>
      </w:pPr>
      <w:r>
        <w:rPr>
          <w:b w:val="false"/>
          <w:bCs w:val="false"/>
          <w:i w:val="false"/>
          <w:iCs w:val="false"/>
        </w:rPr>
        <w:t xml:space="preserve">Liu et al. (2026) characterized PACC (uncommon/atypical) and compound EGFR mutations across a very large cell-free-DNA cohort (15,851 EGFR-mutant NSCLC samples), finding PACC mutations in 9% of samples (1,421/15,851), predominantly occurring as in-cis compound mutations (66.2%) — a markedly different co-occurrence pattern than classical mutations (84.3% single) or exon 20 insertions (88.6% single) (p&lt;0.0001). In parallel Ba/F3 in vitro drug-sensitivity assays, compound PACC mutations showed sensitivity similar to single PACC mutations, with enhanced sensitivity to second-generation versus first- or third-generation TKIs. This in vitro finding was corroborated in a separate 1,542-patient real-world clinical cohort, in which second-generation TKIs were associated with improved outcomes relative to first- or third-generation TKIs for both single and compound PACC mutations (Liu et al., 2026).</w:t>
      </w:r>
    </w:p>
    <w:p>
      <w:pPr>
        <w:spacing w:after="160"/>
        <w:jc w:val="left"/>
      </w:pPr>
      <w:r>
        <w:rPr>
          <w:b/>
          <w:bCs/>
          <w:i w:val="false"/>
          <w:iCs w:val="false"/>
        </w:rPr>
        <w:t xml:space="preserve">Interpretation:</w:t>
      </w:r>
      <w:r>
        <w:rPr>
          <w:b w:val="false"/>
          <w:bCs w:val="false"/>
          <w:i w:val="false"/>
          <w:iCs w:val="false"/>
        </w:rPr>
        <w:t xml:space="preserve"> Taken together, these two studies — despite differing substantially in design (retrospective clinical cohort vs. genomic/in-vitro/real-world composite) and in exact population definition (Nagano's "uncommon mutations" excluding exon 20/de novo T790M, versus Liu's "PACC/compound mutation" framework) — point in a broadly convergent direction: second-generation (afatinib-class) TKIs may have a subtype-specific advantage over third-generation osimertinib specifically in compound-mutation disease, whereas single uncommon mutations (e.g., L861X) may respond preferentially to osimertinib. This is a directional convergence across different evidence types, not a merged effect estimate, and should not be read as replication of a single finding.</w:t>
      </w:r>
    </w:p>
    <w:p>
      <w:pPr>
        <w:pStyle w:val="Heading2"/>
        <w:spacing w:after="120" w:before="250"/>
      </w:pPr>
      <w:r>
        <w:t xml:space="preserve">2. Exon 20 insertion NSCLC: treatment outcomes across eras and agents</w:t>
      </w:r>
    </w:p>
    <w:p>
      <w:pPr>
        <w:spacing w:after="160"/>
        <w:jc w:val="left"/>
      </w:pPr>
      <w:r>
        <w:rPr>
          <w:b w:val="false"/>
          <w:bCs w:val="false"/>
          <w:i w:val="false"/>
          <w:iCs w:val="false"/>
        </w:rPr>
        <w:t xml:space="preserve">Four studies address exon 20 insertion NSCLC, but at different points in the treatment-era timeline and with non-overlapping drug/data sources — they should be read as sequential snapshots, not a single pooled cohort.</w:t>
      </w:r>
    </w:p>
    <w:p>
      <w:pPr>
        <w:spacing w:after="160"/>
        <w:jc w:val="left"/>
      </w:pPr>
      <w:r>
        <w:rPr>
          <w:b w:val="false"/>
          <w:bCs w:val="false"/>
          <w:i w:val="false"/>
          <w:iCs w:val="false"/>
        </w:rPr>
        <w:t xml:space="preserve">Kwon et al. (2022), a systematic review and meta-analysis of 23 real-world evidence studies and 19 interventional studies (published before widespread real-world use of amivantamab/mobocertinib), found that in the pre-targeted-therapy era, non-exon-20-targeting EGFR-TKIs and immuno-oncology agents underperformed chemotherapy: first-line chemotherapy pooled ORR was 25.7% (PFS 5.6 months, OS 18.3 months), while second-line-or-later non-exon-20-targeted EGFR-TKIs and IO agents achieved only 5.0% and 3.3% ORR respectively, versus 13.9% for chemotherapy in that line. The review noted limited real-world evidence at that time for mobocertinib and amivantamab specifically (Kwon et al., 2022).</w:t>
      </w:r>
    </w:p>
    <w:p>
      <w:pPr>
        <w:spacing w:after="160"/>
        <w:jc w:val="left"/>
      </w:pPr>
      <w:r>
        <w:rPr>
          <w:b w:val="false"/>
          <w:bCs w:val="false"/>
          <w:i w:val="false"/>
          <w:iCs w:val="false"/>
        </w:rPr>
        <w:t xml:space="preserve">Ou et al. (2023), using the Flatiron Health US real-world database (n=237, diagnosed 2011–2020, predating wide targeted-therapy uptake), similarly found poor outcomes across treatment lines: confirmed ORR 18.6% (first-line), 9.6% (second-line-or-later), and 14.0% in a postplatinum-trial-aligned subgroup approximating mobocertinib-trial eligibility criteria; median OS was 17.0, 13.6, and 11.5 months respectively (Ou et al., 2023). The authors concluded this underscored an unmet need for exon-20-targeted therapy.</w:t>
      </w:r>
    </w:p>
    <w:p>
      <w:pPr>
        <w:spacing w:after="160"/>
        <w:jc w:val="left"/>
      </w:pPr>
      <w:r>
        <w:rPr>
          <w:b w:val="false"/>
          <w:bCs w:val="false"/>
          <w:i w:val="false"/>
          <w:iCs w:val="false"/>
        </w:rPr>
        <w:t xml:space="preserve">Against that historical baseline, two more recent studies report outcomes with exon-20-targeted agents. Passiglia et al. (2026), a multicenter Italian real-world registry (ATLAS) of 119 exon 20 insertion patients (64 treated with subsequent-line single-agent amivantamab), reported ORR 37.5%, disease control rate 66.2%, median PFS 9.6 months, and median OS 16.9 months under amivantamab, with any-grade treatment-related adverse events in 68.8% (grade 3–4 in 10.9%); among 23 patients with brain metastases, intracranial partial response was seen in 13% and intracranial median PFS was 11.6 months. The authors described this real-world profile as consistent with the pivotal CHRYSALIS trial (Passiglia et al., 2026). Kim et al. (2026), a smaller single-center prospective cohort (n=22, 14 with prior amivantamab exposure) using paired ctDNA sequencing around mobocertinib treatment, reported an overall ORR of 59%, disease control rate 82%, and median PFS 5.6 months (95% CI 3.5–9.3); in the amivantamab-pretreated subgroup (n=14), ORR was 57.1% and median PFS 5.8 months. Helical-region insertions were associated with better response than non-helical insertions, and baseline ctDNA-negative status was associated with more favorable outcomes; acquired resistance mechanisms identified via paired ctDNA were diverse, including EGFR amplification, RTK/RAS pathway alterations, and rarer events such as gene fusion and small-cell transformation (Kim et al., 2026).</w:t>
      </w:r>
    </w:p>
    <w:p>
      <w:pPr>
        <w:spacing w:after="160"/>
        <w:jc w:val="left"/>
      </w:pPr>
      <w:r>
        <w:rPr>
          <w:b/>
          <w:bCs/>
          <w:i w:val="false"/>
          <w:iCs w:val="false"/>
        </w:rPr>
        <w:t xml:space="preserve">Interpretation and explicit non-comparison:</w:t>
      </w:r>
      <w:r>
        <w:rPr>
          <w:b w:val="false"/>
          <w:bCs w:val="false"/>
          <w:i w:val="false"/>
          <w:iCs w:val="false"/>
        </w:rPr>
        <w:t xml:space="preserve"> The numerically higher ORR for mobocertinib in Kim et al. (59%, n=22) compared with amivantamab in Passiglia et al. (37.5%, n=64) and with pooled non-exon-20-targeted agents in Kwon et al. (5.0% second-line-or-later) should </w:t>
      </w:r>
      <w:r>
        <w:rPr>
          <w:b/>
          <w:bCs/>
          <w:i w:val="false"/>
          <w:iCs w:val="false"/>
        </w:rPr>
        <w:t xml:space="preserve">not</w:t>
      </w:r>
      <w:r>
        <w:rPr>
          <w:b w:val="false"/>
          <w:bCs w:val="false"/>
          <w:i w:val="false"/>
          <w:iCs w:val="false"/>
        </w:rPr>
        <w:t xml:space="preserve"> be read as head-to-head evidence that mobocertinib outperforms amivantamab or other agents. These studies differ in population (subgroup with/without prior amivantamab exposure), treatment line, sample size, era, and setting (single-center prospective vs. multicenter real-world registry vs. meta-analytic synthesis), and none was designed for direct comparison. What the body of evidence does support is a temporal contrast: outcomes with exon-20-targeted agents (amivantamab, mobocertinib) reported in 2026 real-world/prospective cohorts appear more favorable than the pooled/historical outcomes with non-exon-20-targeted therapies reported by Kwon (2022) and Ou (2023) in an earlier treatment era — a sequential comparison across time periods, not a controlled comparative-efficacy finding.</w:t>
      </w:r>
    </w:p>
    <w:p>
      <w:pPr>
        <w:pStyle w:val="Heading2"/>
        <w:spacing w:after="120" w:before="250"/>
      </w:pPr>
      <w:r>
        <w:t xml:space="preserve">3. Acquired resistance mechanisms after osimertinib</w:t>
      </w:r>
    </w:p>
    <w:p>
      <w:pPr>
        <w:spacing w:after="160"/>
        <w:jc w:val="left"/>
      </w:pPr>
      <w:r>
        <w:rPr>
          <w:b w:val="false"/>
          <w:bCs w:val="false"/>
          <w:i w:val="false"/>
          <w:iCs w:val="false"/>
        </w:rPr>
        <w:t xml:space="preserve">Two studies characterize resistance mechanisms following progression on osimertinib; they address complementary, non-overlapping aspects of resistance biology and should not be treated as replicating or contradicting one another.</w:t>
      </w:r>
    </w:p>
    <w:p>
      <w:pPr>
        <w:spacing w:after="160"/>
        <w:jc w:val="left"/>
      </w:pPr>
      <w:r>
        <w:rPr>
          <w:b w:val="false"/>
          <w:bCs w:val="false"/>
          <w:i w:val="false"/>
          <w:iCs w:val="false"/>
        </w:rPr>
        <w:t xml:space="preserve">Yu et al. (2026), a prespecified exploratory genomic analysis nested in the phase II ORCHARD trial (NCT03944772; baseline tissue n=400, plasma n=191) in EGFR-mutant NSCLC progressing on first-line osimertinib, found TP53 and MDM2/4 alterations to be mutually exclusive and present in 86% of tumors; combining tissue and plasma NGS, resistance alterations were detected in 87% of samples, with multiple concurrent resistance alterations present in 46%. PI3K-pathway, SOX2, and MYC alterations were frequent specifically in histologically transformed tumors. The analysis also reported differential co-occurring-mutation patterns between L858R and exon 19 deletion tumors, satisfying subtype-level reporting for this arm of the research question, although this comparison is reported qualitatively in the abstract without accompanying effect sizes (Yu et al., 2026).</w:t>
      </w:r>
    </w:p>
    <w:p>
      <w:pPr>
        <w:spacing w:after="160"/>
        <w:jc w:val="left"/>
      </w:pPr>
      <w:r>
        <w:rPr>
          <w:b w:val="false"/>
          <w:bCs w:val="false"/>
          <w:i w:val="false"/>
          <w:iCs w:val="false"/>
        </w:rPr>
        <w:t xml:space="preserve">Gariazzo et al. (2026), a multicenter Italian real-world registry ("Rebiopsy on Osi," n=457) restricted to common EGFR mutations only (exon 19 deletion or L858R) progressing on first-line osimertinib, found that rebiopsy was performed in 45.1% of patients (mostly tissue, 66.2%), with a resistance mechanism identified in 38.8% of rebiopsied patients — detection was higher with tissue (46.6%) than liquid biopsy (13.5%). MET amplification/overexpression was the most frequent actionable mechanism identified, and 74.3% (29/39) of adaptively treated patients with this alteration received a MET-TKI-based regimen. Median PFS/OS was longer with biomarker-adaptive second-line therapy (7.3/14.1 months) than with rebiopsy without adaptation (6.5/12.2 months) or no rebiopsy (5.1/8.2 months) (Gariazzo et al., 2026).</w:t>
      </w:r>
    </w:p>
    <w:p>
      <w:pPr>
        <w:spacing w:after="160"/>
        <w:jc w:val="left"/>
      </w:pPr>
      <w:r>
        <w:rPr>
          <w:b/>
          <w:bCs/>
          <w:i w:val="false"/>
          <w:iCs w:val="false"/>
        </w:rPr>
        <w:t xml:space="preserve">Interpretation:</w:t>
      </w:r>
      <w:r>
        <w:rPr>
          <w:b w:val="false"/>
          <w:bCs w:val="false"/>
          <w:i w:val="false"/>
          <w:iCs w:val="false"/>
        </w:rPr>
        <w:t xml:space="preserve"> ORCHARD's genomic landscape (TP53/MDM2/4, PI3K, SOX2, MYC alterations, tissue-plasma concordance) and Gariazzo's real-world MET-amplification/adaptive-therapy findings describe different pieces of a heterogeneous resistance landscape rather than the same finding from two angles — one is a broad exploratory molecular-profiling analysis within a trial population with mixed EGFR subtypes, the other is a real-world clinical-outcomes study restricted to common-mutation disease focused on one actionable mechanism (MET) and its treatment implications. Gariazzo's outcome comparisons (adaptive vs. non-adaptive vs. no rebiopsy) are also non-randomized: patients selected for rebiopsy and treatment adaptation may simply have had better performance status or lower disease burden independent of the intervention itself, so the observed PFS/OS gradient should not be read as a proven causal benefit of the biomarker-adaptive strategy.</w:t>
      </w:r>
    </w:p>
    <w:p>
      <w:pPr>
        <w:pStyle w:val="Heading2"/>
        <w:spacing w:after="120" w:before="250"/>
      </w:pPr>
      <w:r>
        <w:t xml:space="preserve">4. T790M-mutant disease: PD-L1/immune biomarkers and subtype</w:t>
      </w:r>
    </w:p>
    <w:p>
      <w:pPr>
        <w:spacing w:after="160"/>
        <w:jc w:val="left"/>
      </w:pPr>
      <w:r>
        <w:rPr>
          <w:b w:val="false"/>
          <w:bCs w:val="false"/>
          <w:i w:val="false"/>
          <w:iCs w:val="false"/>
        </w:rPr>
        <w:t xml:space="preserve">Yang et al. (2024), a translational cohort study (n=134: 72 exon 19 deletion, 58 L858R, 4 G719X) of pretreated EGFR T790M-positive NSCLC treated with osimertinib, found no significant difference in PFS by PD-L1 status, and PD-L1 expression did not differ by initial EGFR mutation subgroup or biopsy site. In multivariate Cox analysis, older age and L858R mutation were independently associated with outcome, although the abstract does not report the direction or magnitude of this association. In vitro and xenograft experiments showed PD-L1 overexpression did not confer osimertinib resistance. The authors concluded PD-L1/immune profiling is not predictive of osimertinib efficacy in T790M-positive disease (Yang et al., 2024). The G719X subgroup in this study (n=4) is too small to support any standalone conclusion about that subtype and is exploratory only.</w:t>
      </w:r>
    </w:p>
    <w:p>
      <w:pPr>
        <w:pStyle w:val="Heading1"/>
        <w:spacing w:after="150" w:before="300"/>
      </w:pPr>
      <w:r>
        <w:t xml:space="preserve">Quality and limitations</w:t>
      </w:r>
    </w:p>
    <w:p>
      <w:pPr>
        <w:spacing w:after="160"/>
        <w:jc w:val="left"/>
      </w:pPr>
      <w:r>
        <w:rPr>
          <w:b/>
          <w:bCs/>
          <w:i w:val="false"/>
          <w:iCs w:val="false"/>
        </w:rPr>
        <w:t xml:space="preserve">No randomized, subtype-stratified comparative trial exists in this evidence base.</w:t>
      </w:r>
      <w:r>
        <w:rPr>
          <w:b w:val="false"/>
          <w:bCs w:val="false"/>
          <w:i w:val="false"/>
          <w:iCs w:val="false"/>
        </w:rPr>
        <w:t xml:space="preserve"> Every included study is either retrospective/real-world observational, a single-arm/prospective cohort, a trial-embedded exploratory biomarker analysis, or a systematic review of such studies. Nagano et al. (2026) is the closest to a controlled comparison (IPTW-adjusted afatinib vs. osimertinib) but is non-randomized, and its overall hazard ratios both cross 1 with wide confidence intervals — a "no significant difference" here reflects limited power, not demonstrated equivalence, and its subtype-specific findings (L861X vs. compound mutations) are post hoc subgroup observations. This is a body-of-evidence-level limitation that applies across the entire synthesis: no study in this table can support a causal claim that a given TKI generation is superior for a given subtype; all subtype-outcome associations reported here are observational.</w:t>
      </w:r>
    </w:p>
    <w:p>
      <w:pPr>
        <w:spacing w:after="160"/>
        <w:jc w:val="left"/>
      </w:pPr>
      <w:r>
        <w:rPr>
          <w:b/>
          <w:bCs/>
          <w:i w:val="false"/>
          <w:iCs w:val="false"/>
        </w:rPr>
        <w:t xml:space="preserve">Sample sizes vary by roughly four orders of magnitude across studies</w:t>
      </w:r>
      <w:r>
        <w:rPr>
          <w:b w:val="false"/>
          <w:bCs w:val="false"/>
          <w:i w:val="false"/>
          <w:iCs w:val="false"/>
        </w:rPr>
        <w:t xml:space="preserve">, and this must be weighed when judging precision and generalizability. Liu et al. (2026)'s genomic-landscape characterization (n=15,851) offers strong internal validity for mutation co-occurrence patterns, but its clinical-outcomes claim rests on a smaller (n=1,542), retrospective, confounded-by-indication subset. At the other extreme, Yang et al. (2024)'s G719X subgroup (n=4) and Kim et al. (2026)'s overall cohort (n=22, subgroup n=14) yield wide confidence intervals and limited generalizability; Kim et al.'s PFS estimate (95% CI 3.5–9.3 months) illustrates this directly. Mid-sized studies (Nagano, n=162; Ou, n=237; Gariazzo, n=457; Passiglia, n=119/64) fall between these extremes and should be weighted accordingly — none is large enough, on its own, to resolve subtype-specific efficacy questions with high precision.</w:t>
      </w:r>
    </w:p>
    <w:p>
      <w:pPr>
        <w:spacing w:after="160"/>
        <w:jc w:val="left"/>
      </w:pPr>
      <w:r>
        <w:rPr>
          <w:b/>
          <w:bCs/>
          <w:i w:val="false"/>
          <w:iCs w:val="false"/>
        </w:rPr>
        <w:t xml:space="preserve">Populations across the exon 20 insertion, uncommon, compound, and T790M literatures are overlapping but non-identical and should not be pooled.</w:t>
      </w:r>
      <w:r>
        <w:rPr>
          <w:b w:val="false"/>
          <w:bCs w:val="false"/>
          <w:i w:val="false"/>
          <w:iCs w:val="false"/>
        </w:rPr>
        <w:t xml:space="preserve"> Nagano (2026) explicitly excludes exon 20 insertions and de novo T790M from its "uncommon mutation" population; Liu (2026) uses a distinct PACC/compound-mutation framework; Ou (2023), Kwon (2022), Passiglia (2026), and Kim (2026) are exon-20-insertion-specific but drawn from different eras, agents, and health systems; Yang (2024) addresses acquired T790M arising in previously common-mutation (or rare G719X) disease. Numeric outcomes (e.g., ORR figures) from these different strata are not directly comparable and have not been pooled in this synthesis.</w:t>
      </w:r>
    </w:p>
    <w:p>
      <w:pPr>
        <w:spacing w:after="160"/>
        <w:jc w:val="left"/>
      </w:pPr>
      <w:r>
        <w:rPr>
          <w:b/>
          <w:bCs/>
          <w:i w:val="false"/>
          <w:iCs w:val="false"/>
        </w:rPr>
        <w:t xml:space="preserve">Confounding by indication is a recurring limitation</w:t>
      </w:r>
      <w:r>
        <w:rPr>
          <w:b w:val="false"/>
          <w:bCs w:val="false"/>
          <w:i w:val="false"/>
          <w:iCs w:val="false"/>
        </w:rPr>
        <w:t xml:space="preserve"> across nearly all included retrospective/real-world studies (Nagano 2026, Liu 2026's clinical cohort, Passiglia 2026, Ou 2023, Gariazzo 2026): treatment selection reflected routine clinical practice rather than randomization, so observed outcome differences may partly reflect why a given therapy was chosen rather than the therapy's effect itself.</w:t>
      </w:r>
    </w:p>
    <w:p>
      <w:pPr>
        <w:spacing w:after="160"/>
        <w:jc w:val="left"/>
      </w:pPr>
      <w:r>
        <w:rPr>
          <w:b/>
          <w:bCs/>
          <w:i w:val="false"/>
          <w:iCs w:val="false"/>
        </w:rPr>
        <w:t xml:space="preserve">Kwon et al. (2022) is a synthesis, not an independent patient cohort</w:t>
      </w:r>
      <w:r>
        <w:rPr>
          <w:b w:val="false"/>
          <w:bCs w:val="false"/>
          <w:i w:val="false"/>
          <w:iCs w:val="false"/>
        </w:rPr>
        <w:t xml:space="preserve"> — its pooled estimates should not be treated as additional confirmatory sample size alongside the primary studies it may itself include, and its conclusions about non-exon-20-targeted agents underperforming chemotherapy are the most dated in this table (predating widespread real-world use of amivantamab and mobocertinib).</w:t>
      </w:r>
    </w:p>
    <w:p>
      <w:pPr>
        <w:spacing w:after="160"/>
        <w:jc w:val="left"/>
      </w:pPr>
      <w:r>
        <w:rPr>
          <w:b/>
          <w:bCs/>
          <w:i w:val="false"/>
          <w:iCs w:val="false"/>
        </w:rPr>
        <w:t xml:space="preserve">Overall strength of evidence:</w:t>
      </w:r>
      <w:r>
        <w:rPr>
          <w:b w:val="false"/>
          <w:bCs w:val="false"/>
          <w:i w:val="false"/>
          <w:iCs w:val="false"/>
        </w:rPr>
        <w:t xml:space="preserve"> Moderate for descriptive outcome/response rates within a given subtype and study; low for any comparative or causal claim about relative TKI efficacy by subtype, given the complete absence of randomized subtype-stratified trials in the included literature.</w:t>
      </w:r>
    </w:p>
    <w:p>
      <w:pPr>
        <w:pStyle w:val="Heading1"/>
        <w:spacing w:after="150" w:before="300"/>
      </w:pPr>
      <w:r>
        <w:t xml:space="preserve">Gaps and uncertainty</w:t>
      </w:r>
    </w:p>
    <w:p>
      <w:pPr>
        <w:pStyle w:val="ListParagraph"/>
        <w:numPr>
          <w:ilvl w:val="0"/>
          <w:numId w:val="1"/>
        </w:numPr>
        <w:spacing w:after="80"/>
      </w:pPr>
      <w:r>
        <w:rPr>
          <w:b/>
          <w:bCs/>
          <w:i w:val="false"/>
          <w:iCs w:val="false"/>
        </w:rPr>
        <w:t xml:space="preserve">No randomized controlled trial in this evidence base directly compares</w:t>
      </w:r>
    </w:p>
    <w:p>
      <w:pPr>
        <w:spacing w:after="160"/>
        <w:jc w:val="left"/>
      </w:pPr>
      <w:r>
        <w:rPr>
          <w:b w:val="false"/>
          <w:bCs w:val="false"/>
          <w:i w:val="false"/>
          <w:iCs w:val="false"/>
        </w:rPr>
        <w:t xml:space="preserve">EGFR-TKIs (or other agents) by mutation subtype.</w:t>
      </w:r>
      <w:r>
        <w:rPr>
          <w:b/>
          <w:bCs/>
          <w:i w:val="false"/>
          <w:iCs w:val="false"/>
        </w:rPr>
        <w:t xml:space="preserve"> All subtype-outcome associations described above are drawn from observational or trial-embedded exploratory analyses; the research question as scoped cannot be answered with trial-level causal evidence from the current evidence table.</w:t>
      </w:r>
    </w:p>
    <w:p>
      <w:pPr>
        <w:pStyle w:val="ListParagraph"/>
        <w:numPr>
          <w:ilvl w:val="0"/>
          <w:numId w:val="1"/>
        </w:numPr>
        <w:spacing w:after="80"/>
      </w:pPr>
      <w:r>
        <w:rPr>
          <w:b/>
          <w:bCs/>
          <w:i w:val="false"/>
          <w:iCs w:val="false"/>
        </w:rPr>
        <w:t xml:space="preserve">L858R vs. exon 19 deletion resistance-mechanism differences (Yu et</w:t>
      </w:r>
    </w:p>
    <w:p>
      <w:pPr>
        <w:spacing w:after="160"/>
        <w:jc w:val="left"/>
      </w:pPr>
      <w:r>
        <w:rPr>
          <w:b w:val="false"/>
          <w:bCs w:val="false"/>
          <w:i w:val="false"/>
          <w:iCs w:val="false"/>
        </w:rPr>
        <w:t xml:space="preserve">al., 2026) are reported qualitatively without effect sizes</w:t>
      </w:r>
      <w:r>
        <w:rPr>
          <w:b/>
          <w:bCs/>
          <w:i w:val="false"/>
          <w:iCs w:val="false"/>
        </w:rPr>
        <w:t xml:space="preserve"> in the available abstract-level extraction; the magnitude and statistical robustness of this subtype difference cannot be characterized further from the evidence table as it stands.</w:t>
      </w:r>
    </w:p>
    <w:p>
      <w:pPr>
        <w:pStyle w:val="ListParagraph"/>
        <w:numPr>
          <w:ilvl w:val="0"/>
          <w:numId w:val="1"/>
        </w:numPr>
        <w:spacing w:after="80"/>
      </w:pPr>
      <w:r>
        <w:rPr>
          <w:b/>
          <w:bCs/>
          <w:i w:val="false"/>
          <w:iCs w:val="false"/>
        </w:rPr>
        <w:t xml:space="preserve">The direction/magnitude of the L858R multivariate association with</w:t>
      </w:r>
    </w:p>
    <w:p>
      <w:pPr>
        <w:spacing w:after="160"/>
        <w:jc w:val="left"/>
      </w:pPr>
      <w:r>
        <w:rPr>
          <w:b w:val="false"/>
          <w:bCs w:val="false"/>
          <w:i w:val="false"/>
          <w:iCs w:val="false"/>
        </w:rPr>
        <w:t xml:space="preserve">outcome in Yang et al. (2024)</w:t>
      </w:r>
      <w:r>
        <w:rPr>
          <w:b/>
          <w:bCs/>
          <w:i w:val="false"/>
          <w:iCs w:val="false"/>
        </w:rPr>
        <w:t xml:space="preserve"> is noted as significant in that study's multivariate model but is not reported in enough detail (abstract-level only) to state whether L858R was associated with better or worse outcome.</w:t>
      </w:r>
    </w:p>
    <w:p>
      <w:pPr>
        <w:pStyle w:val="ListParagraph"/>
        <w:numPr>
          <w:ilvl w:val="0"/>
          <w:numId w:val="1"/>
        </w:numPr>
        <w:spacing w:after="80"/>
      </w:pPr>
      <w:r>
        <w:rPr>
          <w:b/>
          <w:bCs/>
          <w:i w:val="false"/>
          <w:iCs w:val="false"/>
        </w:rPr>
        <w:t xml:space="preserve">G719X-specific conclusions cannot be drawn:</w:t>
      </w:r>
      <w:r>
        <w:rPr>
          <w:b w:val="false"/>
          <w:bCs w:val="false"/>
          <w:i w:val="false"/>
          <w:iCs w:val="false"/>
        </w:rPr>
        <w:t xml:space="preserve"> the only G719X-specific</w:t>
      </w:r>
    </w:p>
    <w:p>
      <w:pPr>
        <w:spacing w:after="160"/>
        <w:jc w:val="left"/>
      </w:pPr>
      <w:r>
        <w:rPr>
          <w:b w:val="false"/>
          <w:bCs w:val="false"/>
          <w:i w:val="false"/>
          <w:iCs w:val="false"/>
        </w:rPr>
        <w:t xml:space="preserve">data point in this evidence base is a subgroup of 4 patients within Yang et al. (2024), explicitly too small for standalone interpretation.</w:t>
      </w:r>
    </w:p>
    <w:p>
      <w:pPr>
        <w:pStyle w:val="ListParagraph"/>
        <w:numPr>
          <w:ilvl w:val="0"/>
          <w:numId w:val="1"/>
        </w:numPr>
        <w:spacing w:after="80"/>
      </w:pPr>
      <w:r>
        <w:rPr>
          <w:b/>
          <w:bCs/>
          <w:i w:val="false"/>
          <w:iCs w:val="false"/>
        </w:rPr>
        <w:t xml:space="preserve">Rare uncommon subtypes (S768I as an isolated mutation, isolated</w:t>
      </w:r>
    </w:p>
    <w:p>
      <w:pPr>
        <w:spacing w:after="160"/>
        <w:jc w:val="left"/>
      </w:pPr>
      <w:r>
        <w:rPr>
          <w:b w:val="false"/>
          <w:bCs w:val="false"/>
          <w:i w:val="false"/>
          <w:iCs w:val="false"/>
        </w:rPr>
        <w:t xml:space="preserve">L861Q) are not separately reported</w:t>
      </w:r>
      <w:r>
        <w:rPr>
          <w:b/>
          <w:bCs/>
          <w:i w:val="false"/>
          <w:iCs w:val="false"/>
        </w:rPr>
        <w:t xml:space="preserve"> in the included evidence beyond their inclusion within Nagano (2026)'s and Liu (2026)'s broader uncommon/PACC categories; subtype-specific outcome data for these individual rare alterations is a gap.</w:t>
      </w:r>
    </w:p>
    <w:p>
      <w:pPr>
        <w:pStyle w:val="ListParagraph"/>
        <w:numPr>
          <w:ilvl w:val="0"/>
          <w:numId w:val="1"/>
        </w:numPr>
        <w:spacing w:after="80"/>
      </w:pPr>
      <w:r>
        <w:rPr>
          <w:b/>
          <w:bCs/>
          <w:i w:val="false"/>
          <w:iCs w:val="false"/>
        </w:rPr>
        <w:t xml:space="preserve">No included study reports long-term (beyond the endpoints stated)</w:t>
      </w:r>
    </w:p>
    <w:p>
      <w:pPr>
        <w:spacing w:after="160"/>
        <w:jc w:val="left"/>
      </w:pPr>
      <w:r>
        <w:rPr>
          <w:b w:val="false"/>
          <w:bCs w:val="false"/>
          <w:i w:val="false"/>
          <w:iCs w:val="false"/>
        </w:rPr>
        <w:t xml:space="preserve">overall survival data specific to compound-mutation disease</w:t>
      </w:r>
      <w:r>
        <w:rPr>
          <w:b/>
          <w:bCs/>
          <w:i w:val="false"/>
          <w:iCs w:val="false"/>
        </w:rPr>
        <w:t xml:space="preserve"> beyond what is captured in Liu et al. (2026)'s real-world cohort description.</w:t>
      </w:r>
    </w:p>
    <w:p>
      <w:pPr>
        <w:pStyle w:val="ListParagraph"/>
        <w:numPr>
          <w:ilvl w:val="0"/>
          <w:numId w:val="1"/>
        </w:numPr>
        <w:spacing w:after="80"/>
      </w:pPr>
      <w:r>
        <w:rPr>
          <w:b/>
          <w:bCs/>
          <w:i w:val="false"/>
          <w:iCs w:val="false"/>
        </w:rPr>
        <w:t xml:space="preserve">Pre-osimertinib-era vs. current-era comparisons for exon 20 insertion</w:t>
      </w:r>
    </w:p>
    <w:p>
      <w:pPr>
        <w:spacing w:after="160"/>
        <w:jc w:val="left"/>
      </w:pPr>
      <w:r>
        <w:rPr>
          <w:b w:val="false"/>
          <w:bCs w:val="false"/>
          <w:i w:val="false"/>
          <w:iCs w:val="false"/>
        </w:rPr>
        <w:t xml:space="preserve">disease (Kwon 2022/Ou 2023 vs. Passiglia 2026/Kim 2026) are time-sequential, not controlled</w:t>
      </w:r>
      <w:r>
        <w:rPr>
          <w:b/>
          <w:bCs/>
          <w:i w:val="false"/>
          <w:iCs w:val="false"/>
        </w:rPr>
        <w:t xml:space="preserve">, so the apparent improvement in outcomes with exon-20-targeted agents cannot be attributed with certainty to the agents themselves versus other changes in supportive care, staging, or patient selection over the intervening years.</w:t>
      </w:r>
    </w:p>
    <w:p>
      <w:pPr>
        <w:pStyle w:val="Heading1"/>
        <w:spacing w:after="150" w:before="300"/>
      </w:pPr>
      <w:r>
        <w:t xml:space="preserve">References</w:t>
      </w:r>
    </w:p>
    <w:p>
      <w:pPr>
        <w:spacing w:after="160"/>
      </w:pPr>
      <w:r>
        <w:rPr>
          <w:b w:val="false"/>
          <w:bCs w:val="false"/>
          <w:i w:val="false"/>
          <w:iCs w:val="false"/>
        </w:rPr>
        <w:t xml:space="preserve">1. Nagano Y, Yokouchi H, Saito R, Honjo O, Sumi T, Kaburagi T, Ito K, Ikezawa Y, Yokoo K, Kikuchi H, Kudo S, Yamazoe M, Shigaki R, Tagami K, Tenma T, Ishikawa T, Takahashi M, Sasaki T, Asahina H, Hinotsu S, Chiba H, Oizumi S. Afatinib Versus Osimertinib for Non-Small Cell Lung Cancer With Uncommon EGFR Mutations: Real-World Outcomes. </w:t>
      </w:r>
      <w:r>
        <w:rPr>
          <w:b w:val="false"/>
          <w:bCs w:val="false"/>
          <w:i/>
          <w:iCs/>
        </w:rPr>
        <w:t xml:space="preserve">Cancer Science</w:t>
      </w:r>
      <w:r>
        <w:rPr>
          <w:b w:val="false"/>
          <w:bCs w:val="false"/>
          <w:i w:val="false"/>
          <w:iCs w:val="false"/>
        </w:rPr>
        <w:t xml:space="preserve">. 2026;117(8):2236-2246. DOI: 10.1111/cas.70400. PMID: 42218657. https://pubmed.ncbi.nlm.nih.gov/42218657/</w:t>
      </w:r>
    </w:p>
    <w:p>
      <w:pPr>
        <w:spacing w:after="160"/>
      </w:pPr>
      <w:r>
        <w:rPr>
          <w:b w:val="false"/>
          <w:bCs w:val="false"/>
          <w:i w:val="false"/>
          <w:iCs w:val="false"/>
        </w:rPr>
        <w:t xml:space="preserve">2. Liu X, Stamboulian M, Borgeaud M, Zhu E, Weipert C, Zhang N, Nilsson MB, Wang K, Hong L, Wang J, Morris BB, Heeke S, Robichaux JP, Lewis C, Drusbosky L, Chen H, Yang Y, He J, Cai L, Wu J, Zhang J, Alfredo A, Heymach JV, Le X. Compound EGFR Mutations Are Predominantly P-Loop and Alpha-C Helix Compressing Mutations With Increased Responsiveness to Second- Versus Third-Generation Tyrosine Kinase Inhibitors. </w:t>
      </w:r>
      <w:r>
        <w:rPr>
          <w:b w:val="false"/>
          <w:bCs w:val="false"/>
          <w:i/>
          <w:iCs/>
        </w:rPr>
        <w:t xml:space="preserve">Journal of Thoracic Oncology</w:t>
      </w:r>
      <w:r>
        <w:rPr>
          <w:b w:val="false"/>
          <w:bCs w:val="false"/>
          <w:i w:val="false"/>
          <w:iCs w:val="false"/>
        </w:rPr>
        <w:t xml:space="preserve">. 2026. DOI: 10.1016/j.jtho.2026.103948. PMID: 42191070. https://pubmed.ncbi.nlm.nih.gov/42191070/</w:t>
      </w:r>
    </w:p>
    <w:p>
      <w:pPr>
        <w:spacing w:after="160"/>
      </w:pPr>
      <w:r>
        <w:rPr>
          <w:b w:val="false"/>
          <w:bCs w:val="false"/>
          <w:i w:val="false"/>
          <w:iCs w:val="false"/>
        </w:rPr>
        <w:t xml:space="preserve">3. Passiglia F, Passaro A, Gariazzo E, Montrone M, Pasello G, Tiseo M, Russano M, Citarella F, Muscarella LA, Pozzessere D, Bria E, Roca E, Cerea G, Russo A, Grisanti S, Bulotta A, Veccia A, Biello F, Lo Russo G, Pilotto S, Genova C, Cortinovis D, Minuti G, Meoni G, Gori S, Reale ML, Pavan A, Ramundo M, Grossi F, Parra HS, Scotti V, Vavalà T, Sini C, Sergi C, Pelizzari G, Chiari R, Stanzione B, Favaretto A, Leone F, Bettini AC, Pagano M, Tondulli L, Toschi L, Lacidogna G, Bennati C, Catanese S, Malapelle U, Giannarelli D, Novello S. Amivantamab in advanced non-small cell lung cancer with epidermal growth factor receptor exon 20 insertion mutations: Real-world data from the Italian ATLAS Registry. </w:t>
      </w:r>
      <w:r>
        <w:rPr>
          <w:b w:val="false"/>
          <w:bCs w:val="false"/>
          <w:i/>
          <w:iCs/>
        </w:rPr>
        <w:t xml:space="preserve">Cancer</w:t>
      </w:r>
      <w:r>
        <w:rPr>
          <w:b w:val="false"/>
          <w:bCs w:val="false"/>
          <w:i w:val="false"/>
          <w:iCs w:val="false"/>
        </w:rPr>
        <w:t xml:space="preserve">. 2026;132(11):e70476. DOI: 10.1002/cncr.70476. PMID: 42216441. https://pubmed.ncbi.nlm.nih.gov/42216441/</w:t>
      </w:r>
    </w:p>
    <w:p>
      <w:pPr>
        <w:spacing w:after="160"/>
      </w:pPr>
      <w:r>
        <w:rPr>
          <w:b w:val="false"/>
          <w:bCs w:val="false"/>
          <w:i w:val="false"/>
          <w:iCs w:val="false"/>
        </w:rPr>
        <w:t xml:space="preserve">4. Ou SI, Lin HM, Hong JL, Yin Y, Jin S, Lin J, Mehta M, Nguyen D, Neal JW. Real-World Response and Outcomes in Patients With NSCLC With EGFR Exon 20 Insertion Mutations. </w:t>
      </w:r>
      <w:r>
        <w:rPr>
          <w:b w:val="false"/>
          <w:bCs w:val="false"/>
          <w:i/>
          <w:iCs/>
        </w:rPr>
        <w:t xml:space="preserve">JTO Clinical and Research Reports</w:t>
      </w:r>
      <w:r>
        <w:rPr>
          <w:b w:val="false"/>
          <w:bCs w:val="false"/>
          <w:i w:val="false"/>
          <w:iCs w:val="false"/>
        </w:rPr>
        <w:t xml:space="preserve">. 2023;4(10):100558. DOI: 10.1016/j.jtocrr.2023.100558. PMID: 37744306. https://pubmed.ncbi.nlm.nih.gov/37744306/</w:t>
      </w:r>
    </w:p>
    <w:p>
      <w:pPr>
        <w:spacing w:after="160"/>
      </w:pPr>
      <w:r>
        <w:rPr>
          <w:b w:val="false"/>
          <w:bCs w:val="false"/>
          <w:i w:val="false"/>
          <w:iCs w:val="false"/>
        </w:rPr>
        <w:t xml:space="preserve">5. Kwon CS, Lin HM, Crossland V, Churchill EN, Curran E, Forsythe A, Tomaras D, Ou SI. Non-small cell lung cancer with EGFR exon 20 insertion mutation: a systematic literature review and meta-analysis of patient outcomes. </w:t>
      </w:r>
      <w:r>
        <w:rPr>
          <w:b w:val="false"/>
          <w:bCs w:val="false"/>
          <w:i/>
          <w:iCs/>
        </w:rPr>
        <w:t xml:space="preserve">Current Medical Research and Opinion</w:t>
      </w:r>
      <w:r>
        <w:rPr>
          <w:b w:val="false"/>
          <w:bCs w:val="false"/>
          <w:i w:val="false"/>
          <w:iCs w:val="false"/>
        </w:rPr>
        <w:t xml:space="preserve">. 2022;38(8):1341-1350. DOI: 10.1080/03007995.2022.2083326. PMID: 35621011. https://pubmed.ncbi.nlm.nih.gov/35621011/</w:t>
      </w:r>
    </w:p>
    <w:p>
      <w:pPr>
        <w:spacing w:after="160"/>
      </w:pPr>
      <w:r>
        <w:rPr>
          <w:b w:val="false"/>
          <w:bCs w:val="false"/>
          <w:i w:val="false"/>
          <w:iCs w:val="false"/>
        </w:rPr>
        <w:t xml:space="preserve">6. Yu HA, Tang KH, Markovets A, Hartmaier R, Smith PE, Cho BC, de Langen AJ, Goldberg SB, Goldman JW, Le X, Iwama E, Cosaert J, Riess JW, Piotrowska Z. Genomic Profiling of Epidermal Growth Factor Receptor Mutation-Positive Non-Small Cell Lung Cancer after Progression on First-line Osimertinib: Phase II ORCHARD Study. </w:t>
      </w:r>
      <w:r>
        <w:rPr>
          <w:b w:val="false"/>
          <w:bCs w:val="false"/>
          <w:i/>
          <w:iCs/>
        </w:rPr>
        <w:t xml:space="preserve">Clinical Cancer Research</w:t>
      </w:r>
      <w:r>
        <w:rPr>
          <w:b w:val="false"/>
          <w:bCs w:val="false"/>
          <w:i w:val="false"/>
          <w:iCs w:val="false"/>
        </w:rPr>
        <w:t xml:space="preserve">. 2026;32(17):3746-3756. DOI: 10.1158/1078-0432.CCR-25-4540. PMID: 41790029. https://pubmed.ncbi.nlm.nih.gov/41790029/</w:t>
      </w:r>
    </w:p>
    <w:p>
      <w:pPr>
        <w:spacing w:after="160"/>
      </w:pPr>
      <w:r>
        <w:rPr>
          <w:b w:val="false"/>
          <w:bCs w:val="false"/>
          <w:i w:val="false"/>
          <w:iCs w:val="false"/>
        </w:rPr>
        <w:t xml:space="preserve">7. Gariazzo E, Colamartini F, Cantale O, Mogavero A, Vitale A, Romano L, Peroni M, Rijavec E, Banini M, Mazzoni S, Montrone M, Pasello G, Veccia A, Ogliari FR, Leo S, Cortinovis D, Delmonte A, Belluomini L, La Cava G, Meoni G, Sini C, Delcuratolo MD, Bettini A, Pagano M, Genova C, Russo A, Pelizzari G, Tondulli L, Sergi C, Roca E, Bennati C, Grisanti S, Stanzione B, Mariotti S, Vavalà T, Soto Parra H, Ortega C, Pignataro D, Lacidogna G, Pino MS, Chiari R, Calabrò L, Pozzessere D, Masini S, Gelibter A, Scotti V, Grossi F, Tiseo M, Bria E, Metro G. EGFR-mutant NSCLC progressing on first-line osimertinib: rebiopsy in real-world and impact of second-line therapies (the "Rebiopsy on Osi" study). </w:t>
      </w:r>
      <w:r>
        <w:rPr>
          <w:b w:val="false"/>
          <w:bCs w:val="false"/>
          <w:i/>
          <w:iCs/>
        </w:rPr>
        <w:t xml:space="preserve">The Oncologist</w:t>
      </w:r>
      <w:r>
        <w:rPr>
          <w:b w:val="false"/>
          <w:bCs w:val="false"/>
          <w:i w:val="false"/>
          <w:iCs w:val="false"/>
        </w:rPr>
        <w:t xml:space="preserve">. 2026;31(9). DOI: 10.1093/oncolo/oyag285. PMID: 42502985. https://pubmed.ncbi.nlm.nih.gov/42502985/</w:t>
      </w:r>
    </w:p>
    <w:p>
      <w:pPr>
        <w:spacing w:after="160"/>
      </w:pPr>
      <w:r>
        <w:rPr>
          <w:b w:val="false"/>
          <w:bCs w:val="false"/>
          <w:i w:val="false"/>
          <w:iCs w:val="false"/>
        </w:rPr>
        <w:t xml:space="preserve">8. Yang CY, Liao WY, Ho CC, Chen KY, Tsai TH, Hsu CL, Su KY, Chang YL, Wu CT, Hsu CC, Liu YN, Peng GR, Kangartaputra AA, Yu SH, Liao BC, Hsu WH, Lee JH, Lin CC, Shih JY, Yang JCH, Yu CJ. PD-L1 expression and immune profiling cannot predict osimertinib efficacy in lung cancer with EGFR T790M mutation: A translational study. </w:t>
      </w:r>
      <w:r>
        <w:rPr>
          <w:b w:val="false"/>
          <w:bCs w:val="false"/>
          <w:i/>
          <w:iCs/>
        </w:rPr>
        <w:t xml:space="preserve">Journal of the Formosan Medical Association</w:t>
      </w:r>
      <w:r>
        <w:rPr>
          <w:b w:val="false"/>
          <w:bCs w:val="false"/>
          <w:i w:val="false"/>
          <w:iCs w:val="false"/>
        </w:rPr>
        <w:t xml:space="preserve">. 2024;125(2):155-163. DOI: 10.1016/j.jfma.2024.12.020. PMID: 39694766. https://pubmed.ncbi.nlm.nih.gov/39694766/</w:t>
      </w:r>
    </w:p>
    <w:p>
      <w:pPr>
        <w:spacing w:after="160"/>
      </w:pPr>
      <w:r>
        <w:rPr>
          <w:b w:val="false"/>
          <w:bCs w:val="false"/>
          <w:i w:val="false"/>
          <w:iCs w:val="false"/>
        </w:rPr>
        <w:t xml:space="preserve">9. Kim J, Park GH, Park S, Jung HA, Lee SH, Ahn JS, Ahn MJ, Sun JM. Paired ctDNA analysis reveals diverse resistance mechanisms to mobocertinib in EGFR exon 20 insertion NSCLC. </w:t>
      </w:r>
      <w:r>
        <w:rPr>
          <w:b w:val="false"/>
          <w:bCs w:val="false"/>
          <w:i/>
          <w:iCs/>
        </w:rPr>
        <w:t xml:space="preserve">Frontiers in Oncology</w:t>
      </w:r>
      <w:r>
        <w:rPr>
          <w:b w:val="false"/>
          <w:bCs w:val="false"/>
          <w:i w:val="false"/>
          <w:iCs w:val="false"/>
        </w:rPr>
        <w:t xml:space="preserve">. 2026;16:1827867. DOI: 10.3389/fonc.2026.1827867. PMID: 42239888. https://pubmed.ncbi.nlm.nih.gov/42239888/</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2026-09-08T09:00:23.064Z</dcterms:created>
  <dcterms:modified xsi:type="dcterms:W3CDTF">2026-09-08T09:00:23.065Z</dcterms:modified>
</cp:coreProperties>
</file>

<file path=docProps/custom.xml><?xml version="1.0" encoding="utf-8"?>
<Properties xmlns="http://schemas.openxmlformats.org/officeDocument/2006/custom-properties" xmlns:vt="http://schemas.openxmlformats.org/officeDocument/2006/docPropsVTypes"/>
</file>