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pPr>
      <w:r>
        <w:t xml:space="preserve">EGFR Mutation Subtypes and Clinical Outcomes in NSCLC (2022–2026): An Evidence Synthesis</w:t>
      </w:r>
    </w:p>
    <w:p>
      <w:pPr>
        <w:pStyle w:val="Heading1"/>
        <w:spacing w:after="150" w:before="300"/>
      </w:pPr>
      <w:r>
        <w:t xml:space="preserve">Research question and scope</w:t>
      </w:r>
    </w:p>
    <w:p>
      <w:pPr>
        <w:spacing w:after="160"/>
        <w:jc w:val="left"/>
      </w:pPr>
      <w:r>
        <w:rPr>
          <w:b/>
          <w:bCs/>
          <w:i w:val="false"/>
          <w:iCs w:val="false"/>
        </w:rPr>
        <w:t xml:space="preserve">Question:</w:t>
      </w:r>
      <w:r>
        <w:rPr>
          <w:b w:val="false"/>
          <w:bCs w:val="false"/>
          <w:i w:val="false"/>
          <w:iCs w:val="false"/>
        </w:rPr>
        <w:t xml:space="preserve"> What are the most recent peer-reviewed studies (2022–2026) evaluating EGFR mutation subtypes and their association with treatment response, acquired resistance, and clinical outcomes in patients with non-small cell lung cancer (NSCLC)?</w:t>
      </w:r>
    </w:p>
    <w:p>
      <w:pPr>
        <w:spacing w:after="160"/>
        <w:jc w:val="left"/>
      </w:pPr>
      <w:r>
        <w:rPr>
          <w:b/>
          <w:bCs/>
          <w:i w:val="false"/>
          <w:iCs w:val="false"/>
        </w:rPr>
        <w:t xml:space="preserve">Population:</w:t>
      </w:r>
      <w:r>
        <w:rPr>
          <w:b w:val="false"/>
          <w:bCs w:val="false"/>
          <w:i w:val="false"/>
          <w:iCs w:val="false"/>
        </w:rPr>
        <w:t xml:space="preserve"> Adult NSCLC patients with molecularly confirmed EGFR mutations — common subtypes (exon 19 deletion, L858R) and uncommon subtypes (exon 20 insertion, G719X, L861Q, S768I, and compound mutations).</w:t>
      </w:r>
    </w:p>
    <w:p>
      <w:pPr>
        <w:spacing w:after="160"/>
        <w:jc w:val="left"/>
      </w:pPr>
      <w:r>
        <w:rPr>
          <w:b/>
          <w:bCs/>
          <w:i w:val="false"/>
          <w:iCs w:val="false"/>
        </w:rPr>
        <w:t xml:space="preserve">Intervention/exposure:</w:t>
      </w:r>
      <w:r>
        <w:rPr>
          <w:b w:val="false"/>
          <w:bCs w:val="false"/>
          <w:i w:val="false"/>
          <w:iCs w:val="false"/>
        </w:rPr>
        <w:t xml:space="preserve"> EGFR mutation subtype as a variable, generally in the context of EGFR tyrosine kinase inhibitor (TKI) therapy.</w:t>
      </w:r>
    </w:p>
    <w:p>
      <w:pPr>
        <w:spacing w:after="160"/>
        <w:jc w:val="left"/>
      </w:pPr>
      <w:r>
        <w:rPr>
          <w:b/>
          <w:bCs/>
          <w:i w:val="false"/>
          <w:iCs w:val="false"/>
        </w:rPr>
        <w:t xml:space="preserve">Comparator:</w:t>
      </w:r>
      <w:r>
        <w:rPr>
          <w:b w:val="false"/>
          <w:bCs w:val="false"/>
          <w:i w:val="false"/>
          <w:iCs w:val="false"/>
        </w:rPr>
        <w:t xml:space="preserve"> Other EGFR subtypes, wild-type EGFR, or other treatment arms, where reported.</w:t>
      </w:r>
    </w:p>
    <w:p>
      <w:pPr>
        <w:spacing w:after="160"/>
        <w:jc w:val="left"/>
      </w:pPr>
      <w:r>
        <w:rPr>
          <w:b/>
          <w:bCs/>
          <w:i w:val="false"/>
          <w:iCs w:val="false"/>
        </w:rPr>
        <w:t xml:space="preserve">Outcomes:</w:t>
      </w:r>
      <w:r>
        <w:rPr>
          <w:b w:val="false"/>
          <w:bCs w:val="false"/>
          <w:i w:val="false"/>
          <w:iCs w:val="false"/>
        </w:rPr>
        <w:t xml:space="preserve"> Treatment response (ORR, PFS, OS), acquired resistance mechanisms, and subtype-associated clinical outcomes.</w:t>
      </w:r>
    </w:p>
    <w:p>
      <w:pPr>
        <w:spacing w:after="160"/>
        <w:jc w:val="left"/>
      </w:pPr>
      <w:r>
        <w:rPr>
          <w:b/>
          <w:bCs/>
          <w:i w:val="false"/>
          <w:iCs w:val="false"/>
        </w:rPr>
        <w:t xml:space="preserve">Study types included:</w:t>
      </w:r>
      <w:r>
        <w:rPr>
          <w:b w:val="false"/>
          <w:bCs w:val="false"/>
          <w:i w:val="false"/>
          <w:iCs w:val="false"/>
        </w:rPr>
        <w:t xml:space="preserve"> Clinical cohort studies, clinical trials, and retrospective/prospective analyses reporting subtype-stratified outcomes. Per an updated study-type criterion in </w:t>
      </w:r>
      <w:r>
        <w:rPr>
          <w:rFonts w:ascii="Consolas" w:cs="Consolas" w:eastAsia="Consolas" w:hAnsi="Consolas"/>
          <w:b w:val="false"/>
          <w:bCs w:val="false"/>
          <w:i w:val="false"/>
          <w:iCs w:val="false"/>
        </w:rPr>
        <w:t xml:space="preserve">research-question.md</w:t>
      </w:r>
      <w:r>
        <w:rPr>
          <w:b w:val="false"/>
          <w:bCs w:val="false"/>
          <w:i w:val="false"/>
          <w:iCs w:val="false"/>
        </w:rPr>
        <w:t xml:space="preserve">, </w:t>
      </w:r>
      <w:r>
        <w:rPr>
          <w:b/>
          <w:bCs/>
          <w:i w:val="false"/>
          <w:iCs w:val="false"/>
        </w:rPr>
        <w:t xml:space="preserve">narrative reviews are excluded as evidence</w:t>
      </w:r>
      <w:r>
        <w:rPr>
          <w:b w:val="false"/>
          <w:bCs w:val="false"/>
          <w:i w:val="false"/>
          <w:iCs w:val="false"/>
        </w:rPr>
        <w:t xml:space="preserve"> in this report — three records identified during literature search (Ferro et al. 2024, Spitaleri et al. 2026, Zullo &amp; Remon 2026) were reclassified as excluded at intake on this basis and do not appear as cited support anywhere below.</w:t>
      </w:r>
    </w:p>
    <w:p>
      <w:pPr>
        <w:spacing w:after="160"/>
        <w:jc w:val="left"/>
      </w:pPr>
      <w:r>
        <w:rPr>
          <w:b/>
          <w:bCs/>
          <w:i w:val="false"/>
          <w:iCs w:val="false"/>
        </w:rPr>
        <w:t xml:space="preserve">Exclusion criteria applied:</w:t>
      </w:r>
      <w:r>
        <w:rPr>
          <w:b w:val="false"/>
          <w:bCs w:val="false"/>
          <w:i w:val="false"/>
          <w:iCs w:val="false"/>
        </w:rPr>
        <w:t xml:space="preserve"> non-NSCLC cancers, animal-only/in-vitro studies without clinical correlate; single-patient case reports (where other evidence existed); studies reporting only pooled "EGFR-mutant" data without subtype stratification; preprints/conference-abstract-only sources; and narrative reviews without a stated search methodology.</w:t>
      </w:r>
    </w:p>
    <w:p>
      <w:pPr>
        <w:spacing w:after="160"/>
        <w:jc w:val="left"/>
      </w:pPr>
      <w:r>
        <w:rPr>
          <w:b/>
          <w:bCs/>
          <w:i w:val="false"/>
          <w:iCs w:val="false"/>
        </w:rPr>
        <w:t xml:space="preserve">Date range:</w:t>
      </w:r>
      <w:r>
        <w:rPr>
          <w:b w:val="false"/>
          <w:bCs w:val="false"/>
          <w:i w:val="false"/>
          <w:iCs w:val="false"/>
        </w:rPr>
        <w:t xml:space="preserve"> 2022–2026. </w:t>
      </w:r>
      <w:r>
        <w:rPr>
          <w:b/>
          <w:bCs/>
          <w:i w:val="false"/>
          <w:iCs w:val="false"/>
        </w:rPr>
        <w:t xml:space="preserve">Language:</w:t>
      </w:r>
      <w:r>
        <w:rPr>
          <w:b w:val="false"/>
          <w:bCs w:val="false"/>
          <w:i w:val="false"/>
          <w:iCs w:val="false"/>
        </w:rPr>
        <w:t xml:space="preserve"> English.</w:t>
      </w:r>
    </w:p>
    <w:p>
      <w:pPr>
        <w:spacing w:after="160"/>
        <w:jc w:val="left"/>
      </w:pPr>
      <w:r>
        <w:rPr>
          <w:b w:val="false"/>
          <w:bCs w:val="false"/>
          <w:i w:val="false"/>
          <w:iCs w:val="false"/>
        </w:rPr>
        <w:t xml:space="preserve">This report is based on </w:t>
      </w:r>
      <w:r>
        <w:rPr>
          <w:b/>
          <w:bCs/>
          <w:i w:val="false"/>
          <w:iCs w:val="false"/>
        </w:rPr>
        <w:t xml:space="preserve">8 primary-data studies</w:t>
      </w:r>
      <w:r>
        <w:rPr>
          <w:b w:val="false"/>
          <w:bCs w:val="false"/>
          <w:i w:val="false"/>
          <w:iCs w:val="false"/>
        </w:rPr>
        <w:t xml:space="preserve"> that passed both literature-scout's bibliographic verification (Gate 1) and evidence-reviewer's inclusion screening (Gate 2). No narrative review is cited as evidentiary support anywhere in this report.</w:t>
      </w:r>
    </w:p>
    <w:p>
      <w:pPr>
        <w:pStyle w:val="Heading1"/>
        <w:spacing w:after="150" w:before="300"/>
      </w:pPr>
      <w:r>
        <w:t xml:space="preserve">Methods summary</w:t>
      </w:r>
    </w:p>
    <w:p>
      <w:pPr>
        <w:spacing w:after="160"/>
        <w:jc w:val="left"/>
      </w:pPr>
      <w:r>
        <w:rPr>
          <w:b w:val="false"/>
          <w:bCs w:val="false"/>
          <w:i w:val="false"/>
          <w:iCs w:val="false"/>
        </w:rPr>
        <w:t xml:space="preserve">Literature was identified by </w:t>
      </w:r>
      <w:r>
        <w:rPr>
          <w:rFonts w:ascii="Consolas" w:cs="Consolas" w:eastAsia="Consolas" w:hAnsi="Consolas"/>
          <w:b w:val="false"/>
          <w:bCs w:val="false"/>
          <w:i w:val="false"/>
          <w:iCs w:val="false"/>
        </w:rPr>
        <w:t xml:space="preserve">literature-scout</w:t>
      </w:r>
      <w:r>
        <w:rPr>
          <w:b w:val="false"/>
          <w:bCs w:val="false"/>
          <w:i w:val="false"/>
          <w:iCs w:val="false"/>
        </w:rPr>
        <w:t xml:space="preserve"> through five PubMed searches (</w:t>
      </w:r>
      <w:r>
        <w:rPr>
          <w:rFonts w:ascii="Consolas" w:cs="Consolas" w:eastAsia="Consolas" w:hAnsi="Consolas"/>
          <w:b w:val="false"/>
          <w:bCs w:val="false"/>
          <w:i w:val="false"/>
          <w:iCs w:val="false"/>
        </w:rPr>
        <w:t xml:space="preserve">mcp__PubMed__search_articles</w:t>
      </w:r>
      <w:r>
        <w:rPr>
          <w:b w:val="false"/>
          <w:bCs w:val="false"/>
          <w:i w:val="false"/>
          <w:iCs w:val="false"/>
        </w:rPr>
        <w:t xml:space="preserve">), spanning: (1) EGFR subtype/treatment-response generally, (2) EGFR exon 20 insertion outcomes, (3) uncommon point-mutation subtypes (G719X/L861Q/S768I), (4) acquired resistance mechanisms by subtype, and (5) compound EGFR mutations — all restricted to a 2022–2026 publication-date window. Across these runs, 24 unique PMIDs were verified against PubMed's authoritative metadata (title, authors, journal, year, DOI/PMCID). Records were excluded at the search/intake stage for reasons including: case reports where other evidence existed, pooled (non-subtype-stratified) EGFR-mutant cohorts, preclinical-only studies, off-scope comparisons, and out-of-date-range publications (full reasons recorded per-record in </w:t>
      </w:r>
      <w:r>
        <w:rPr>
          <w:rFonts w:ascii="Consolas" w:cs="Consolas" w:eastAsia="Consolas" w:hAnsi="Consolas"/>
          <w:b w:val="false"/>
          <w:bCs w:val="false"/>
          <w:i w:val="false"/>
          <w:iCs w:val="false"/>
        </w:rPr>
        <w:t xml:space="preserve">sources/records/</w:t>
      </w:r>
      <w:r>
        <w:rPr>
          <w:b w:val="false"/>
          <w:bCs w:val="false"/>
          <w:i w:val="false"/>
          <w:iCs w:val="false"/>
        </w:rPr>
        <w:t xml:space="preserve"> and in </w:t>
      </w:r>
      <w:r>
        <w:rPr>
          <w:rFonts w:ascii="Consolas" w:cs="Consolas" w:eastAsia="Consolas" w:hAnsi="Consolas"/>
          <w:b w:val="false"/>
          <w:bCs w:val="false"/>
          <w:i w:val="false"/>
          <w:iCs w:val="false"/>
        </w:rPr>
        <w:t xml:space="preserve">sources/search-log.md</w:t>
      </w:r>
      <w:r>
        <w:rPr>
          <w:b w:val="false"/>
          <w:bCs w:val="false"/>
          <w:i w:val="false"/>
          <w:iCs w:val="false"/>
        </w:rPr>
        <w:t xml:space="preserve">).</w:t>
      </w:r>
    </w:p>
    <w:p>
      <w:pPr>
        <w:spacing w:after="160"/>
        <w:jc w:val="left"/>
      </w:pPr>
      <w:r>
        <w:rPr>
          <w:b w:val="false"/>
          <w:bCs w:val="false"/>
          <w:i w:val="false"/>
          <w:iCs w:val="false"/>
        </w:rPr>
        <w:t xml:space="preserve">Following a post-hoc scope correction (research-question.md updated to exclude narrative reviews as evidence), three previously-forwarded review articles were reclassified as excluded at intake. </w:t>
      </w:r>
      <w:r>
        <w:rPr>
          <w:rFonts w:ascii="Consolas" w:cs="Consolas" w:eastAsia="Consolas" w:hAnsi="Consolas"/>
          <w:b w:val="false"/>
          <w:bCs w:val="false"/>
          <w:i w:val="false"/>
          <w:iCs w:val="false"/>
        </w:rPr>
        <w:t xml:space="preserve">evidence-reviewer</w:t>
      </w:r>
      <w:r>
        <w:rPr>
          <w:b w:val="false"/>
          <w:bCs w:val="false"/>
          <w:i w:val="false"/>
          <w:iCs w:val="false"/>
        </w:rPr>
        <w:t xml:space="preserve"> then applied the research question's inclusion/exclusion criteria to the remaining verified/partial records, extracting structured evidence into </w:t>
      </w:r>
      <w:r>
        <w:rPr>
          <w:rFonts w:ascii="Consolas" w:cs="Consolas" w:eastAsia="Consolas" w:hAnsi="Consolas"/>
          <w:b w:val="false"/>
          <w:bCs w:val="false"/>
          <w:i w:val="false"/>
          <w:iCs w:val="false"/>
        </w:rPr>
        <w:t xml:space="preserve">outputs/evidence-table.md</w:t>
      </w:r>
      <w:r>
        <w:rPr>
          <w:b w:val="false"/>
          <w:bCs w:val="false"/>
          <w:i w:val="false"/>
          <w:iCs w:val="false"/>
        </w:rPr>
        <w:t xml:space="preserve">: </w:t>
      </w:r>
      <w:r>
        <w:rPr>
          <w:b/>
          <w:bCs/>
          <w:i w:val="false"/>
          <w:iCs w:val="false"/>
        </w:rPr>
        <w:t xml:space="preserve">8 studies included</w:t>
      </w:r>
      <w:r>
        <w:rPr>
          <w:b w:val="false"/>
          <w:bCs w:val="false"/>
          <w:i w:val="false"/>
          <w:iCs w:val="false"/>
        </w:rPr>
        <w:t xml:space="preserve">, all with primary clinical/genomic data (7 observational — retrospective or single-arm prospective — cohort studies, and 1 randomized controlled trial), 3 narrative reviews excluded as evidence.</w:t>
      </w:r>
    </w:p>
    <w:p>
      <w:pPr>
        <w:spacing w:after="160"/>
        <w:jc w:val="left"/>
      </w:pPr>
      <w:r>
        <w:rPr>
          <w:b w:val="false"/>
          <w:bCs w:val="false"/>
          <w:i w:val="false"/>
          <w:iCs w:val="false"/>
        </w:rPr>
        <w:t xml:space="preserve">A bookkeeping gap was found and corrected during report preparation: one of the 9 records still marked "Pass forward" after the post-hoc review correction (Jing et al., PMID 42453333) had, in fact, already been excluded by </w:t>
      </w:r>
      <w:r>
        <w:rPr>
          <w:rFonts w:ascii="Consolas" w:cs="Consolas" w:eastAsia="Consolas" w:hAnsi="Consolas"/>
          <w:b w:val="false"/>
          <w:bCs w:val="false"/>
          <w:i w:val="false"/>
          <w:iCs w:val="false"/>
        </w:rPr>
        <w:t xml:space="preserve">evidence-reviewer</w:t>
      </w:r>
      <w:r>
        <w:rPr>
          <w:b w:val="false"/>
          <w:bCs w:val="false"/>
          <w:i w:val="false"/>
          <w:iCs w:val="false"/>
        </w:rPr>
        <w:t xml:space="preserve"> in an earlier screening pass (its primary exposure is concurrent driver-gene co-mutation status, not EGFR-subtype- stratified outcomes) — its source-record disposition line was simply never updated to reflect that at the time. This has been corrected in </w:t>
      </w:r>
      <w:r>
        <w:rPr>
          <w:rFonts w:ascii="Consolas" w:cs="Consolas" w:eastAsia="Consolas" w:hAnsi="Consolas"/>
          <w:b w:val="false"/>
          <w:bCs w:val="false"/>
          <w:i w:val="false"/>
          <w:iCs w:val="false"/>
        </w:rPr>
        <w:t xml:space="preserve">sources/records/PMID-42453333.md</w:t>
      </w:r>
      <w:r>
        <w:rPr>
          <w:b w:val="false"/>
          <w:bCs w:val="false"/>
          <w:i w:val="false"/>
          <w:iCs w:val="false"/>
        </w:rPr>
        <w:t xml:space="preserve"> and </w:t>
      </w:r>
      <w:r>
        <w:rPr>
          <w:rFonts w:ascii="Consolas" w:cs="Consolas" w:eastAsia="Consolas" w:hAnsi="Consolas"/>
          <w:b w:val="false"/>
          <w:bCs w:val="false"/>
          <w:i w:val="false"/>
          <w:iCs w:val="false"/>
        </w:rPr>
        <w:t xml:space="preserve">sources/search-log.md</w:t>
      </w:r>
      <w:r>
        <w:rPr>
          <w:b w:val="false"/>
          <w:bCs w:val="false"/>
          <w:i w:val="false"/>
          <w:iCs w:val="false"/>
        </w:rPr>
        <w:t xml:space="preserve">. Net result: 9 forwarded minus 1 (Jing, excluded) minus the count already reflected in the evidence table's 8 included + 3 excluded-review rows reconciles cleanly — 8 studies proceed to evidence extraction.</w:t>
      </w:r>
    </w:p>
    <w:p>
      <w:pPr>
        <w:pStyle w:val="Heading1"/>
        <w:spacing w:after="150" w:before="300"/>
      </w:pPr>
      <w:r>
        <w:t xml:space="preserve">Evidence synthesis</w:t>
      </w:r>
    </w:p>
    <w:p>
      <w:pPr>
        <w:pStyle w:val="Heading2"/>
        <w:spacing w:after="120" w:before="250"/>
      </w:pPr>
      <w:r>
        <w:t xml:space="preserve">1. First-line efficacy in EGFR exon 20 insertion NSCLC (randomized trial evidence)</w:t>
      </w:r>
    </w:p>
    <w:p>
      <w:pPr>
        <w:spacing w:after="160"/>
        <w:jc w:val="left"/>
      </w:pPr>
      <w:r>
        <w:rPr>
          <w:b w:val="false"/>
          <w:bCs w:val="false"/>
          <w:i w:val="false"/>
          <w:iCs w:val="false"/>
        </w:rPr>
        <w:t xml:space="preserve">The strongest-design evidence in this set is a phase 3, international, randomized controlled trial (WU-KONG28) comparing first-line sunvozertinib against carboplatin-pemetrexed chemotherapy in 324 patients with EGFR exon 20 insertion-positive NSCLC (Zhou et al., 2026). Sunvozertinib significantly improved blinded independent central review-assessed PFS (median 10.3 vs. 7.5 months; HR 0.65, 95% CI 0.50–0.85, P&lt;0.001), 12-month PFS (46.1% vs. 26.7%), ORR (58.9% vs. 31.1%), and duration of response (11.2 vs. 7.1 months) relative to chemotherapy. OS data were immature (38.9% maturity) at the time of reporting, so a survival benefit is not yet established. Grade ≥3 adverse events were more frequent with sunvozertinib (75.5% vs. 56.7%), representing a tolerability trade-off (Zhou et al., 2026).</w:t>
      </w:r>
    </w:p>
    <w:p>
      <w:pPr>
        <w:spacing w:after="160"/>
        <w:jc w:val="left"/>
      </w:pPr>
      <w:r>
        <w:rPr>
          <w:b w:val="false"/>
          <w:bCs w:val="false"/>
          <w:i w:val="false"/>
          <w:iCs w:val="false"/>
        </w:rPr>
        <w:t xml:space="preserve">This is the only randomized trial in the evidence base; it is industry-funded (Dizal Pharmaceuticals) and reports a first-line, treatment-naive population specifically with exon 20 insertion mutations.</w:t>
      </w:r>
    </w:p>
    <w:p>
      <w:pPr>
        <w:pStyle w:val="Heading2"/>
        <w:spacing w:after="120" w:before="250"/>
      </w:pPr>
      <w:r>
        <w:t xml:space="preserve">2. Later-line, real-world efficacy in EGFR exon 20 insertion NSCLC</w:t>
      </w:r>
    </w:p>
    <w:p>
      <w:pPr>
        <w:spacing w:after="160"/>
        <w:jc w:val="left"/>
      </w:pPr>
      <w:r>
        <w:rPr>
          <w:b w:val="false"/>
          <w:bCs w:val="false"/>
          <w:i w:val="false"/>
          <w:iCs w:val="false"/>
        </w:rPr>
        <w:t xml:space="preserve">Two studies examined later-line, non-randomized treatment of exon 20 insertion NSCLC with newer targeted agents:</w:t>
      </w:r>
    </w:p>
    <w:p>
      <w:pPr>
        <w:pStyle w:val="ListParagraph"/>
        <w:numPr>
          <w:ilvl w:val="0"/>
          <w:numId w:val="1"/>
        </w:numPr>
        <w:spacing w:after="80"/>
      </w:pPr>
      <w:r>
        <w:rPr>
          <w:b/>
          <w:bCs/>
          <w:i w:val="false"/>
          <w:iCs w:val="false"/>
        </w:rPr>
        <w:t xml:space="preserve">Amivantamab</w:t>
      </w:r>
      <w:r>
        <w:rPr>
          <w:b w:val="false"/>
          <w:bCs w:val="false"/>
          <w:i w:val="false"/>
          <w:iCs w:val="false"/>
        </w:rPr>
        <w:t xml:space="preserve">, used in subsequent lines after chemotherapy ± immunotherapy,</w:t>
      </w:r>
    </w:p>
    <w:p>
      <w:pPr>
        <w:spacing w:after="160"/>
        <w:jc w:val="left"/>
      </w:pPr>
      <w:r>
        <w:rPr>
          <w:b w:val="false"/>
          <w:bCs w:val="false"/>
          <w:i w:val="false"/>
          <w:iCs w:val="false"/>
        </w:rPr>
        <w:t xml:space="preserve">was evaluated in the Italian ATLAS real-world registry (Passiglia et al., 2026; n=64/119 registry patients treated). Reported outcomes: ORR 37.5%, disease control rate 66.2%, median PFS 9.6 months, median OS 16.9 months. In a brain-metastasis subgroup (n=23), 13% had a partial intracranial response and intracranial median PFS was 11.6 months. Treatment-related adverse events occurred in 68.8% (any grade) and 10.9% (grade 3–4), mainly skin rash (Passiglia et al., 2026).</w:t>
      </w:r>
    </w:p>
    <w:p>
      <w:pPr>
        <w:pStyle w:val="ListParagraph"/>
        <w:numPr>
          <w:ilvl w:val="0"/>
          <w:numId w:val="1"/>
        </w:numPr>
        <w:spacing w:after="80"/>
      </w:pPr>
      <w:r>
        <w:rPr>
          <w:b/>
          <w:bCs/>
          <w:i w:val="false"/>
          <w:iCs w:val="false"/>
        </w:rPr>
        <w:t xml:space="preserve">Mobocertinib</w:t>
      </w:r>
      <w:r>
        <w:rPr>
          <w:b w:val="false"/>
          <w:bCs w:val="false"/>
          <w:i w:val="false"/>
          <w:iCs w:val="false"/>
        </w:rPr>
        <w:t xml:space="preserve"> was evaluated in a single-center, prospective,</w:t>
      </w:r>
    </w:p>
    <w:p>
      <w:pPr>
        <w:spacing w:after="160"/>
        <w:jc w:val="left"/>
      </w:pPr>
      <w:r>
        <w:rPr>
          <w:b w:val="false"/>
          <w:bCs w:val="false"/>
          <w:i w:val="false"/>
          <w:iCs w:val="false"/>
        </w:rPr>
        <w:t xml:space="preserve">paired-ctDNA study of 22 patients (Kim et al., 2026), reporting ORR 59%, disease control rate 82%, and median PFS 5.6 months (95% CI 3.5–9.3). Among 14 patients with prior amivantamab exposure, ORR was 57.1% with median PFS 5.8 months. Responses were better in helical-region insertion sites, and baseline ctDNA-negative status correlated with more favorable outcomes.</w:t>
      </w:r>
    </w:p>
    <w:p>
      <w:pPr>
        <w:spacing w:after="160"/>
        <w:jc w:val="left"/>
      </w:pPr>
      <w:r>
        <w:rPr>
          <w:b/>
          <w:bCs/>
          <w:i w:val="false"/>
          <w:iCs w:val="false"/>
        </w:rPr>
        <w:t xml:space="preserve">Interpretation:</w:t>
      </w:r>
      <w:r>
        <w:rPr>
          <w:b w:val="false"/>
          <w:bCs w:val="false"/>
          <w:i w:val="false"/>
          <w:iCs w:val="false"/>
        </w:rPr>
        <w:t xml:space="preserve"> These two studies describe efficacy in heavily pretreated, later-line, real-world or single-center populations using different agents (amivantamab, mobocertinib) than the first-line RCT population above (sunvozertinib). Per the evidence table's explicit caution, these figures should </w:t>
      </w:r>
      <w:r>
        <w:rPr>
          <w:b/>
          <w:bCs/>
          <w:i w:val="false"/>
          <w:iCs w:val="false"/>
        </w:rPr>
        <w:t xml:space="preserve">not be compared head-to-head</w:t>
      </w:r>
      <w:r>
        <w:rPr>
          <w:b w:val="false"/>
          <w:bCs w:val="false"/>
          <w:i w:val="false"/>
          <w:iCs w:val="false"/>
        </w:rPr>
        <w:t xml:space="preserve"> with the WU-KONG28 first-line RCT results, nor with each other as agent-vs-agent evidence, because they differ in line of therapy, study design (no concurrent comparator arm in either), population selection, and (for Kim et al.) sample size (Passiglia et al., 2026; Kim et al., 2026; Zhou et al., 2026).</w:t>
      </w:r>
    </w:p>
    <w:p>
      <w:pPr>
        <w:pStyle w:val="Heading2"/>
        <w:spacing w:after="120" w:before="250"/>
      </w:pPr>
      <w:r>
        <w:t xml:space="preserve">3. Acquired resistance mechanisms in EGFR exon 20 insertion NSCLC</w:t>
      </w:r>
    </w:p>
    <w:p>
      <w:pPr>
        <w:spacing w:after="160"/>
        <w:jc w:val="left"/>
      </w:pPr>
      <w:r>
        <w:rPr>
          <w:b w:val="false"/>
          <w:bCs w:val="false"/>
          <w:i w:val="false"/>
          <w:iCs w:val="false"/>
        </w:rPr>
        <w:t xml:space="preserve">Kim et al. (2026) used paired pre-/post-treatment ctDNA sequencing in mobocertinib-treated patients (n=22) and found diverse resistance mechanisms at progression: EGFR amplification, RTK/RAS pathway alterations, and rarer events including gene fusion and small-cell transformation. This is a single-center, small-sample, observational finding without a comparator arm (Kim et al., 2026).</w:t>
      </w:r>
    </w:p>
    <w:p>
      <w:pPr>
        <w:pStyle w:val="Heading2"/>
        <w:spacing w:after="120" w:before="250"/>
      </w:pPr>
      <w:r>
        <w:t xml:space="preserve">4. Natural history and prognostic co-factors in EGFR exon 20 insertion NSCLC</w:t>
      </w:r>
    </w:p>
    <w:p>
      <w:pPr>
        <w:spacing w:after="160"/>
        <w:jc w:val="left"/>
      </w:pPr>
      <w:r>
        <w:rPr>
          <w:b w:val="false"/>
          <w:bCs w:val="false"/>
          <w:i w:val="false"/>
          <w:iCs w:val="false"/>
        </w:rPr>
        <w:t xml:space="preserve">Reyes et al. (2026) characterized CNS disease patterns and co-mutation status in a retrospective cohort of 80 exon 20 insertion NSCLC patients. CNS progression occurred in 36.25% and leptomeningeal disease in 7.5%. Neither CNS progression status (median OS 45.3 vs. 47.8 months; HR 1.21, 95% CI 0.66–2.23, P=0.54) nor TP53 co-mutation status (median OS 31.6 vs. 47.8 months; HR 1.79, 95% CI 0.89–3.60, P=0.11) was associated with a </w:t>
      </w:r>
      <w:r>
        <w:rPr>
          <w:b/>
          <w:bCs/>
          <w:i w:val="false"/>
          <w:iCs w:val="false"/>
        </w:rPr>
        <w:t xml:space="preserve">statistically significant</w:t>
      </w:r>
      <w:r>
        <w:rPr>
          <w:b w:val="false"/>
          <w:bCs w:val="false"/>
          <w:i w:val="false"/>
          <w:iCs w:val="false"/>
        </w:rPr>
        <w:t xml:space="preserve"> difference in overall survival. Both comparisons had wide confidence intervals crossing 1. </w:t>
      </w:r>
      <w:r>
        <w:rPr>
          <w:b/>
          <w:bCs/>
          <w:i w:val="false"/>
          <w:iCs w:val="false"/>
        </w:rPr>
        <w:t xml:space="preserve">These findings must be read as non-significant, hypothesis-generating observations, not as established prognostic effects</w:t>
      </w:r>
      <w:r>
        <w:rPr>
          <w:b w:val="false"/>
          <w:bCs w:val="false"/>
          <w:i w:val="false"/>
          <w:iCs w:val="false"/>
        </w:rPr>
        <w:t xml:space="preserve"> — the numerically lower survival with TP53 co-mutation and with CNS progression should not be presented as confirmed associations (Reyes et al., 2026).</w:t>
      </w:r>
    </w:p>
    <w:p>
      <w:pPr>
        <w:pStyle w:val="Heading2"/>
        <w:spacing w:after="120" w:before="250"/>
      </w:pPr>
      <w:r>
        <w:t xml:space="preserve">5. Uncommon point mutations (G719X, L861Q, S768I) and compound mutations: TKI choice</w:t>
      </w:r>
    </w:p>
    <w:p>
      <w:pPr>
        <w:spacing w:after="160"/>
        <w:jc w:val="left"/>
      </w:pPr>
      <w:r>
        <w:rPr>
          <w:b w:val="false"/>
          <w:bCs w:val="false"/>
          <w:i w:val="false"/>
          <w:iCs w:val="false"/>
        </w:rPr>
        <w:t xml:space="preserve">Three independent studies, using different comparators, agents, and endpoints, converge on a signal that </w:t>
      </w:r>
      <w:r>
        <w:rPr>
          <w:b/>
          <w:bCs/>
          <w:i w:val="false"/>
          <w:iCs w:val="false"/>
        </w:rPr>
        <w:t xml:space="preserve">compound EGFR mutations and specific uncommon subtypes may respond differently depending on TKI choice</w:t>
      </w:r>
      <w:r>
        <w:rPr>
          <w:b w:val="false"/>
          <w:bCs w:val="false"/>
          <w:i w:val="false"/>
          <w:iCs w:val="false"/>
        </w:rPr>
        <w:t xml:space="preserve"> — but none provides a single, poolable quantitative estimate, and this should be treated as a convergent-but-distinct signal rather than a unified effect size:</w:t>
      </w:r>
    </w:p>
    <w:p>
      <w:pPr>
        <w:pStyle w:val="ListParagraph"/>
        <w:numPr>
          <w:ilvl w:val="0"/>
          <w:numId w:val="1"/>
        </w:numPr>
        <w:spacing w:after="80"/>
      </w:pPr>
      <w:r>
        <w:rPr>
          <w:b/>
          <w:bCs/>
          <w:i w:val="false"/>
          <w:iCs w:val="false"/>
        </w:rPr>
        <w:t xml:space="preserve">Shigematsu et al. (2025)</w:t>
      </w:r>
      <w:r>
        <w:rPr>
          <w:b w:val="false"/>
          <w:bCs w:val="false"/>
          <w:i w:val="false"/>
          <w:iCs w:val="false"/>
        </w:rPr>
        <w:t xml:space="preserve">, a retrospective multicenter cohort of 35</w:t>
      </w:r>
    </w:p>
    <w:p>
      <w:pPr>
        <w:spacing w:after="160"/>
        <w:jc w:val="left"/>
      </w:pPr>
      <w:r>
        <w:rPr>
          <w:b w:val="false"/>
          <w:bCs w:val="false"/>
          <w:i w:val="false"/>
          <w:iCs w:val="false"/>
        </w:rPr>
        <w:t xml:space="preserve">patients with uncommon EGFR mutations (G719X, L861Q, S768I, compound), found that later-generation (2nd/3rd-gen) TKI use was associated with significantly longer OS than non-use (47.7 vs. 15.5 months; p=0.0177), with liver metastases and poor performance status as independent poor prognostic factors. Descriptively, afatinib showed favorable treatment duration specifically in the G719X and compound-mutation subgroups (Shigematsu et al., 2025).</w:t>
      </w:r>
    </w:p>
    <w:p>
      <w:pPr>
        <w:pStyle w:val="ListParagraph"/>
        <w:numPr>
          <w:ilvl w:val="0"/>
          <w:numId w:val="1"/>
        </w:numPr>
        <w:spacing w:after="80"/>
      </w:pPr>
      <w:r>
        <w:rPr>
          <w:b/>
          <w:bCs/>
          <w:i w:val="false"/>
          <w:iCs w:val="false"/>
        </w:rPr>
        <w:t xml:space="preserve">Nagano et al. (2026)</w:t>
      </w:r>
      <w:r>
        <w:rPr>
          <w:b w:val="false"/>
          <w:bCs w:val="false"/>
          <w:i w:val="false"/>
          <w:iCs w:val="false"/>
        </w:rPr>
        <w:t xml:space="preserve">, a 29-hospital Japanese retrospective cohort</w:t>
      </w:r>
    </w:p>
    <w:p>
      <w:pPr>
        <w:spacing w:after="160"/>
        <w:jc w:val="left"/>
      </w:pPr>
      <w:r>
        <w:rPr>
          <w:b w:val="false"/>
          <w:bCs w:val="false"/>
          <w:i w:val="false"/>
          <w:iCs w:val="false"/>
        </w:rPr>
        <w:t xml:space="preserve">(n=162; afatinib n=95 vs. osimertinib n=67) using inverse probability of treatment weighting, found </w:t>
      </w:r>
      <w:r>
        <w:rPr>
          <w:b/>
          <w:bCs/>
          <w:i w:val="false"/>
          <w:iCs w:val="false"/>
        </w:rPr>
        <w:t xml:space="preserve">no significant overall difference</w:t>
      </w:r>
      <w:r>
        <w:rPr>
          <w:b w:val="false"/>
          <w:bCs w:val="false"/>
          <w:i w:val="false"/>
          <w:iCs w:val="false"/>
        </w:rPr>
        <w:t xml:space="preserve"> between afatinib and osimertinib in weighted time to treatment failure (HR 1.04, 95% CI 0.61–1.77) or OS (HR 1.34, 95% CI 0.73–2.44). Afatinib was associated with higher response rates but more dose-reduction-requiring adverse events. A subgroup analysis suggested osimertinib favored L861X mutations while afatinib favored compound mutations — </w:t>
      </w:r>
      <w:r>
        <w:rPr>
          <w:b/>
          <w:bCs/>
          <w:i w:val="false"/>
          <w:iCs w:val="false"/>
        </w:rPr>
        <w:t xml:space="preserve">but the abstract does not report subgroup sample sizes, hazard ratios, or p-values for this subgroup finding, so it should be treated as descriptive and hypothesis-generating, not as a confirmed subtype-specific treatment effect</w:t>
      </w:r>
      <w:r>
        <w:rPr>
          <w:b w:val="false"/>
          <w:bCs w:val="false"/>
          <w:i w:val="false"/>
          <w:iCs w:val="false"/>
        </w:rPr>
        <w:t xml:space="preserve"> (Nagano et al., 2026).</w:t>
      </w:r>
    </w:p>
    <w:p>
      <w:pPr>
        <w:pStyle w:val="ListParagraph"/>
        <w:numPr>
          <w:ilvl w:val="0"/>
          <w:numId w:val="1"/>
        </w:numPr>
        <w:spacing w:after="80"/>
      </w:pPr>
      <w:r>
        <w:rPr>
          <w:b/>
          <w:bCs/>
          <w:i w:val="false"/>
          <w:iCs w:val="false"/>
        </w:rPr>
        <w:t xml:space="preserve">Lu et al. (2026)</w:t>
      </w:r>
      <w:r>
        <w:rPr>
          <w:b w:val="false"/>
          <w:bCs w:val="false"/>
          <w:i w:val="false"/>
          <w:iCs w:val="false"/>
        </w:rPr>
        <w:t xml:space="preserve">, a brief report combining an institutional cohort</w:t>
      </w:r>
    </w:p>
    <w:p>
      <w:pPr>
        <w:spacing w:after="160"/>
        <w:jc w:val="left"/>
      </w:pPr>
      <w:r>
        <w:rPr>
          <w:b w:val="false"/>
          <w:bCs w:val="false"/>
          <w:i w:val="false"/>
          <w:iCs w:val="false"/>
        </w:rPr>
        <w:t xml:space="preserve">(UC San Diego Health) with the AACR GENIE database, found that L858R patients were more likely than exon19del patients to harbor a de novo compound mutation (24/159 [15%] vs. 4/228 [2%], P&lt;.01), and that acquired C797S more often co-occurred with exon19del than L858R after osimertinib progression (23/113 [20%] vs. 6/89 [7%], P&lt;.01). In the GENIE database, 88% of S768I-mutated patients had an additional EGFR co-mutation, most commonly G719X. Descriptively, osimertinib time to treatment failure was longer for compound G719X/L861Q (median &gt;13 months) than for G719X alone (median &lt;7 months) — </w:t>
      </w:r>
      <w:r>
        <w:rPr>
          <w:b/>
          <w:bCs/>
          <w:i w:val="false"/>
          <w:iCs w:val="false"/>
        </w:rPr>
        <w:t xml:space="preserve">this TTF comparison is presented in the source only as a descriptive median comparison, without a formal hazard ratio, confidence interval, or p-value, and should not be treated as a statistically confirmed difference</w:t>
      </w:r>
      <w:r>
        <w:rPr>
          <w:b w:val="false"/>
          <w:bCs w:val="false"/>
          <w:i w:val="false"/>
          <w:iCs w:val="false"/>
        </w:rPr>
        <w:t xml:space="preserve"> (Lu et al., 2026).</w:t>
      </w:r>
    </w:p>
    <w:p>
      <w:pPr>
        <w:spacing w:after="160"/>
        <w:jc w:val="left"/>
      </w:pPr>
      <w:r>
        <w:rPr>
          <w:b/>
          <w:bCs/>
          <w:i w:val="false"/>
          <w:iCs w:val="false"/>
        </w:rPr>
        <w:t xml:space="preserve">Interpretation:</w:t>
      </w:r>
      <w:r>
        <w:rPr>
          <w:b w:val="false"/>
          <w:bCs w:val="false"/>
          <w:i w:val="false"/>
          <w:iCs w:val="false"/>
        </w:rPr>
        <w:t xml:space="preserve"> Taken together, these three studies — using afatinib, osimertinib, and different comparator structures — all point toward compound-mutation and specific uncommon-subtype status mattering for TKI selection and outcome, and specifically toward afatinib performing relatively favorably in compound-mutation subgroups across two independent cohorts (Shigematsu et al., 2025; Nagano et al., 2026). However, because the three studies differ in agents compared, endpoints reported, and statistical rigor of the subgroup analyses (with two of the three subgroup findings lacking formal subgroup n/HR/CI/p-values), this should be read as a </w:t>
      </w:r>
      <w:r>
        <w:rPr>
          <w:b/>
          <w:bCs/>
          <w:i w:val="false"/>
          <w:iCs w:val="false"/>
        </w:rPr>
        <w:t xml:space="preserve">convergent signal warranting further prospective study, not a single, mergeable quantitative estimate</w:t>
      </w:r>
      <w:r>
        <w:rPr>
          <w:b w:val="false"/>
          <w:bCs w:val="false"/>
          <w:i w:val="false"/>
          <w:iCs w:val="false"/>
        </w:rPr>
        <w:t xml:space="preserve"> of a subtype-by-TKI interaction effect.</w:t>
      </w:r>
    </w:p>
    <w:p>
      <w:pPr>
        <w:pStyle w:val="Heading2"/>
        <w:spacing w:after="120" w:before="250"/>
      </w:pPr>
      <w:r>
        <w:t xml:space="preserve">6. Genomic resistance mechanisms to afatinib by mutation status</w:t>
      </w:r>
    </w:p>
    <w:p>
      <w:pPr>
        <w:spacing w:after="160"/>
        <w:jc w:val="left"/>
      </w:pPr>
      <w:r>
        <w:rPr>
          <w:b w:val="false"/>
          <w:bCs w:val="false"/>
          <w:i w:val="false"/>
          <w:iCs w:val="false"/>
        </w:rPr>
        <w:t xml:space="preserve">Lin et al. (2025) conducted a retrospective genomic cohort study (targeted NGS on paired baseline/post-progression samples) in 37 patients with EGFR- or ERBB2-activating mutations on first-line afatinib. PFS was longer in the EGFR-mutated than the ERBB2-mutated group (HR 0.35, 95% CI 0.15–0.79, p=0.008). Primary resistance was associated with EGFR exon 20 insertion (p=0.011), higher tumor mutational burden (p=0.009), and higher APOBEC mutational signature (p=0.012) — features enriched in the ERBB2-mutated cohort. Baseline EGFR exon 19 deletion, together with higher chromosomal instability and age-related mutational signatures, was associated with development of known acquired-resistance mechanisms (T790M, MET amplification) (Lin et al., 2025).</w:t>
      </w:r>
    </w:p>
    <w:p>
      <w:pPr>
        <w:spacing w:after="160"/>
        <w:jc w:val="left"/>
      </w:pPr>
      <w:r>
        <w:rPr>
          <w:b/>
          <w:bCs/>
          <w:i w:val="false"/>
          <w:iCs w:val="false"/>
        </w:rPr>
        <w:t xml:space="preserve">Flag:</w:t>
      </w:r>
      <w:r>
        <w:rPr>
          <w:b w:val="false"/>
          <w:bCs w:val="false"/>
          <w:i w:val="false"/>
          <w:iCs w:val="false"/>
        </w:rPr>
        <w:t xml:space="preserve"> This cohort mixes EGFR-mutated and ERBB2-mutated patients, and the published abstract does not separately report the EGFR-only subgroup size or an EGFR-subtype-specific (e.g., exon19del vs. exon20ins) PFS comparison independent of the EGFR-vs-ERBB2 contrast. This is an abstract-level data gap in the source, not an extraction choice, and readers should not treat the EGFR-vs-ERBB2 PFS comparison as equivalent to a within-EGFR subtype comparison.</w:t>
      </w:r>
    </w:p>
    <w:p>
      <w:pPr>
        <w:pStyle w:val="Heading1"/>
        <w:spacing w:after="150" w:before="300"/>
      </w:pPr>
      <w:r>
        <w:t xml:space="preserve">Quality and limitations</w:t>
      </w:r>
    </w:p>
    <w:p>
      <w:pPr>
        <w:spacing w:after="160"/>
        <w:jc w:val="left"/>
      </w:pPr>
      <w:r>
        <w:rPr>
          <w:b/>
          <w:bCs/>
          <w:i w:val="false"/>
          <w:iCs w:val="false"/>
        </w:rPr>
        <w:t xml:space="preserve">Overall design mix:</w:t>
      </w:r>
      <w:r>
        <w:rPr>
          <w:b w:val="false"/>
          <w:bCs w:val="false"/>
          <w:i w:val="false"/>
          <w:iCs w:val="false"/>
        </w:rPr>
        <w:t xml:space="preserve"> Of the 8 included studies, only one is a randomized controlled trial (Zhou et al., 2026, WU-KONG28) — and it is industry-funded with immature OS data. The remaining seven studies are observational: five retrospective cohorts (Shigematsu et al. 2025; Lin et al. 2025; Nagano et al. 2026; Reyes et al. 2026; Lu et al. 2026), one retrospective real-world registry (Passiglia et al. 2026), and one small single-center prospective observational study (Kim et al. 2026). Given this heterogeneity in design, population, agent, line of therapy, and statistical rigor, </w:t>
      </w:r>
      <w:r>
        <w:rPr>
          <w:b/>
          <w:bCs/>
          <w:i w:val="false"/>
          <w:iCs w:val="false"/>
        </w:rPr>
        <w:t xml:space="preserve">this report does not present pooled effect estimates across studies</w:t>
      </w:r>
      <w:r>
        <w:rPr>
          <w:b w:val="false"/>
          <w:bCs w:val="false"/>
          <w:i w:val="false"/>
          <w:iCs w:val="false"/>
        </w:rPr>
        <w:t xml:space="preserve"> — each finding is attributed to its specific study and design context throughout.</w:t>
      </w:r>
    </w:p>
    <w:p>
      <w:pPr>
        <w:spacing w:after="160"/>
        <w:jc w:val="left"/>
      </w:pPr>
      <w:r>
        <w:rPr>
          <w:b/>
          <w:bCs/>
          <w:i w:val="false"/>
          <w:iCs w:val="false"/>
        </w:rPr>
        <w:t xml:space="preserve">Sample sizes are generally small.</w:t>
      </w:r>
      <w:r>
        <w:rPr>
          <w:b w:val="false"/>
          <w:bCs w:val="false"/>
          <w:i w:val="false"/>
          <w:iCs w:val="false"/>
        </w:rPr>
        <w:t xml:space="preserve"> Six of the eight studies have samples at or below 80 patients (35, 37, 162 [only 162 is &gt;100], 22, 80, and the compound-mutation-specific institutional subgroups in Lu et al. ranging 89–228). Subgroup analyses within these already-small cohorts (e.g., Nagano et al.'s L861X and compound-mutation subgroups; Lu et al.'s G719X/L861Q vs. G719X-alone TTF comparison) are reported without subgroup-specific sample sizes, hazard ratios, or p-values in the source abstracts, and are explicitly flagged in the evidence table as likely underpowered or not formally tested. This report treats them as descriptive/hypothesis-generating rather than as confirmed treatment-effect differences.</w:t>
      </w:r>
    </w:p>
    <w:p>
      <w:pPr>
        <w:spacing w:after="160"/>
        <w:jc w:val="left"/>
      </w:pPr>
      <w:r>
        <w:rPr>
          <w:b/>
          <w:bCs/>
          <w:i w:val="false"/>
          <w:iCs w:val="false"/>
        </w:rPr>
        <w:t xml:space="preserve">Statistical non-significance is not smoothed over.</w:t>
      </w:r>
      <w:r>
        <w:rPr>
          <w:b w:val="false"/>
          <w:bCs w:val="false"/>
          <w:i w:val="false"/>
          <w:iCs w:val="false"/>
        </w:rPr>
        <w:t xml:space="preserve"> Reyes et al.'s (2026) CNS-progression and TP53 co-mutation survival comparisons both failed to reach statistical significance (p=0.54 and p=0.11 respectively, with confidence intervals crossing 1); this report presents both as non-significant findings, not as established prognostic associations.</w:t>
      </w:r>
    </w:p>
    <w:p>
      <w:pPr>
        <w:spacing w:after="160"/>
        <w:jc w:val="left"/>
      </w:pPr>
      <w:r>
        <w:rPr>
          <w:b/>
          <w:bCs/>
          <w:i w:val="false"/>
          <w:iCs w:val="false"/>
        </w:rPr>
        <w:t xml:space="preserve">Cross-population comparability is limited.</w:t>
      </w:r>
      <w:r>
        <w:rPr>
          <w:b w:val="false"/>
          <w:bCs w:val="false"/>
          <w:i w:val="false"/>
          <w:iCs w:val="false"/>
        </w:rPr>
        <w:t xml:space="preserve"> The exon 20 insertion-specific evidence spans a first-line RCT (Zhou et al.) and two later-line/real-world studies (Passiglia et al.; Kim et al.) using different agents; efficacy figures across these should not be compared head-to-head as if measuring the same clinical scenario. Similarly, Lin et al.'s mixed EGFR/ERBB2 cohort limits the specificity of its EGFR-subtype conclusions.</w:t>
      </w:r>
    </w:p>
    <w:p>
      <w:pPr>
        <w:spacing w:after="160"/>
        <w:jc w:val="left"/>
      </w:pPr>
      <w:r>
        <w:rPr>
          <w:b/>
          <w:bCs/>
          <w:i w:val="false"/>
          <w:iCs w:val="false"/>
        </w:rPr>
        <w:t xml:space="preserve">Convergent but non-mergeable signal on compound mutations.</w:t>
      </w:r>
      <w:r>
        <w:rPr>
          <w:b w:val="false"/>
          <w:bCs w:val="false"/>
          <w:i w:val="false"/>
          <w:iCs w:val="false"/>
        </w:rPr>
        <w:t xml:space="preserve"> Shigematsu et al., Nagano et al., and Lu et al. each report findings consistent with compound-mutation subtype affecting TKI outcome, but use different agents, comparators, and endpoints; this report treats their convergence as a signal supporting the general hypothesis that compound mutations warrant TKI-specific consideration, without merging their individual figures into a single quantitative claim.</w:t>
      </w:r>
    </w:p>
    <w:p>
      <w:pPr>
        <w:spacing w:after="160"/>
        <w:jc w:val="left"/>
      </w:pPr>
      <w:r>
        <w:rPr>
          <w:b/>
          <w:bCs/>
          <w:i w:val="false"/>
          <w:iCs w:val="false"/>
        </w:rPr>
        <w:t xml:space="preserve">Geographic and setting concentration.</w:t>
      </w:r>
      <w:r>
        <w:rPr>
          <w:b w:val="false"/>
          <w:bCs w:val="false"/>
          <w:i w:val="false"/>
          <w:iCs w:val="false"/>
        </w:rPr>
        <w:t xml:space="preserve"> Multiple studies are single-country (Japan: Shigematsu et al., Nagano et al.; Italy: Passiglia et al.; South Korea: Kim et al.; US: Lin et al., Reyes et al., Lu et al.), limiting generalizability of subtype-specific findings across populations and healthcare settings.</w:t>
      </w:r>
    </w:p>
    <w:p>
      <w:pPr>
        <w:pStyle w:val="Heading1"/>
        <w:spacing w:after="150" w:before="300"/>
      </w:pPr>
      <w:r>
        <w:t xml:space="preserve">Gaps and uncertainty</w:t>
      </w:r>
    </w:p>
    <w:p>
      <w:pPr>
        <w:pStyle w:val="ListParagraph"/>
        <w:numPr>
          <w:ilvl w:val="0"/>
          <w:numId w:val="1"/>
        </w:numPr>
        <w:spacing w:after="80"/>
      </w:pPr>
      <w:r>
        <w:rPr>
          <w:b/>
          <w:bCs/>
          <w:i w:val="false"/>
          <w:iCs w:val="false"/>
        </w:rPr>
        <w:t xml:space="preserve">No head-to-head randomized comparison exists across uncommon EGFR</w:t>
      </w:r>
    </w:p>
    <w:p>
      <w:pPr>
        <w:spacing w:after="160"/>
        <w:jc w:val="left"/>
      </w:pPr>
      <w:r>
        <w:rPr>
          <w:b w:val="false"/>
          <w:bCs w:val="false"/>
          <w:i w:val="false"/>
          <w:iCs w:val="false"/>
        </w:rPr>
        <w:t xml:space="preserve">subtypes or between afatinib/osimertinib for uncommon mutations.</w:t>
      </w:r>
      <w:r>
        <w:rPr>
          <w:b/>
          <w:bCs/>
          <w:i w:val="false"/>
          <w:iCs w:val="false"/>
        </w:rPr>
        <w:t xml:space="preserve"> The only RCT in the evidence base (Zhou et al., 2026) is restricted to exon 20 insertion; the afatinib-vs-osimertinib comparisons for other uncommon subtypes (Nagano et al., 2026) are IPTW-adjusted retrospective comparisons, not randomized.</w:t>
      </w:r>
    </w:p>
    <w:p>
      <w:pPr>
        <w:pStyle w:val="ListParagraph"/>
        <w:numPr>
          <w:ilvl w:val="0"/>
          <w:numId w:val="1"/>
        </w:numPr>
        <w:spacing w:after="80"/>
      </w:pPr>
      <w:r>
        <w:rPr>
          <w:b/>
          <w:bCs/>
          <w:i w:val="false"/>
          <w:iCs w:val="false"/>
        </w:rPr>
        <w:t xml:space="preserve">Subtype-specific subgroup effects for L861X, compound mutations</w:t>
      </w:r>
    </w:p>
    <w:p>
      <w:pPr>
        <w:spacing w:after="160"/>
        <w:jc w:val="left"/>
      </w:pPr>
      <w:r>
        <w:rPr>
          <w:b w:val="false"/>
          <w:bCs w:val="false"/>
          <w:i w:val="false"/>
          <w:iCs w:val="false"/>
        </w:rPr>
        <w:t xml:space="preserve">(Nagano et al.), and G719X/L861Q vs. G719X-alone (Lu et al.) lack reported subgroup sample sizes, hazard ratios, confidence intervals, or p-values</w:t>
      </w:r>
      <w:r>
        <w:rPr>
          <w:b/>
          <w:bCs/>
          <w:i w:val="false"/>
          <w:iCs w:val="false"/>
        </w:rPr>
        <w:t xml:space="preserve"> in the source abstracts. The evidence base cannot currently support a confirmed, quantified claim about these specific subtype-by-TKI interactions; this is a gap that would require full-text or original-data access, or dedicated prospective study, to close.</w:t>
      </w:r>
    </w:p>
    <w:p>
      <w:pPr>
        <w:pStyle w:val="ListParagraph"/>
        <w:numPr>
          <w:ilvl w:val="0"/>
          <w:numId w:val="1"/>
        </w:numPr>
        <w:spacing w:after="80"/>
      </w:pPr>
      <w:r>
        <w:rPr>
          <w:b/>
          <w:bCs/>
          <w:i w:val="false"/>
          <w:iCs w:val="false"/>
        </w:rPr>
        <w:t xml:space="preserve">The EGFR-specific subgroup size and subtype-specific PFS breakdown</w:t>
      </w:r>
    </w:p>
    <w:p>
      <w:pPr>
        <w:spacing w:after="160"/>
        <w:jc w:val="left"/>
      </w:pPr>
      <w:r>
        <w:rPr>
          <w:b w:val="false"/>
          <w:bCs w:val="false"/>
          <w:i w:val="false"/>
          <w:iCs w:val="false"/>
        </w:rPr>
        <w:t xml:space="preserve">are not available</w:t>
      </w:r>
      <w:r>
        <w:rPr>
          <w:b/>
          <w:bCs/>
          <w:i w:val="false"/>
          <w:iCs w:val="false"/>
        </w:rPr>
        <w:t xml:space="preserve"> in Lin et al.'s (2025) mixed EGFR/ERBB2 cohort at the abstract level — a genuine data gap rather than an extraction choice.</w:t>
      </w:r>
    </w:p>
    <w:p>
      <w:pPr>
        <w:pStyle w:val="ListParagraph"/>
        <w:numPr>
          <w:ilvl w:val="0"/>
          <w:numId w:val="1"/>
        </w:numPr>
        <w:spacing w:after="80"/>
      </w:pPr>
      <w:r>
        <w:rPr>
          <w:b/>
          <w:bCs/>
          <w:i w:val="false"/>
          <w:iCs w:val="false"/>
        </w:rPr>
        <w:t xml:space="preserve">Long-term survival benefit of sunvozertinib over chemotherapy in</w:t>
      </w:r>
    </w:p>
    <w:p>
      <w:pPr>
        <w:spacing w:after="160"/>
        <w:jc w:val="left"/>
      </w:pPr>
      <w:r>
        <w:rPr>
          <w:b w:val="false"/>
          <w:bCs w:val="false"/>
          <w:i w:val="false"/>
          <w:iCs w:val="false"/>
        </w:rPr>
        <w:t xml:space="preserve">first-line exon 20 insertion NSCLC is not yet established</w:t>
      </w:r>
      <w:r>
        <w:rPr>
          <w:b/>
          <w:bCs/>
          <w:i w:val="false"/>
          <w:iCs w:val="false"/>
        </w:rPr>
        <w:t xml:space="preserve">; OS data in Zhou et al. (2026) were only 38.9% mature at the time of reporting.</w:t>
      </w:r>
    </w:p>
    <w:p>
      <w:pPr>
        <w:pStyle w:val="ListParagraph"/>
        <w:numPr>
          <w:ilvl w:val="0"/>
          <w:numId w:val="1"/>
        </w:numPr>
        <w:spacing w:after="80"/>
      </w:pPr>
      <w:r>
        <w:rPr>
          <w:b/>
          <w:bCs/>
          <w:i w:val="false"/>
          <w:iCs w:val="false"/>
        </w:rPr>
        <w:t xml:space="preserve">CNS-progression and TP53 co-mutation prognostic associations in exon</w:t>
      </w:r>
    </w:p>
    <w:p>
      <w:pPr>
        <w:spacing w:after="160"/>
        <w:jc w:val="left"/>
      </w:pPr>
      <w:r>
        <w:rPr>
          <w:b w:val="false"/>
          <w:bCs w:val="false"/>
          <w:i w:val="false"/>
          <w:iCs w:val="false"/>
        </w:rPr>
        <w:t xml:space="preserve">20 insertion NSCLC (Reyes et al., 2026) remain statistically unresolved</w:t>
      </w:r>
      <w:r>
        <w:rPr>
          <w:b/>
          <w:bCs/>
          <w:i w:val="false"/>
          <w:iCs w:val="false"/>
        </w:rPr>
        <w:t xml:space="preserve"> — the evidence available neither confirms nor rules out a clinically meaningful effect given the wide confidence intervals.</w:t>
      </w:r>
    </w:p>
    <w:p>
      <w:pPr>
        <w:pStyle w:val="ListParagraph"/>
        <w:numPr>
          <w:ilvl w:val="0"/>
          <w:numId w:val="1"/>
        </w:numPr>
        <w:spacing w:after="80"/>
      </w:pPr>
      <w:r>
        <w:rPr>
          <w:b/>
          <w:bCs/>
          <w:i w:val="false"/>
          <w:iCs w:val="false"/>
        </w:rPr>
        <w:t xml:space="preserve">No study in this evidence base provides a formal, adequately powered,</w:t>
      </w:r>
    </w:p>
    <w:p>
      <w:pPr>
        <w:spacing w:after="160"/>
        <w:jc w:val="left"/>
      </w:pPr>
      <w:r>
        <w:rPr>
          <w:b w:val="false"/>
          <w:bCs w:val="false"/>
          <w:i w:val="false"/>
          <w:iCs w:val="false"/>
        </w:rPr>
        <w:t xml:space="preserve">direct comparison of first-line vs. later-line treatment efficacy for the same agent or the same population</w:t>
      </w:r>
      <w:r>
        <w:rPr>
          <w:b/>
          <w:bCs/>
          <w:i w:val="false"/>
          <w:iCs w:val="false"/>
        </w:rPr>
        <w:t xml:space="preserve"> in exon 20 insertion NSCLC; the RCT and real-world studies address different clinical scenarios.</w:t>
      </w:r>
    </w:p>
    <w:p>
      <w:pPr>
        <w:pStyle w:val="ListParagraph"/>
        <w:numPr>
          <w:ilvl w:val="0"/>
          <w:numId w:val="1"/>
        </w:numPr>
        <w:spacing w:after="80"/>
      </w:pPr>
      <w:r>
        <w:rPr>
          <w:b w:val="false"/>
          <w:bCs w:val="false"/>
          <w:i/>
          <w:iCs/>
        </w:rPr>
        <w:t xml:space="preserve">(A bookkeeping gap flagged during drafting — one record's disposition</w:t>
      </w:r>
    </w:p>
    <w:p>
      <w:pPr>
        <w:spacing w:after="160"/>
        <w:jc w:val="left"/>
      </w:pPr>
      <w:r>
        <w:rPr>
          <w:b w:val="false"/>
          <w:bCs w:val="false"/>
          <w:i w:val="false"/>
          <w:iCs w:val="false"/>
        </w:rPr>
        <w:t xml:space="preserve">line was out of date — has since been corrected; see Methods above. No open discrepancy remains.)</w:t>
      </w:r>
    </w:p>
    <w:p>
      <w:pPr>
        <w:pStyle w:val="Heading1"/>
        <w:spacing w:after="150" w:before="300"/>
      </w:pPr>
      <w:r>
        <w:t xml:space="preserve">References</w:t>
      </w:r>
    </w:p>
    <w:p>
      <w:pPr>
        <w:spacing w:after="160"/>
      </w:pPr>
      <w:r>
        <w:rPr>
          <w:b w:val="false"/>
          <w:bCs w:val="false"/>
          <w:i w:val="false"/>
          <w:iCs w:val="false"/>
        </w:rPr>
        <w:t xml:space="preserve">1. Shigematsu L, Tani T, Ikemura S, Ohgino K, Horiuchi K, Shinozaki T, Nukaga S, Terai H, Sato T, Naoki K, Sayama K, Oyamada Y, Sakamaki F, Soejima K, Yasuda H, Fukunaga K, et al. Clinical Outcomes of Later-Generation EGFR-TKIs for Uncommon EGFR Mutations in NSCLC: A Multicenter Real-World Study. </w:t>
      </w:r>
      <w:r>
        <w:rPr>
          <w:b w:val="false"/>
          <w:bCs w:val="false"/>
          <w:i/>
          <w:iCs/>
        </w:rPr>
        <w:t xml:space="preserve">Thoracic Cancer.</w:t>
      </w:r>
      <w:r>
        <w:rPr>
          <w:b w:val="false"/>
          <w:bCs w:val="false"/>
          <w:i w:val="false"/>
          <w:iCs w:val="false"/>
        </w:rPr>
        <w:t xml:space="preserve"> 2025;16(20):e70179. DOI: 10.1111/1759-7714.70179. PMID: 41139406. PMCID: PMC12554367. https://doi.org/10.1111/1759-7714.70179</w:t>
      </w:r>
    </w:p>
    <w:p>
      <w:pPr>
        <w:spacing w:after="160"/>
      </w:pPr>
      <w:r>
        <w:rPr>
          <w:b w:val="false"/>
          <w:bCs w:val="false"/>
          <w:i w:val="false"/>
          <w:iCs w:val="false"/>
        </w:rPr>
        <w:t xml:space="preserve">2. Lin F, Zhao M, Wu Q, Wu W, Wu X, Ma Y, Yin JC, Yang M, Gao M. Novel Resistance Mechanisms to Second-Generation EGFR Tyrosine Kinase Inhibitor Afatinib and Associations With Genomic Features in NSCLC. </w:t>
      </w:r>
      <w:r>
        <w:rPr>
          <w:b w:val="false"/>
          <w:bCs w:val="false"/>
          <w:i/>
          <w:iCs/>
        </w:rPr>
        <w:t xml:space="preserve">Genes, Chromosomes &amp; Cancer.</w:t>
      </w:r>
      <w:r>
        <w:rPr>
          <w:b w:val="false"/>
          <w:bCs w:val="false"/>
          <w:i w:val="false"/>
          <w:iCs w:val="false"/>
        </w:rPr>
        <w:t xml:space="preserve"> 2025;64(11):e70088. DOI: 10.1002/gcc.70088. PMID: 41273219. PMCID: PMC12639536. https://doi.org/10.1002/gcc.70088</w:t>
      </w:r>
    </w:p>
    <w:p>
      <w:pPr>
        <w:spacing w:after="160"/>
      </w:pPr>
      <w:r>
        <w:rPr>
          <w:b w:val="false"/>
          <w:bCs w:val="false"/>
          <w:i w:val="false"/>
          <w:iCs w:val="false"/>
        </w:rPr>
        <w:t xml:space="preserve">3. Zhou C, Greillier L, Liu G, John T, Xing L, Kowalski D, Memmott RM, Yazici O, Sun M, Shu CA, Pons-Tostivint E, Fan Y, Fernandez-Hinojal G, Shum E, Wang M, Bertolini F, Camidge DR, Zhou C, Doucet L, Hong Q, Fang J, Huang D, Jin B, Yu Y, Antonuzzo L, Moro-Sibilot D, Bennouna J, de Castro G, Zheng L, Heymach JV, et al. First-Line Sunvozertinib in NSCLC with EGFR Exon 20 Insertion Mutations. </w:t>
      </w:r>
      <w:r>
        <w:rPr>
          <w:b w:val="false"/>
          <w:bCs w:val="false"/>
          <w:i/>
          <w:iCs/>
        </w:rPr>
        <w:t xml:space="preserve">The New England Journal of Medicine.</w:t>
      </w:r>
      <w:r>
        <w:rPr>
          <w:b w:val="false"/>
          <w:bCs w:val="false"/>
          <w:i w:val="false"/>
          <w:iCs w:val="false"/>
        </w:rPr>
        <w:t xml:space="preserve"> 2026;395(8):765-775. DOI: 10.1056/NEJMoa2604461. PMID: 42212913. https://doi.org/10.1056/NEJMoa2604461</w:t>
      </w:r>
    </w:p>
    <w:p>
      <w:pPr>
        <w:spacing w:after="160"/>
      </w:pPr>
      <w:r>
        <w:rPr>
          <w:b w:val="false"/>
          <w:bCs w:val="false"/>
          <w:i w:val="false"/>
          <w:iCs w:val="false"/>
        </w:rPr>
        <w:t xml:space="preserve">4. Passiglia F, Passaro A, Gariazzo E, Montrone M, Pasello G, Tiseo M, Russano M, Citarella F, Muscarella LA, Pozzessere D, Bria E, Roca E, Cerea G, Russo A, Grisanti S, Bulotta A, Veccia A, Biello F, Lo Russo G, Pilotto S, Genova C, Cortinovis D, Minuti G, Meoni G, Gori S, Reale ML, Pavan A, Ramundo M, Grossi F, Parra HS, Scotti V, Vavalà T, Sini C, Sergi C, Pelizzari G, Chiari R, Stanzione B, Favaretto A, Leone F, Bettini AC, Pagano M, Tondulli L, Toschi L, Lacidogna G, Bennati C, Catanese S, Malapelle U, Giannarelli D, Novello S. Amivantamab in advanced non-small cell lung cancer with epidermal growth factor receptor exon 20 insertion mutations: Real-world data from the Italian ATLAS Registry. </w:t>
      </w:r>
      <w:r>
        <w:rPr>
          <w:b w:val="false"/>
          <w:bCs w:val="false"/>
          <w:i/>
          <w:iCs/>
        </w:rPr>
        <w:t xml:space="preserve">Cancer.</w:t>
      </w:r>
      <w:r>
        <w:rPr>
          <w:b w:val="false"/>
          <w:bCs w:val="false"/>
          <w:i w:val="false"/>
          <w:iCs w:val="false"/>
        </w:rPr>
        <w:t xml:space="preserve"> 2026;132(11):e70476. DOI: 10.1002/cncr.70476. PMID: 42216441. https://doi.org/10.1002/cncr.70476</w:t>
      </w:r>
    </w:p>
    <w:p>
      <w:pPr>
        <w:spacing w:after="160"/>
      </w:pPr>
      <w:r>
        <w:rPr>
          <w:b w:val="false"/>
          <w:bCs w:val="false"/>
          <w:i w:val="false"/>
          <w:iCs w:val="false"/>
        </w:rPr>
        <w:t xml:space="preserve">5. Nagano Y, Yokouchi H, Saito R, Honjo O, Sumi T, Kaburagi T, Ito K, Ikezawa Y, Yokoo K, Kikuchi H, Kudo S, Yamazoe M, Shigaki R, Tagami K, Tenma T, Ishikawa T, Takahashi M, Sasaki T, Asahina H, Hinotsu S, Chiba H, Oizumi S. Afatinib Versus Osimertinib for Non-Small Cell Lung Cancer With Uncommon EGFR Mutations: Real-World Outcomes. </w:t>
      </w:r>
      <w:r>
        <w:rPr>
          <w:b w:val="false"/>
          <w:bCs w:val="false"/>
          <w:i/>
          <w:iCs/>
        </w:rPr>
        <w:t xml:space="preserve">Cancer Science.</w:t>
      </w:r>
      <w:r>
        <w:rPr>
          <w:b w:val="false"/>
          <w:bCs w:val="false"/>
          <w:i w:val="false"/>
          <w:iCs w:val="false"/>
        </w:rPr>
        <w:t xml:space="preserve"> 2026;117(8):2236-2246. DOI: 10.1111/cas.70400. PMID: 42218657. PMCID: PMC13394325. https://doi.org/10.1111/cas.70400</w:t>
      </w:r>
    </w:p>
    <w:p>
      <w:pPr>
        <w:spacing w:after="160"/>
      </w:pPr>
      <w:r>
        <w:rPr>
          <w:b w:val="false"/>
          <w:bCs w:val="false"/>
          <w:i w:val="false"/>
          <w:iCs w:val="false"/>
        </w:rPr>
        <w:t xml:space="preserve">6. Kim J, Park GH, Park S, Jung HA, Lee SH, Ahn JS, Ahn MJ, Sun JM. Paired ctDNA analysis reveals diverse resistance mechanisms to mobocertinib in EGFR exon 20 insertion NSCLC. </w:t>
      </w:r>
      <w:r>
        <w:rPr>
          <w:b w:val="false"/>
          <w:bCs w:val="false"/>
          <w:i/>
          <w:iCs/>
        </w:rPr>
        <w:t xml:space="preserve">Frontiers in Oncology.</w:t>
      </w:r>
      <w:r>
        <w:rPr>
          <w:b w:val="false"/>
          <w:bCs w:val="false"/>
          <w:i w:val="false"/>
          <w:iCs w:val="false"/>
        </w:rPr>
        <w:t xml:space="preserve"> 2026;16:1827867. DOI: 10.3389/fonc.2026.1827867. PMID: 42239888. PMCID: PMC13225986. https://doi.org/10.3389/fonc.2026.1827867</w:t>
      </w:r>
    </w:p>
    <w:p>
      <w:pPr>
        <w:spacing w:after="160"/>
      </w:pPr>
      <w:r>
        <w:rPr>
          <w:b w:val="false"/>
          <w:bCs w:val="false"/>
          <w:i w:val="false"/>
          <w:iCs w:val="false"/>
        </w:rPr>
        <w:t xml:space="preserve">7. Reyes A, Mambetsariev I, Fricke J, Young JR, Chen BT, Amini A, Ladbury C, Arias-Romero J, Nguyen D, Pisick E, Doctor V, Tan B, Afkhami M, Kareem W, Li X, Salgia R. Patterns of central nervous system disease and molecular landscape in epidermal growth factor receptor exon 20 insertion mutated non-small cell carcinoma. </w:t>
      </w:r>
      <w:r>
        <w:rPr>
          <w:b w:val="false"/>
          <w:bCs w:val="false"/>
          <w:i/>
          <w:iCs/>
        </w:rPr>
        <w:t xml:space="preserve">Translational Lung Cancer Research.</w:t>
      </w:r>
      <w:r>
        <w:rPr>
          <w:b w:val="false"/>
          <w:bCs w:val="false"/>
          <w:i w:val="false"/>
          <w:iCs w:val="false"/>
        </w:rPr>
        <w:t xml:space="preserve"> 2026;15(5):140. DOI: 10.21037/tlcr-2026-1-0104. PMID: 42291370. PMCID: PMC13263828. https://doi.org/10.21037/tlcr-2026-1-0104</w:t>
      </w:r>
    </w:p>
    <w:p>
      <w:pPr>
        <w:spacing w:after="160"/>
      </w:pPr>
      <w:r>
        <w:rPr>
          <w:b w:val="false"/>
          <w:bCs w:val="false"/>
          <w:i w:val="false"/>
          <w:iCs w:val="false"/>
        </w:rPr>
        <w:t xml:space="preserve">8. Lu K, Patel SP, Azenkot T. Characteristics and Clinical Outcomes of De Novo and Acquired Uncommon Compound EGFR Mutations in Patients With Advanced Non-Small Cell Lung Cancer: A Brief Report. </w:t>
      </w:r>
      <w:r>
        <w:rPr>
          <w:b w:val="false"/>
          <w:bCs w:val="false"/>
          <w:i/>
          <w:iCs/>
        </w:rPr>
        <w:t xml:space="preserve">Clinical Lung Cancer.</w:t>
      </w:r>
      <w:r>
        <w:rPr>
          <w:b w:val="false"/>
          <w:bCs w:val="false"/>
          <w:i w:val="false"/>
          <w:iCs w:val="false"/>
        </w:rPr>
        <w:t xml:space="preserve"> 2026;27(6):64-67. DOI: 10.1016/j.cllc.2026.05.005. PMID: 42320198. https://doi.org/10.1016/j.cllc.2026.05.005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2026-09-08T09:44:53.466Z</dcterms:created>
  <dcterms:modified xsi:type="dcterms:W3CDTF">2026-09-08T09:44:53.476Z</dcterms:modified>
</cp:coreProperties>
</file>

<file path=docProps/custom.xml><?xml version="1.0" encoding="utf-8"?>
<Properties xmlns="http://schemas.openxmlformats.org/officeDocument/2006/custom-properties" xmlns:vt="http://schemas.openxmlformats.org/officeDocument/2006/docPropsVTypes"/>
</file>