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C00000"/>
          <w:sz w:val="28"/>
          <w:szCs w:val="28"/>
        </w:rPr>
        <w:t xml:space="preserve">CONFIDENTIAL</w:t>
      </w:r>
    </w:p>
    <w:p>
      <w:pPr>
        <w:spacing w:before="720" w:after="720"/>
        <w:jc w:val="center"/>
      </w:pPr>
      <w:r>
        <w:rPr>
          <w:b/>
          <w:bCs/>
          <w:sz w:val="36"/>
          <w:szCs w:val="36"/>
        </w:rPr>
        <w:t xml:space="preserve">INTERIM HR COMPLIANCE AUDIT</w:t>
      </w:r>
    </w:p>
    <w:p>
      <w:pPr>
        <w:spacing w:after="360"/>
        <w:jc w:val="center"/>
      </w:pPr>
      <w:r>
        <w:rPr>
          <w:b/>
          <w:bCs/>
          <w:sz w:val="28"/>
          <w:szCs w:val="28"/>
        </w:rPr>
        <w:t xml:space="preserve">Critical Findings Report</w:t>
      </w:r>
    </w:p>
    <w:p>
      <w:pPr>
        <w:spacing w:before="1440" w:after="240"/>
        <w:jc w:val="center"/>
      </w:pPr>
      <w:r>
        <w:rPr>
          <w:sz w:val="24"/>
          <w:szCs w:val="24"/>
        </w:rPr>
        <w:t xml:space="preserve">Sapphos Environmental, Inc.</w:t>
      </w:r>
    </w:p>
    <w:p>
      <w:pPr>
        <w:spacing w:after="240"/>
        <w:jc w:val="center"/>
      </w:pPr>
      <w:r>
        <w:rPr>
          <w:sz w:val="22"/>
          <w:szCs w:val="22"/>
        </w:rPr>
        <w:t xml:space="preserve">Pasadena, California</w:t>
      </w:r>
    </w:p>
    <w:p>
      <w:pPr>
        <w:spacing w:before="1440" w:after="240"/>
        <w:jc w:val="center"/>
      </w:pPr>
      <w:r>
        <w:rPr>
          <w:i/>
          <w:iCs/>
          <w:sz w:val="22"/>
          <w:szCs w:val="22"/>
        </w:rPr>
        <w:t xml:space="preserve">Prepared for:</w:t>
      </w:r>
    </w:p>
    <w:p>
      <w:pPr>
        <w:spacing w:after="120"/>
        <w:jc w:val="center"/>
      </w:pPr>
      <w:r>
        <w:rPr>
          <w:b/>
          <w:bCs/>
          <w:sz w:val="24"/>
          <w:szCs w:val="24"/>
        </w:rPr>
        <w:t xml:space="preserve">Robert Half</w:t>
      </w:r>
    </w:p>
    <w:p>
      <w:pPr>
        <w:spacing w:after="240"/>
        <w:jc w:val="center"/>
      </w:pPr>
      <w:r>
        <w:rPr>
          <w:sz w:val="22"/>
          <w:szCs w:val="22"/>
        </w:rPr>
        <w:t xml:space="preserve">Attn: [Account Manager Name]</w:t>
      </w:r>
    </w:p>
    <w:p>
      <w:pPr>
        <w:spacing w:before="720" w:after="240"/>
        <w:jc w:val="center"/>
      </w:pPr>
      <w:r>
        <w:rPr>
          <w:i/>
          <w:iCs/>
          <w:sz w:val="22"/>
          <w:szCs w:val="22"/>
        </w:rPr>
        <w:t xml:space="preserve">Prepared by:</w:t>
      </w:r>
    </w:p>
    <w:p>
      <w:pPr>
        <w:spacing w:after="120"/>
        <w:jc w:val="center"/>
      </w:pPr>
      <w:r>
        <w:rPr>
          <w:b/>
          <w:bCs/>
          <w:sz w:val="24"/>
          <w:szCs w:val="24"/>
        </w:rPr>
        <w:t xml:space="preserve">[Your Name], PhD</w:t>
      </w:r>
    </w:p>
    <w:p>
      <w:pPr>
        <w:spacing w:after="240"/>
        <w:jc w:val="center"/>
      </w:pPr>
      <w:r>
        <w:rPr>
          <w:sz w:val="22"/>
          <w:szCs w:val="22"/>
        </w:rPr>
        <w:t xml:space="preserve">Interim HR Manager</w:t>
      </w:r>
    </w:p>
    <w:p>
      <w:pPr>
        <w:spacing w:before="1440"/>
        <w:jc w:val="center"/>
      </w:pPr>
      <w:r>
        <w:rPr>
          <w:sz w:val="22"/>
          <w:szCs w:val="22"/>
        </w:rPr>
        <w:t xml:space="preserve">Date: January 24, 2026</w:t>
      </w:r>
    </w:p>
    <w:p>
      <w:r>
        <w:br w:type="page"/>
      </w:r>
    </w:p>
    <w:p>
      <w:pPr>
        <w:pStyle w:val="Heading1"/>
      </w:pPr>
      <w:r>
        <w:t xml:space="preserve">EXECUTIVE SUMMARY</w:t>
      </w:r>
    </w:p>
    <w:p>
      <w:pPr>
        <w:spacing w:after="240"/>
      </w:pPr>
      <w:r>
        <w:t xml:space="preserve">This report documents critical compliance deficiencies discovered during my interim assignment at Sapphos Environmental, Inc. The findings reveal systemic failures in personnel recordkeeping, regulatory compliance, and data security that expose both the client organization and Robert Half to substantial legal liability.</w:t>
      </w:r>
    </w:p>
    <w:p>
      <w:pPr>
        <w:spacing w:after="360"/>
      </w:pPr>
      <w:r>
        <w:t xml:space="preserve">The scope and severity of violations discovered significantly exceeds what was represented during placement. What was described as routine personnel file organization has revealed catastrophic compliance failures across multiple federal and California regulatory frameworks, including potential criminal violations.</w:t>
      </w:r>
    </w:p>
    <w:p>
      <w:pPr>
        <w:pStyle w:val="Heading2"/>
      </w:pPr>
      <w:r>
        <w:t xml:space="preserve">Critical Risk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666666" w:sz="1"/>
              <w:left w:val="single" w:color="666666" w:sz="1"/>
              <w:bottom w:val="single" w:color="666666" w:sz="1"/>
              <w:right w:val="single" w:color="666666" w:sz="1"/>
            </w:tcBorders>
            <w:shd w:fill="2E5C8A" w:val="clear"/>
            <w:tcMar>
              <w:top w:type="dxa" w:w="80"/>
              <w:left w:type="dxa" w:w="120"/>
              <w:bottom w:type="dxa" w:w="80"/>
              <w:right w:type="dxa" w:w="120"/>
            </w:tcMar>
          </w:tcPr>
          <w:p>
            <w:r>
              <w:rPr>
                <w:b/>
                <w:bCs/>
                <w:color w:val="FFFFFF"/>
              </w:rPr>
              <w:t xml:space="preserve">Violation Category</w:t>
            </w:r>
          </w:p>
        </w:tc>
        <w:tc>
          <w:tcPr>
            <w:tcW w:type="dxa" w:w="3200"/>
            <w:tcBorders>
              <w:top w:val="single" w:color="666666" w:sz="1"/>
              <w:left w:val="single" w:color="666666" w:sz="1"/>
              <w:bottom w:val="single" w:color="666666" w:sz="1"/>
              <w:right w:val="single" w:color="666666" w:sz="1"/>
            </w:tcBorders>
            <w:shd w:fill="2E5C8A" w:val="clear"/>
            <w:tcMar>
              <w:top w:type="dxa" w:w="80"/>
              <w:left w:type="dxa" w:w="120"/>
              <w:bottom w:type="dxa" w:w="80"/>
              <w:right w:type="dxa" w:w="120"/>
            </w:tcMar>
          </w:tcPr>
          <w:p>
            <w:r>
              <w:rPr>
                <w:b/>
                <w:bCs/>
                <w:color w:val="FFFFFF"/>
              </w:rPr>
              <w:t xml:space="preserve">Severity</w:t>
            </w:r>
          </w:p>
        </w:tc>
        <w:tc>
          <w:tcPr>
            <w:tcW w:type="dxa" w:w="3360"/>
            <w:tcBorders>
              <w:top w:val="single" w:color="666666" w:sz="1"/>
              <w:left w:val="single" w:color="666666" w:sz="1"/>
              <w:bottom w:val="single" w:color="666666" w:sz="1"/>
              <w:right w:val="single" w:color="666666" w:sz="1"/>
            </w:tcBorders>
            <w:shd w:fill="2E5C8A" w:val="clear"/>
            <w:tcMar>
              <w:top w:type="dxa" w:w="80"/>
              <w:left w:type="dxa" w:w="120"/>
              <w:bottom w:type="dxa" w:w="80"/>
              <w:right w:type="dxa" w:w="120"/>
            </w:tcMar>
          </w:tcPr>
          <w:p>
            <w:r>
              <w:rPr>
                <w:b/>
                <w:bCs/>
                <w:color w:val="FFFFFF"/>
              </w:rPr>
              <w:t xml:space="preserve">Estimated Penalty Exposure</w:t>
            </w:r>
          </w:p>
        </w:tc>
      </w:tr>
      <w:tr>
        <w:tc>
          <w:tcPr>
            <w:tcW w:type="dxa" w:w="280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I-9 Compliance</w:t>
            </w:r>
          </w:p>
        </w:tc>
        <w:tc>
          <w:tcPr>
            <w:tcW w:type="dxa" w:w="3200"/>
            <w:tcBorders>
              <w:top w:val="single" w:color="666666" w:sz="1"/>
              <w:left w:val="single" w:color="666666" w:sz="1"/>
              <w:bottom w:val="single" w:color="666666" w:sz="1"/>
              <w:right w:val="single" w:color="666666" w:sz="1"/>
            </w:tcBorders>
            <w:shd w:fill="FFC7CE" w:val="clear"/>
            <w:tcMar>
              <w:top w:type="dxa" w:w="80"/>
              <w:left w:type="dxa" w:w="120"/>
              <w:bottom w:type="dxa" w:w="80"/>
              <w:right w:type="dxa" w:w="120"/>
            </w:tcMar>
          </w:tcPr>
          <w:p>
            <w:r>
              <w:rPr>
                <w:b/>
                <w:bCs/>
                <w:color w:val="9C0006"/>
              </w:rPr>
              <w:t xml:space="preserve">CRITICAL</w:t>
            </w:r>
          </w:p>
        </w:tc>
        <w:tc>
          <w:tcPr>
            <w:tcW w:type="dxa" w:w="336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$12,800 - $117,858 per employee</w:t>
            </w:r>
          </w:p>
        </w:tc>
      </w:tr>
      <w:tr>
        <w:tc>
          <w:tcPr>
            <w:tcW w:type="dxa" w:w="280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ADA/CMIA Medical Privacy</w:t>
            </w:r>
          </w:p>
        </w:tc>
        <w:tc>
          <w:tcPr>
            <w:tcW w:type="dxa" w:w="3200"/>
            <w:tcBorders>
              <w:top w:val="single" w:color="666666" w:sz="1"/>
              <w:left w:val="single" w:color="666666" w:sz="1"/>
              <w:bottom w:val="single" w:color="666666" w:sz="1"/>
              <w:right w:val="single" w:color="666666" w:sz="1"/>
            </w:tcBorders>
            <w:shd w:fill="FFC7CE" w:val="clear"/>
            <w:tcMar>
              <w:top w:type="dxa" w:w="80"/>
              <w:left w:type="dxa" w:w="120"/>
              <w:bottom w:type="dxa" w:w="80"/>
              <w:right w:type="dxa" w:w="120"/>
            </w:tcMar>
          </w:tcPr>
          <w:p>
            <w:r>
              <w:rPr>
                <w:b/>
                <w:bCs/>
                <w:color w:val="9C0006"/>
              </w:rPr>
              <w:t xml:space="preserve">CRITICAL</w:t>
            </w:r>
          </w:p>
        </w:tc>
        <w:tc>
          <w:tcPr>
            <w:tcW w:type="dxa" w:w="336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Up to $25,000 per employee</w:t>
            </w:r>
          </w:p>
        </w:tc>
      </w:tr>
      <w:tr>
        <w:tc>
          <w:tcPr>
            <w:tcW w:type="dxa" w:w="280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ERISA/401(k) Reporting</w:t>
            </w:r>
          </w:p>
        </w:tc>
        <w:tc>
          <w:tcPr>
            <w:tcW w:type="dxa" w:w="3200"/>
            <w:tcBorders>
              <w:top w:val="single" w:color="666666" w:sz="1"/>
              <w:left w:val="single" w:color="666666" w:sz="1"/>
              <w:bottom w:val="single" w:color="666666" w:sz="1"/>
              <w:right w:val="single" w:color="666666" w:sz="1"/>
            </w:tcBorders>
            <w:shd w:fill="FFC7CE" w:val="clear"/>
            <w:tcMar>
              <w:top w:type="dxa" w:w="80"/>
              <w:left w:type="dxa" w:w="120"/>
              <w:bottom w:type="dxa" w:w="80"/>
              <w:right w:type="dxa" w:w="120"/>
            </w:tcMar>
          </w:tcPr>
          <w:p>
            <w:r>
              <w:rPr>
                <w:b/>
                <w:bCs/>
                <w:color w:val="9C0006"/>
              </w:rPr>
              <w:t xml:space="preserve">CRITICAL</w:t>
            </w:r>
          </w:p>
        </w:tc>
        <w:tc>
          <w:tcPr>
            <w:tcW w:type="dxa" w:w="336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DOL penalties + fiduciary breach</w:t>
            </w:r>
          </w:p>
        </w:tc>
      </w:tr>
      <w:tr>
        <w:tc>
          <w:tcPr>
            <w:tcW w:type="dxa" w:w="280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Harassment Training (FEHA)</w:t>
            </w:r>
          </w:p>
        </w:tc>
        <w:tc>
          <w:tcPr>
            <w:tcW w:type="dxa" w:w="3200"/>
            <w:tcBorders>
              <w:top w:val="single" w:color="666666" w:sz="1"/>
              <w:left w:val="single" w:color="666666" w:sz="1"/>
              <w:bottom w:val="single" w:color="666666" w:sz="1"/>
              <w:right w:val="single" w:color="666666" w:sz="1"/>
            </w:tcBorders>
            <w:shd w:fill="FFEB9C" w:val="clear"/>
            <w:tcMar>
              <w:top w:type="dxa" w:w="80"/>
              <w:left w:type="dxa" w:w="120"/>
              <w:bottom w:type="dxa" w:w="80"/>
              <w:right w:type="dxa" w:w="120"/>
            </w:tcMar>
          </w:tcPr>
          <w:p>
            <w:r>
              <w:rPr>
                <w:b/>
                <w:bCs/>
                <w:color w:val="9C5700"/>
              </w:rPr>
              <w:t xml:space="preserve">HIGH</w:t>
            </w:r>
          </w:p>
        </w:tc>
        <w:tc>
          <w:tcPr>
            <w:tcW w:type="dxa" w:w="336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DFEH complaint + damages</w:t>
            </w:r>
          </w:p>
        </w:tc>
      </w:tr>
      <w:tr>
        <w:tc>
          <w:tcPr>
            <w:tcW w:type="dxa" w:w="280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Tax Withholding (W-4/DE-4)</w:t>
            </w:r>
          </w:p>
        </w:tc>
        <w:tc>
          <w:tcPr>
            <w:tcW w:type="dxa" w:w="3200"/>
            <w:tcBorders>
              <w:top w:val="single" w:color="666666" w:sz="1"/>
              <w:left w:val="single" w:color="666666" w:sz="1"/>
              <w:bottom w:val="single" w:color="666666" w:sz="1"/>
              <w:right w:val="single" w:color="666666" w:sz="1"/>
            </w:tcBorders>
            <w:shd w:fill="FFEB9C" w:val="clear"/>
            <w:tcMar>
              <w:top w:type="dxa" w:w="80"/>
              <w:left w:type="dxa" w:w="120"/>
              <w:bottom w:type="dxa" w:w="80"/>
              <w:right w:type="dxa" w:w="120"/>
            </w:tcMar>
          </w:tcPr>
          <w:p>
            <w:r>
              <w:rPr>
                <w:b/>
                <w:bCs/>
                <w:color w:val="9C5700"/>
              </w:rPr>
              <w:t xml:space="preserve">HIGH</w:t>
            </w:r>
          </w:p>
        </w:tc>
        <w:tc>
          <w:tcPr>
            <w:tcW w:type="dxa" w:w="3360"/>
            <w:tcBorders>
              <w:top w:val="single" w:color="666666" w:sz="1"/>
              <w:left w:val="single" w:color="666666" w:sz="1"/>
              <w:bottom w:val="single" w:color="666666" w:sz="1"/>
              <w:right w:val="single" w:color="666666" w:sz="1"/>
            </w:tcBorders>
            <w:tcMar>
              <w:top w:type="dxa" w:w="80"/>
              <w:left w:type="dxa" w:w="120"/>
              <w:bottom w:type="dxa" w:w="80"/>
              <w:right w:type="dxa" w:w="120"/>
            </w:tcMar>
          </w:tcPr>
          <w:p>
            <w:r>
              <w:t xml:space="preserve">IRS/FTB penalties + audit liability</w:t>
            </w:r>
          </w:p>
        </w:tc>
      </w:tr>
    </w:tbl>
    <w:p>
      <w:r>
        <w:br w:type="page"/>
      </w:r>
    </w:p>
    <w:p>
      <w:pPr>
        <w:pStyle w:val="Heading1"/>
      </w:pPr>
      <w:r>
        <w:t xml:space="preserve">I. BACKGROUND AND ASSIGNMENT SCOPE</w:t>
      </w:r>
    </w:p>
    <w:p>
      <w:pPr>
        <w:pStyle w:val="Heading2"/>
      </w:pPr>
      <w:r>
        <w:t xml:space="preserve">A. Placement Details</w:t>
      </w:r>
    </w:p>
    <w:p>
      <w:pPr>
        <w:spacing w:after="120"/>
      </w:pPr>
      <w:r>
        <w:rPr>
          <w:b/>
          <w:bCs/>
        </w:rPr>
        <w:t xml:space="preserve">Client: </w:t>
      </w:r>
      <w:r>
        <w:t xml:space="preserve">Sapphos Environmental, Inc.</w:t>
      </w:r>
    </w:p>
    <w:p>
      <w:pPr>
        <w:spacing w:after="120"/>
      </w:pPr>
      <w:r>
        <w:rPr>
          <w:b/>
          <w:bCs/>
        </w:rPr>
        <w:t xml:space="preserve">Location: </w:t>
      </w:r>
      <w:r>
        <w:t xml:space="preserve">Pasadena, California</w:t>
      </w:r>
    </w:p>
    <w:p>
      <w:pPr>
        <w:spacing w:after="120"/>
      </w:pPr>
      <w:r>
        <w:rPr>
          <w:b/>
          <w:bCs/>
        </w:rPr>
        <w:t xml:space="preserve">Employee Count: </w:t>
      </w:r>
      <w:r>
        <w:t xml:space="preserve">47 active employees</w:t>
      </w:r>
    </w:p>
    <w:p>
      <w:pPr>
        <w:spacing w:after="120"/>
      </w:pPr>
      <w:r>
        <w:rPr>
          <w:b/>
          <w:bCs/>
        </w:rPr>
        <w:t xml:space="preserve">Assignment Start Date: </w:t>
      </w:r>
      <w:r>
        <w:t xml:space="preserve">[Insert Date]</w:t>
      </w:r>
    </w:p>
    <w:p>
      <w:pPr>
        <w:spacing w:after="120"/>
      </w:pPr>
      <w:r>
        <w:rPr>
          <w:b/>
          <w:bCs/>
        </w:rPr>
        <w:t xml:space="preserve">Position Title: </w:t>
      </w:r>
      <w:r>
        <w:t xml:space="preserve">Interim HR Manager</w:t>
      </w:r>
    </w:p>
    <w:p>
      <w:pPr>
        <w:spacing w:after="120"/>
      </w:pPr>
      <w:r>
        <w:rPr>
          <w:b/>
          <w:bCs/>
        </w:rPr>
        <w:t xml:space="preserve">Reporting To: </w:t>
      </w:r>
      <w:r>
        <w:t xml:space="preserve">Ellen, Director of Human Resources</w:t>
      </w:r>
    </w:p>
    <w:p>
      <w:pPr>
        <w:spacing w:after="240"/>
      </w:pPr>
      <w:r>
        <w:rPr>
          <w:b/>
          <w:bCs/>
        </w:rPr>
        <w:t xml:space="preserve">Administrative Support: </w:t>
      </w:r>
      <w:r>
        <w:t xml:space="preserve">Tina Ho</w:t>
      </w:r>
    </w:p>
    <w:p>
      <w:pPr>
        <w:pStyle w:val="Heading2"/>
      </w:pPr>
      <w:r>
        <w:t xml:space="preserve">B. Represented Scope of Work</w:t>
      </w:r>
    </w:p>
    <w:p>
      <w:pPr>
        <w:spacing w:after="240"/>
      </w:pPr>
      <w:r>
        <w:t xml:space="preserve">The assignment was presented as routine personnel file organization and compliance audit preparation. Initial scope included:</w:t>
      </w:r>
    </w:p>
    <w:p>
      <w:pPr>
        <w:spacing w:after="120" w:before="120"/>
      </w:pPr>
      <w:r>
        <w:t xml:space="preserve">• Organization of existing personnel files</w:t>
      </w:r>
    </w:p>
    <w:p>
      <w:pPr>
        <w:spacing w:after="120"/>
      </w:pPr>
      <w:r>
        <w:t xml:space="preserve">• Basic compliance verification</w:t>
      </w:r>
    </w:p>
    <w:p>
      <w:pPr>
        <w:spacing w:after="120"/>
      </w:pPr>
      <w:r>
        <w:t xml:space="preserve">• Implementation of recent California legislative changes (SB 513, 553, 807, 294, 464)</w:t>
      </w:r>
    </w:p>
    <w:p>
      <w:pPr>
        <w:spacing w:after="240"/>
      </w:pPr>
      <w:r>
        <w:t xml:space="preserve">• Preparation for potential regulatory audits</w:t>
      </w:r>
    </w:p>
    <w:p>
      <w:pPr>
        <w:pStyle w:val="Heading2"/>
      </w:pPr>
      <w:r>
        <w:t xml:space="preserve">C. Actual Conditions Discovered</w:t>
      </w:r>
    </w:p>
    <w:p>
      <w:pPr>
        <w:spacing w:after="240"/>
      </w:pPr>
      <w:r>
        <w:t xml:space="preserve">Upon commencing work, I discovered conditions far exceeding routine disorganization. The assignment has evolved into forensic reconstruction of personnel records from scattered digital and physical sources, addressing systemic compliance failures spanning multiple years, and managing substantial regulatory exposure requiring immediate legal counsel coordination.</w:t>
      </w:r>
    </w:p>
    <w:p>
      <w:r>
        <w:br w:type="page"/>
      </w:r>
    </w:p>
    <w:p>
      <w:pPr>
        <w:pStyle w:val="Heading1"/>
      </w:pPr>
      <w:r>
        <w:t xml:space="preserve">II. DETAILED FINDINGS</w:t>
      </w:r>
    </w:p>
    <w:p>
      <w:pPr>
        <w:pStyle w:val="Heading2"/>
      </w:pPr>
      <w:r>
        <w:t xml:space="preserve">A. CRITICAL: Form I-9 Employment Verification</w:t>
      </w:r>
    </w:p>
    <w:p>
      <w:pPr>
        <w:pStyle w:val="Heading3"/>
      </w:pPr>
      <w:r>
        <w:t xml:space="preserve">1. Missing and Incomplete I-9 Forms</w:t>
      </w:r>
    </w:p>
    <w:p>
      <w:pPr>
        <w:spacing w:after="120"/>
      </w:pPr>
      <w:r>
        <w:rPr>
          <w:b/>
          <w:bCs/>
        </w:rPr>
        <w:t xml:space="preserve">Statutory Authority: </w:t>
      </w:r>
      <w:r>
        <w:t xml:space="preserve">8 USC § 1324a; 8 CFR § 274a.2</w:t>
      </w:r>
    </w:p>
    <w:p>
      <w:pPr>
        <w:spacing w:after="240"/>
      </w:pPr>
      <w:r>
        <w:rPr>
          <w:b/>
          <w:bCs/>
        </w:rPr>
        <w:t xml:space="preserve">Findings:</w:t>
      </w:r>
    </w:p>
    <w:p>
      <w:pPr>
        <w:spacing w:after="120"/>
      </w:pPr>
      <w:r>
        <w:t xml:space="preserve">• Multiple employees have missing Form I-9s entirely</w:t>
      </w:r>
    </w:p>
    <w:p>
      <w:pPr>
        <w:spacing w:after="120"/>
      </w:pPr>
      <w:r>
        <w:t xml:space="preserve">• Numerous I-9s are incomplete (missing Section 2 employer verification)</w:t>
      </w:r>
    </w:p>
    <w:p>
      <w:pPr>
        <w:spacing w:after="120"/>
      </w:pPr>
      <w:r>
        <w:t xml:space="preserve">• Several I-9s lack proper supporting documentation</w:t>
      </w:r>
    </w:p>
    <w:p>
      <w:pPr>
        <w:spacing w:after="120"/>
      </w:pPr>
      <w:r>
        <w:t xml:space="preserve">• Forms are commingled with general personnel files (non-compliant with USCIS guidance)</w:t>
      </w:r>
    </w:p>
    <w:p>
      <w:pPr>
        <w:spacing w:after="240"/>
      </w:pPr>
      <w:r>
        <w:t xml:space="preserve">• No systematic tracking or audit trail for I-9 completion</w:t>
      </w:r>
    </w:p>
    <w:p>
      <w:pPr>
        <w:spacing w:after="240"/>
      </w:pPr>
      <w:r>
        <w:rPr>
          <w:b/>
          <w:bCs/>
        </w:rPr>
        <w:t xml:space="preserve">Penalty Exposure (8 USC § 1324a(e); 8 CFR § 274a.10):</w:t>
      </w:r>
    </w:p>
    <w:p>
      <w:pPr>
        <w:spacing w:after="120"/>
      </w:pPr>
      <w:r>
        <w:rPr>
          <w:b/>
          <w:bCs/>
        </w:rPr>
        <w:t xml:space="preserve">• Paperwork violations: </w:t>
      </w:r>
      <w:r>
        <w:t xml:space="preserve">$272 to $2,507 per violation (2025 adjusted rates)</w:t>
      </w:r>
    </w:p>
    <w:p>
      <w:pPr>
        <w:spacing w:after="120"/>
      </w:pPr>
      <w:r>
        <w:rPr>
          <w:b/>
          <w:bCs/>
        </w:rPr>
        <w:t xml:space="preserve">• Knowing hire violations: </w:t>
      </w:r>
      <w:r>
        <w:t xml:space="preserve">$2,507 to $25,076 per violation</w:t>
      </w:r>
    </w:p>
    <w:p>
      <w:pPr>
        <w:spacing w:after="240"/>
      </w:pPr>
      <w:r>
        <w:rPr>
          <w:b/>
          <w:bCs/>
        </w:rPr>
        <w:t xml:space="preserve">• Pattern/practice finding: </w:t>
      </w:r>
      <w:r>
        <w:t xml:space="preserve">Up to 3-year debarment from federal contracts</w:t>
      </w:r>
    </w:p>
    <w:p>
      <w:pPr>
        <w:spacing w:after="120"/>
      </w:pPr>
      <w:r>
        <w:rPr>
          <w:b/>
          <w:bCs/>
        </w:rPr>
        <w:t xml:space="preserve">Conservative Estimate (47 employees): </w:t>
      </w:r>
      <w:r>
        <w:t xml:space="preserve">$12,784 to $117,829 minimum exposure if all forms deficient</w:t>
      </w:r>
    </w:p>
    <w:p>
      <w:pPr>
        <w:pStyle w:val="Heading3"/>
      </w:pPr>
      <w:r>
        <w:t xml:space="preserve">2. E-Verify Memorandum of Understanding (MOU) Abandonment</w:t>
      </w:r>
    </w:p>
    <w:p>
      <w:pPr>
        <w:spacing w:after="120"/>
      </w:pPr>
      <w:r>
        <w:rPr>
          <w:b/>
          <w:bCs/>
          <w:color w:val="C00000"/>
        </w:rPr>
        <w:t xml:space="preserve">Critical Discovery: </w:t>
      </w:r>
      <w:r>
        <w:rPr>
          <w:color w:val="C00000"/>
        </w:rPr>
        <w:t xml:space="preserve">Employer has active E-Verify MOU with USCIS but has not conducted verifications since 2022.</w:t>
      </w:r>
    </w:p>
    <w:p>
      <w:pPr>
        <w:spacing w:after="240"/>
      </w:pPr>
      <w:r>
        <w:rPr>
          <w:b/>
          <w:bCs/>
        </w:rPr>
        <w:t xml:space="preserve">Implications:</w:t>
      </w:r>
    </w:p>
    <w:p>
      <w:pPr>
        <w:spacing w:after="120"/>
      </w:pPr>
      <w:r>
        <w:t xml:space="preserve">• Material breach of E-Verify MOU agreement</w:t>
      </w:r>
    </w:p>
    <w:p>
      <w:pPr>
        <w:spacing w:after="120"/>
      </w:pPr>
      <w:r>
        <w:t xml:space="preserve">• All employees hired 2023-present lack required E-Verify verification</w:t>
      </w:r>
    </w:p>
    <w:p>
      <w:pPr>
        <w:spacing w:after="120"/>
      </w:pPr>
      <w:r>
        <w:t xml:space="preserve">• Potential suspension/termination of E-Verify access</w:t>
      </w:r>
    </w:p>
    <w:p>
      <w:pPr>
        <w:spacing w:after="120"/>
      </w:pPr>
      <w:r>
        <w:t xml:space="preserve">• Enhanced ICE audit risk due to MOU non-compliance</w:t>
      </w:r>
    </w:p>
    <w:p>
      <w:pPr>
        <w:spacing w:after="240"/>
      </w:pPr>
      <w:r>
        <w:t xml:space="preserve">• Retroactive verification may not be permitted under program rules</w:t>
      </w:r>
    </w:p>
    <w:p>
      <w:pPr>
        <w:spacing w:after="120"/>
      </w:pPr>
      <w:r>
        <w:rPr>
          <w:b/>
          <w:bCs/>
        </w:rPr>
        <w:t xml:space="preserve">Recommended Action: </w:t>
      </w:r>
      <w:r>
        <w:t xml:space="preserve">Immediate consultation with immigration counsel required</w:t>
      </w:r>
    </w:p>
    <w:p>
      <w:r>
        <w:br w:type="page"/>
      </w:r>
    </w:p>
    <w:p>
      <w:pPr>
        <w:pStyle w:val="Heading2"/>
      </w:pPr>
      <w:r>
        <w:t xml:space="preserve">B. CRITICAL: Confidential Information Security Failures</w:t>
      </w:r>
    </w:p>
    <w:p>
      <w:pPr>
        <w:pStyle w:val="Heading3"/>
      </w:pPr>
      <w:r>
        <w:t xml:space="preserve">1. Medical Records and ADA Violations</w:t>
      </w:r>
    </w:p>
    <w:p>
      <w:pPr>
        <w:spacing w:after="120"/>
      </w:pPr>
      <w:r>
        <w:rPr>
          <w:b/>
          <w:bCs/>
        </w:rPr>
        <w:t xml:space="preserve">Statutory Authority: </w:t>
      </w:r>
      <w:r>
        <w:t xml:space="preserve">42 USC § 12112(d)(3)(B); 29 CFR § 1630.14; California CMIA (Cal. Civ. Code §§ 56-56.37)</w:t>
      </w:r>
    </w:p>
    <w:p>
      <w:pPr>
        <w:spacing w:after="240"/>
      </w:pPr>
      <w:r>
        <w:rPr>
          <w:b/>
          <w:bCs/>
        </w:rPr>
        <w:t xml:space="preserve">Findings:</w:t>
      </w:r>
    </w:p>
    <w:p>
      <w:pPr>
        <w:spacing w:after="120"/>
      </w:pPr>
      <w:r>
        <w:t xml:space="preserve">• Medical forms commingled with general personnel files (direct ADA violation)</w:t>
      </w:r>
    </w:p>
    <w:p>
      <w:pPr>
        <w:spacing w:after="120"/>
      </w:pPr>
      <w:r>
        <w:t xml:space="preserve">• FMLA medical certifications accessible in unlocked cabinets</w:t>
      </w:r>
    </w:p>
    <w:p>
      <w:pPr>
        <w:spacing w:after="120"/>
      </w:pPr>
      <w:r>
        <w:t xml:space="preserve">• Workers' compensation medical records not segregated</w:t>
      </w:r>
    </w:p>
    <w:p>
      <w:pPr>
        <w:spacing w:after="120"/>
      </w:pPr>
      <w:r>
        <w:t xml:space="preserve">• Disability accommodation documentation stored with performance reviews</w:t>
      </w:r>
    </w:p>
    <w:p>
      <w:pPr>
        <w:spacing w:after="240"/>
      </w:pPr>
      <w:r>
        <w:t xml:space="preserve">• No access controls limiting medical information to authorized personnel</w:t>
      </w:r>
    </w:p>
    <w:p>
      <w:pPr>
        <w:spacing w:after="240"/>
      </w:pPr>
      <w:r>
        <w:rPr>
          <w:b/>
          <w:bCs/>
        </w:rPr>
        <w:t xml:space="preserve">Penalty Exposure:</w:t>
      </w:r>
    </w:p>
    <w:p>
      <w:pPr>
        <w:spacing w:after="120"/>
      </w:pPr>
      <w:r>
        <w:rPr>
          <w:b/>
          <w:bCs/>
        </w:rPr>
        <w:t xml:space="preserve">• ADA violations: </w:t>
      </w:r>
      <w:r>
        <w:t xml:space="preserve">Compensatory and punitive damages per affected employee, plus attorney's fees</w:t>
      </w:r>
    </w:p>
    <w:p>
      <w:pPr>
        <w:spacing w:after="120"/>
      </w:pPr>
      <w:r>
        <w:rPr>
          <w:b/>
          <w:bCs/>
        </w:rPr>
        <w:t xml:space="preserve">• CMIA violations: </w:t>
      </w:r>
      <w:r>
        <w:t xml:space="preserve">Up to $25,000 per violation + $1,000 nominal damages per employee + actual damages</w:t>
      </w:r>
    </w:p>
    <w:p>
      <w:pPr>
        <w:spacing w:after="240"/>
      </w:pPr>
      <w:r>
        <w:rPr>
          <w:b/>
          <w:bCs/>
        </w:rPr>
        <w:t xml:space="preserve">• EEOC complaint exposure: </w:t>
      </w:r>
      <w:r>
        <w:t xml:space="preserve">Any affected employee can file discrimination complaint alleging medical information bias</w:t>
      </w:r>
    </w:p>
    <w:p>
      <w:pPr>
        <w:pStyle w:val="Heading3"/>
      </w:pPr>
      <w:r>
        <w:t xml:space="preserve">2. Personally Identifiable Information (PII) Exposure</w:t>
      </w:r>
    </w:p>
    <w:p>
      <w:pPr>
        <w:spacing w:after="240"/>
      </w:pPr>
      <w:r>
        <w:rPr>
          <w:b/>
          <w:bCs/>
        </w:rPr>
        <w:t xml:space="preserve">Findings:</w:t>
      </w:r>
    </w:p>
    <w:p>
      <w:pPr>
        <w:spacing w:after="120"/>
      </w:pPr>
      <w:r>
        <w:rPr>
          <w:b/>
          <w:bCs/>
        </w:rPr>
        <w:t xml:space="preserve">Copies of government-issued documents stored unsecured:</w:t>
      </w:r>
    </w:p>
    <w:p>
      <w:pPr>
        <w:spacing w:after="120"/>
      </w:pPr>
      <w:r>
        <w:t xml:space="preserve">   • Full Social Security cards (original and photocopies)</w:t>
      </w:r>
    </w:p>
    <w:p>
      <w:pPr>
        <w:spacing w:after="120"/>
      </w:pPr>
      <w:r>
        <w:t xml:space="preserve">   • Passport copies with full passport numbers</w:t>
      </w:r>
    </w:p>
    <w:p>
      <w:pPr>
        <w:spacing w:after="120"/>
      </w:pPr>
      <w:r>
        <w:t xml:space="preserve">   • Driver's license copies</w:t>
      </w:r>
    </w:p>
    <w:p>
      <w:pPr>
        <w:spacing w:after="120"/>
      </w:pPr>
      <w:r>
        <w:t xml:space="preserve">   • Birth certificates</w:t>
      </w:r>
    </w:p>
    <w:p>
      <w:pPr>
        <w:spacing w:after="120" w:before="240"/>
      </w:pPr>
      <w:r>
        <w:rPr>
          <w:b/>
          <w:bCs/>
        </w:rPr>
        <w:t xml:space="preserve">Wage and financial information unsecured:</w:t>
      </w:r>
    </w:p>
    <w:p>
      <w:pPr>
        <w:spacing w:after="120"/>
      </w:pPr>
      <w:r>
        <w:t xml:space="preserve">   • Salary history as loose papers in unlocked cabinets</w:t>
      </w:r>
    </w:p>
    <w:p>
      <w:pPr>
        <w:spacing w:after="120"/>
      </w:pPr>
      <w:r>
        <w:t xml:space="preserve">   • Bank account information for direct deposit</w:t>
      </w:r>
    </w:p>
    <w:p>
      <w:pPr>
        <w:spacing w:after="240"/>
      </w:pPr>
      <w:r>
        <w:t xml:space="preserve">   • Tax withholding forms with full SSNs visible</w:t>
      </w:r>
    </w:p>
    <w:p>
      <w:pPr>
        <w:spacing w:after="240"/>
      </w:pPr>
      <w:r>
        <w:rPr>
          <w:b/>
          <w:bCs/>
          <w:color w:val="C00000"/>
        </w:rPr>
        <w:t xml:space="preserve">Identity Theft Risk: </w:t>
      </w:r>
      <w:r>
        <w:rPr>
          <w:color w:val="C00000"/>
        </w:rPr>
        <w:t xml:space="preserve">The current storage conditions create substantial identity theft liability exposure. If breach occurs, employer faces mandatory breach notification obligations under California Civil Code § 1798.82 and potential class action litigation.</w:t>
      </w:r>
    </w:p>
    <w:p>
      <w:r>
        <w:br w:type="page"/>
      </w:r>
    </w:p>
    <w:p>
      <w:pPr>
        <w:pStyle w:val="Heading2"/>
      </w:pPr>
      <w:r>
        <w:t xml:space="preserve">C. CRITICAL: ERISA and 401(k) Compliance Failure</w:t>
      </w:r>
    </w:p>
    <w:p>
      <w:pPr>
        <w:spacing w:after="120"/>
      </w:pPr>
      <w:r>
        <w:rPr>
          <w:b/>
          <w:bCs/>
        </w:rPr>
        <w:t xml:space="preserve">Statutory Authority: </w:t>
      </w:r>
      <w:r>
        <w:t xml:space="preserve">29 USC §§ 1001-1461 (ERISA); 26 IRC § 401 (Internal Revenue Code)</w:t>
      </w:r>
    </w:p>
    <w:p>
      <w:pPr>
        <w:spacing w:after="240"/>
      </w:pPr>
      <w:r>
        <w:rPr>
          <w:b/>
          <w:bCs/>
          <w:color w:val="C00000"/>
        </w:rPr>
        <w:t xml:space="preserve">Critical Discovery: </w:t>
      </w:r>
      <w:r>
        <w:rPr>
          <w:color w:val="C00000"/>
        </w:rPr>
        <w:t xml:space="preserve">401(k) hours have not been reported to plan administrator since June 19, 2022.</w:t>
      </w:r>
    </w:p>
    <w:p>
      <w:pPr>
        <w:spacing w:after="240"/>
      </w:pPr>
      <w:r>
        <w:rPr>
          <w:b/>
          <w:bCs/>
        </w:rPr>
        <w:t xml:space="preserve">Implications:</w:t>
      </w:r>
    </w:p>
    <w:p>
      <w:pPr>
        <w:spacing w:after="120"/>
      </w:pPr>
      <w:r>
        <w:t xml:space="preserve">• 2.5+ years of unreported employee hours = eligibility calculation failures</w:t>
      </w:r>
    </w:p>
    <w:p>
      <w:pPr>
        <w:spacing w:after="120"/>
      </w:pPr>
      <w:r>
        <w:t xml:space="preserve">• Employees may be improperly excluded from plan participation</w:t>
      </w:r>
    </w:p>
    <w:p>
      <w:pPr>
        <w:spacing w:after="120"/>
      </w:pPr>
      <w:r>
        <w:t xml:space="preserve">• Employer matching contributions may be miscalculated or missing</w:t>
      </w:r>
    </w:p>
    <w:p>
      <w:pPr>
        <w:spacing w:after="120"/>
      </w:pPr>
      <w:r>
        <w:t xml:space="preserve">• Vesting schedules cannot be accurately determined</w:t>
      </w:r>
    </w:p>
    <w:p>
      <w:pPr>
        <w:spacing w:after="240"/>
      </w:pPr>
      <w:r>
        <w:t xml:space="preserve">• Plan administrator may be operating on inaccurate participant data</w:t>
      </w:r>
    </w:p>
    <w:p>
      <w:pPr>
        <w:spacing w:after="240"/>
      </w:pPr>
      <w:r>
        <w:rPr>
          <w:b/>
          <w:bCs/>
        </w:rPr>
        <w:t xml:space="preserve">ERISA Fiduciary Breach:</w:t>
      </w:r>
    </w:p>
    <w:p>
      <w:pPr>
        <w:spacing w:after="240"/>
      </w:pPr>
      <w:r>
        <w:t xml:space="preserve">Failure to remit required data to plan administrator constitutes potential breach of fiduciary duty under ERISA § 404(a). Company leadership may face personal liability for losses to plan participants resulting from reporting failures.</w:t>
      </w:r>
    </w:p>
    <w:p>
      <w:pPr>
        <w:spacing w:after="240"/>
      </w:pPr>
      <w:r>
        <w:rPr>
          <w:b/>
          <w:bCs/>
        </w:rPr>
        <w:t xml:space="preserve">Penalty Exposure:</w:t>
      </w:r>
    </w:p>
    <w:p>
      <w:pPr>
        <w:spacing w:after="120"/>
      </w:pPr>
      <w:r>
        <w:rPr>
          <w:b/>
          <w:bCs/>
        </w:rPr>
        <w:t xml:space="preserve">• DOL penalties: </w:t>
      </w:r>
      <w:r>
        <w:t xml:space="preserve">Up to $2,586 per day for late Form 5500 filing</w:t>
      </w:r>
    </w:p>
    <w:p>
      <w:pPr>
        <w:spacing w:after="120"/>
      </w:pPr>
      <w:r>
        <w:rPr>
          <w:b/>
          <w:bCs/>
        </w:rPr>
        <w:t xml:space="preserve">• IRS penalties: </w:t>
      </w:r>
      <w:r>
        <w:t xml:space="preserve">Plan disqualification risk if operational failures not corrected</w:t>
      </w:r>
    </w:p>
    <w:p>
      <w:pPr>
        <w:spacing w:after="120"/>
      </w:pPr>
      <w:r>
        <w:rPr>
          <w:b/>
          <w:bCs/>
        </w:rPr>
        <w:t xml:space="preserve">• Participant lawsuits: </w:t>
      </w:r>
      <w:r>
        <w:t xml:space="preserve">Class action exposure for lost earnings/employer match</w:t>
      </w:r>
    </w:p>
    <w:p>
      <w:pPr>
        <w:spacing w:after="240"/>
      </w:pPr>
      <w:r>
        <w:rPr>
          <w:b/>
          <w:bCs/>
        </w:rPr>
        <w:t xml:space="preserve">• Fiduciary liability: </w:t>
      </w:r>
      <w:r>
        <w:t xml:space="preserve">Personal liability for company officers acting as fiduciaries</w:t>
      </w:r>
    </w:p>
    <w:p>
      <w:pPr>
        <w:spacing w:after="120"/>
      </w:pPr>
      <w:r>
        <w:rPr>
          <w:b/>
          <w:bCs/>
          <w:color w:val="C00000"/>
        </w:rPr>
        <w:t xml:space="preserve">Mandatory Reporting: </w:t>
      </w:r>
      <w:r>
        <w:rPr>
          <w:color w:val="C00000"/>
        </w:rPr>
        <w:t xml:space="preserve">ERISA requires reporting operational failures to DOL. Voluntary Correction Program (VCP) may be available to mitigate penalties if self-reported promptly.</w:t>
      </w:r>
    </w:p>
    <w:p>
      <w:r>
        <w:br w:type="page"/>
      </w:r>
    </w:p>
    <w:p>
      <w:pPr>
        <w:pStyle w:val="Heading2"/>
      </w:pPr>
      <w:r>
        <w:t xml:space="preserve">D. HIGH: California Tax Withholding Violations</w:t>
      </w:r>
    </w:p>
    <w:p>
      <w:pPr>
        <w:spacing w:after="120"/>
      </w:pPr>
      <w:r>
        <w:rPr>
          <w:b/>
          <w:bCs/>
        </w:rPr>
        <w:t xml:space="preserve">Statutory Authority: </w:t>
      </w:r>
      <w:r>
        <w:t xml:space="preserve">26 IRC § 3402 (Federal W-4); California Revenue &amp; Tax Code (State DE-4)</w:t>
      </w:r>
    </w:p>
    <w:p>
      <w:pPr>
        <w:spacing w:after="240"/>
      </w:pPr>
      <w:r>
        <w:rPr>
          <w:b/>
          <w:bCs/>
        </w:rPr>
        <w:t xml:space="preserve">Findings:</w:t>
      </w:r>
    </w:p>
    <w:p>
      <w:pPr>
        <w:spacing w:after="120"/>
      </w:pPr>
      <w:r>
        <w:t xml:space="preserve">• Multiple employees missing Form W-4 (federal tax withholding)</w:t>
      </w:r>
    </w:p>
    <w:p>
      <w:pPr>
        <w:spacing w:after="120"/>
      </w:pPr>
      <w:r>
        <w:t xml:space="preserve">• Majority of employees missing Form DE-4 (California state withholding)</w:t>
      </w:r>
    </w:p>
    <w:p>
      <w:pPr>
        <w:spacing w:after="120"/>
      </w:pPr>
      <w:r>
        <w:t xml:space="preserve">• Payroll processing DE-4s without signed employee authorization on file</w:t>
      </w:r>
    </w:p>
    <w:p>
      <w:pPr>
        <w:spacing w:after="240"/>
      </w:pPr>
      <w:r>
        <w:t xml:space="preserve">• No verification protocol to ensure withholding elections match employee directives</w:t>
      </w:r>
    </w:p>
    <w:p>
      <w:pPr>
        <w:spacing w:after="240"/>
      </w:pPr>
      <w:r>
        <w:rPr>
          <w:b/>
          <w:bCs/>
        </w:rPr>
        <w:t xml:space="preserve">Implications:</w:t>
      </w:r>
    </w:p>
    <w:p>
      <w:pPr>
        <w:spacing w:after="120"/>
      </w:pPr>
      <w:r>
        <w:rPr>
          <w:b/>
          <w:bCs/>
        </w:rPr>
        <w:t xml:space="preserve">• IRS Audit Risk: </w:t>
      </w:r>
      <w:r>
        <w:t xml:space="preserve">Missing W-4s trigger presumption of single/zero withholding; under-withholding creates employer liability</w:t>
      </w:r>
    </w:p>
    <w:p>
      <w:pPr>
        <w:spacing w:after="120"/>
      </w:pPr>
      <w:r>
        <w:rPr>
          <w:b/>
          <w:bCs/>
        </w:rPr>
        <w:t xml:space="preserve">• Employee Tax Liability: </w:t>
      </w:r>
      <w:r>
        <w:t xml:space="preserve">Employees may face unexpected tax bills due to incorrect withholding</w:t>
      </w:r>
    </w:p>
    <w:p>
      <w:pPr>
        <w:spacing w:after="120"/>
      </w:pPr>
      <w:r>
        <w:rPr>
          <w:b/>
          <w:bCs/>
        </w:rPr>
        <w:t xml:space="preserve">• Employer Penalties: </w:t>
      </w:r>
      <w:r>
        <w:t xml:space="preserve">Failure to maintain W-4/DE-4 records = penalties under 26 CFR § 31.6001-1</w:t>
      </w:r>
    </w:p>
    <w:p>
      <w:pPr>
        <w:spacing w:after="240"/>
      </w:pPr>
      <w:r>
        <w:rPr>
          <w:b/>
          <w:bCs/>
        </w:rPr>
        <w:t xml:space="preserve">• Franchise Tax Board Action: </w:t>
      </w:r>
      <w:r>
        <w:t xml:space="preserve">California FTB can assess penalties for missing DE-4s and audit withholding accuracy</w:t>
      </w:r>
    </w:p>
    <w:p>
      <w:r>
        <w:br w:type="page"/>
      </w:r>
    </w:p>
    <w:p>
      <w:pPr>
        <w:pStyle w:val="Heading2"/>
      </w:pPr>
      <w:r>
        <w:t xml:space="preserve">E. HIGH: Harassment Prevention Training Non-Compliance</w:t>
      </w:r>
    </w:p>
    <w:p>
      <w:pPr>
        <w:spacing w:after="120"/>
      </w:pPr>
      <w:r>
        <w:rPr>
          <w:b/>
          <w:bCs/>
        </w:rPr>
        <w:t xml:space="preserve">Statutory Authority: </w:t>
      </w:r>
      <w:r>
        <w:t xml:space="preserve">Cal. Gov. Code § 12950.1 (FEHA)</w:t>
      </w:r>
    </w:p>
    <w:p>
      <w:pPr>
        <w:spacing w:after="240"/>
      </w:pPr>
      <w:r>
        <w:rPr>
          <w:b/>
          <w:bCs/>
        </w:rPr>
        <w:t xml:space="preserve">Findings:</w:t>
      </w:r>
    </w:p>
    <w:p>
      <w:pPr>
        <w:spacing w:after="120"/>
      </w:pPr>
      <w:r>
        <w:t xml:space="preserve">• Harassment prevention program never properly implemented</w:t>
      </w:r>
    </w:p>
    <w:p>
      <w:pPr>
        <w:spacing w:after="120"/>
      </w:pPr>
      <w:r>
        <w:t xml:space="preserve">• Most employees have not received mandatory training</w:t>
      </w:r>
    </w:p>
    <w:p>
      <w:pPr>
        <w:spacing w:after="120"/>
      </w:pPr>
      <w:r>
        <w:t xml:space="preserve">• No training certificates or completion records maintained</w:t>
      </w:r>
    </w:p>
    <w:p>
      <w:pPr>
        <w:spacing w:after="120"/>
      </w:pPr>
      <w:r>
        <w:t xml:space="preserve">• Supervisory employees lack required 2-hour training</w:t>
      </w:r>
    </w:p>
    <w:p>
      <w:pPr>
        <w:spacing w:after="240"/>
      </w:pPr>
      <w:r>
        <w:t xml:space="preserve">• No policy prohibiting harassment/discrimination distributed to employees</w:t>
      </w:r>
    </w:p>
    <w:p>
      <w:pPr>
        <w:spacing w:after="240"/>
      </w:pPr>
      <w:r>
        <w:rPr>
          <w:b/>
          <w:bCs/>
        </w:rPr>
        <w:t xml:space="preserve">Requirements for 47-Employee Company:</w:t>
      </w:r>
    </w:p>
    <w:p>
      <w:pPr>
        <w:spacing w:after="120"/>
      </w:pPr>
      <w:r>
        <w:rPr>
          <w:b/>
          <w:bCs/>
        </w:rPr>
        <w:t xml:space="preserve">• All employees: </w:t>
      </w:r>
      <w:r>
        <w:t xml:space="preserve">1-hour harassment prevention training within 6 months of hire, every 2 years thereafter</w:t>
      </w:r>
    </w:p>
    <w:p>
      <w:pPr>
        <w:spacing w:after="120"/>
      </w:pPr>
      <w:r>
        <w:rPr>
          <w:b/>
          <w:bCs/>
        </w:rPr>
        <w:t xml:space="preserve">• Supervisory employees: </w:t>
      </w:r>
      <w:r>
        <w:t xml:space="preserve">2-hour harassment prevention training within 6 months of assuming supervisory role</w:t>
      </w:r>
    </w:p>
    <w:p>
      <w:pPr>
        <w:spacing w:after="240"/>
      </w:pPr>
      <w:r>
        <w:rPr>
          <w:b/>
          <w:bCs/>
        </w:rPr>
        <w:t xml:space="preserve">• Records retention: </w:t>
      </w:r>
      <w:r>
        <w:t xml:space="preserve">Training records must be maintained and available for DFEH inspection (4 years recommended)</w:t>
      </w:r>
    </w:p>
    <w:p>
      <w:pPr>
        <w:spacing w:after="240"/>
      </w:pPr>
      <w:r>
        <w:rPr>
          <w:b/>
          <w:bCs/>
        </w:rPr>
        <w:t xml:space="preserve">Penalty Exposure:</w:t>
      </w:r>
    </w:p>
    <w:p>
      <w:pPr>
        <w:spacing w:after="120"/>
      </w:pPr>
      <w:r>
        <w:rPr>
          <w:b/>
          <w:bCs/>
        </w:rPr>
        <w:t xml:space="preserve">• DFEH enforcement: </w:t>
      </w:r>
      <w:r>
        <w:t xml:space="preserve">While no direct fine for non-training, creates liability enhancement in harassment claims</w:t>
      </w:r>
    </w:p>
    <w:p>
      <w:pPr>
        <w:spacing w:after="120"/>
      </w:pPr>
      <w:r>
        <w:rPr>
          <w:b/>
          <w:bCs/>
        </w:rPr>
        <w:t xml:space="preserve">• Damages multiplier: </w:t>
      </w:r>
      <w:r>
        <w:t xml:space="preserve">Failure to train evidences deliberate indifference, supporting punitive damages</w:t>
      </w:r>
    </w:p>
    <w:p>
      <w:pPr>
        <w:spacing w:after="240"/>
      </w:pPr>
      <w:r>
        <w:rPr>
          <w:b/>
          <w:bCs/>
        </w:rPr>
        <w:t xml:space="preserve">• Attorney's fees: </w:t>
      </w:r>
      <w:r>
        <w:t xml:space="preserve">Prevailing plaintiffs recover fees; non-compliance weakens employer defense</w:t>
      </w:r>
    </w:p>
    <w:p>
      <w:r>
        <w:br w:type="page"/>
      </w:r>
    </w:p>
    <w:p>
      <w:pPr>
        <w:pStyle w:val="Heading2"/>
      </w:pPr>
      <w:r>
        <w:t xml:space="preserve">F. Moderate: Personnel File Disorganization</w:t>
      </w:r>
    </w:p>
    <w:p>
      <w:pPr>
        <w:spacing w:after="240"/>
      </w:pPr>
      <w:r>
        <w:rPr>
          <w:b/>
          <w:bCs/>
        </w:rPr>
        <w:t xml:space="preserve">Findings:</w:t>
      </w:r>
    </w:p>
    <w:p>
      <w:pPr>
        <w:spacing w:after="120"/>
      </w:pPr>
      <w:r>
        <w:t xml:space="preserve">• Applications for employment missing for majority of employees</w:t>
      </w:r>
    </w:p>
    <w:p>
      <w:pPr>
        <w:spacing w:after="120"/>
      </w:pPr>
      <w:r>
        <w:t xml:space="preserve">• Recruitment files incomplete or non-existent</w:t>
      </w:r>
    </w:p>
    <w:p>
      <w:pPr>
        <w:spacing w:after="120"/>
      </w:pPr>
      <w:r>
        <w:t xml:space="preserve">• Personnel folders incomplete, missing critical onboarding documents</w:t>
      </w:r>
    </w:p>
    <w:p>
      <w:pPr>
        <w:spacing w:after="120"/>
      </w:pPr>
      <w:r>
        <w:t xml:space="preserve">• Confidential files commingled with general employment records</w:t>
      </w:r>
    </w:p>
    <w:p>
      <w:pPr>
        <w:spacing w:after="120"/>
      </w:pPr>
      <w:r>
        <w:t xml:space="preserve">• No systematic file organization or indexing</w:t>
      </w:r>
    </w:p>
    <w:p>
      <w:pPr>
        <w:spacing w:after="240"/>
      </w:pPr>
      <w:r>
        <w:t xml:space="preserve">• Records scattered across multiple physical and digital locations</w:t>
      </w:r>
    </w:p>
    <w:p>
      <w:pPr>
        <w:spacing w:after="240"/>
      </w:pPr>
      <w:r>
        <w:rPr>
          <w:b/>
          <w:bCs/>
        </w:rPr>
        <w:t xml:space="preserve">Implications:</w:t>
      </w:r>
    </w:p>
    <w:p>
      <w:pPr>
        <w:spacing w:after="120"/>
      </w:pPr>
      <w:r>
        <w:rPr>
          <w:b/>
          <w:bCs/>
        </w:rPr>
        <w:t xml:space="preserve">• EEOC audit risk: </w:t>
      </w:r>
      <w:r>
        <w:t xml:space="preserve">Missing applications defeat ability to demonstrate non-discriminatory hiring (Title VII, ADA, ADEA)</w:t>
      </w:r>
    </w:p>
    <w:p>
      <w:pPr>
        <w:spacing w:after="120"/>
      </w:pPr>
      <w:r>
        <w:rPr>
          <w:b/>
          <w:bCs/>
        </w:rPr>
        <w:t xml:space="preserve">• Employee inspection requests: </w:t>
      </w:r>
      <w:r>
        <w:t xml:space="preserve">Cannot comply with Cal. Lab. Code § 1198.5 30-day deadline without file reconstruction</w:t>
      </w:r>
    </w:p>
    <w:p>
      <w:pPr>
        <w:spacing w:after="120"/>
      </w:pPr>
      <w:r>
        <w:rPr>
          <w:b/>
          <w:bCs/>
        </w:rPr>
        <w:t xml:space="preserve">• Litigation exposure: </w:t>
      </w:r>
      <w:r>
        <w:t xml:space="preserve">Missing documentation creates adverse inferences in employment disputes</w:t>
      </w:r>
    </w:p>
    <w:p>
      <w:pPr>
        <w:spacing w:after="240"/>
      </w:pPr>
      <w:r>
        <w:rPr>
          <w:b/>
          <w:bCs/>
        </w:rPr>
        <w:t xml:space="preserve">• SB 513 compliance: </w:t>
      </w:r>
      <w:r>
        <w:t xml:space="preserve">Training records lack required metadata (effective 1/1/2026); $750 penalty per violation</w:t>
      </w:r>
    </w:p>
    <w:p>
      <w:r>
        <w:br w:type="page"/>
      </w:r>
    </w:p>
    <w:p>
      <w:pPr>
        <w:pStyle w:val="Heading1"/>
      </w:pPr>
      <w:r>
        <w:t xml:space="preserve">III. ASSIGNMENT SCOPE EXPANSION AND CONCERNS</w:t>
      </w:r>
    </w:p>
    <w:p>
      <w:pPr>
        <w:pStyle w:val="Heading2"/>
      </w:pPr>
      <w:r>
        <w:t xml:space="preserve">A. Actual Work vs. Represented Assignment</w:t>
      </w:r>
    </w:p>
    <w:p>
      <w:pPr>
        <w:spacing w:after="240"/>
      </w:pPr>
      <w:r>
        <w:t xml:space="preserve">The assignment has significantly expanded beyond the represented scope:</w:t>
      </w:r>
    </w:p>
    <w:p>
      <w:pPr>
        <w:spacing w:after="120"/>
      </w:pPr>
      <w:r>
        <w:rPr>
          <w:b/>
          <w:bCs/>
        </w:rPr>
        <w:t xml:space="preserve">1. Forensic Records Reconstruction: </w:t>
      </w:r>
      <w:r>
        <w:t xml:space="preserve">Creating personnel files from scattered sources rather than organizing existing complete files</w:t>
      </w:r>
    </w:p>
    <w:p>
      <w:pPr>
        <w:spacing w:after="120"/>
      </w:pPr>
      <w:r>
        <w:rPr>
          <w:b/>
          <w:bCs/>
        </w:rPr>
        <w:t xml:space="preserve">2. Legal Counsel Coordination: </w:t>
      </w:r>
      <w:r>
        <w:t xml:space="preserve">Regular consultation with Mr. House (legal counsel) on matters with substantial penalty exposure</w:t>
      </w:r>
    </w:p>
    <w:p>
      <w:pPr>
        <w:spacing w:after="120"/>
      </w:pPr>
      <w:r>
        <w:rPr>
          <w:b/>
          <w:bCs/>
        </w:rPr>
        <w:t xml:space="preserve">3. Crisis Management: </w:t>
      </w:r>
      <w:r>
        <w:t xml:space="preserve">Managing multiple compliance emergencies simultaneously (I-9 violations, ERISA failures, medical privacy breaches)</w:t>
      </w:r>
    </w:p>
    <w:p>
      <w:pPr>
        <w:spacing w:after="120"/>
      </w:pPr>
      <w:r>
        <w:rPr>
          <w:b/>
          <w:bCs/>
        </w:rPr>
        <w:t xml:space="preserve">4. Complex Policy Implementation: </w:t>
      </w:r>
      <w:r>
        <w:t xml:space="preserve">Developing comprehensive frameworks for SB 513, 553, 294, 464 compliance rather than routine policy updates</w:t>
      </w:r>
    </w:p>
    <w:p>
      <w:pPr>
        <w:spacing w:after="240"/>
      </w:pPr>
      <w:r>
        <w:rPr>
          <w:b/>
          <w:bCs/>
        </w:rPr>
        <w:t xml:space="preserve">5. Remote I-9 Verification Protocols: </w:t>
      </w:r>
      <w:r>
        <w:t xml:space="preserve">Developing solutions for geographically distant new hires (Bakersfield area) without E-Verify capability</w:t>
      </w:r>
    </w:p>
    <w:p>
      <w:pPr>
        <w:pStyle w:val="Heading2"/>
      </w:pPr>
      <w:r>
        <w:t xml:space="preserve">B. Leadership Response Concerns</w:t>
      </w:r>
    </w:p>
    <w:p>
      <w:pPr>
        <w:spacing w:after="240"/>
      </w:pPr>
      <w:r>
        <w:rPr>
          <w:b/>
          <w:bCs/>
        </w:rPr>
        <w:t xml:space="preserve">While leadership is committed to repair, execution challenges persist:</w:t>
      </w:r>
    </w:p>
    <w:p>
      <w:pPr>
        <w:spacing w:after="120"/>
      </w:pPr>
      <w:r>
        <w:rPr>
          <w:b/>
          <w:bCs/>
        </w:rPr>
        <w:t xml:space="preserve">1. Excessive Pace: </w:t>
      </w:r>
      <w:r>
        <w:t xml:space="preserve">Pressure to implement corrections rapidly is creating additional errors and compliance gaps</w:t>
      </w:r>
    </w:p>
    <w:p>
      <w:pPr>
        <w:spacing w:after="120"/>
      </w:pPr>
      <w:r>
        <w:rPr>
          <w:b/>
          <w:bCs/>
        </w:rPr>
        <w:t xml:space="preserve">2. Insufficient Planning: </w:t>
      </w:r>
      <w:r>
        <w:t xml:space="preserve">Actions taken without adequate forethought or legal review</w:t>
      </w:r>
    </w:p>
    <w:p>
      <w:pPr>
        <w:spacing w:after="120"/>
      </w:pPr>
      <w:r>
        <w:rPr>
          <w:b/>
          <w:bCs/>
        </w:rPr>
        <w:t xml:space="preserve">3. Reactive vs. Strategic: </w:t>
      </w:r>
      <w:r>
        <w:t xml:space="preserve">Focus on immediate problem-solving without comprehensive compliance architecture</w:t>
      </w:r>
    </w:p>
    <w:p>
      <w:pPr>
        <w:spacing w:after="240"/>
      </w:pPr>
      <w:r>
        <w:rPr>
          <w:b/>
          <w:bCs/>
        </w:rPr>
        <w:t xml:space="preserve">4. Resource Constraints: </w:t>
      </w:r>
      <w:r>
        <w:t xml:space="preserve">Limited HR staffing creates dependency on interim resources for systemic overhaul</w:t>
      </w:r>
    </w:p>
    <w:p>
      <w:pPr>
        <w:pStyle w:val="Heading2"/>
      </w:pPr>
      <w:r>
        <w:t xml:space="preserve">C. Personal Liability Concerns</w:t>
      </w:r>
    </w:p>
    <w:p>
      <w:pPr>
        <w:spacing w:after="240"/>
      </w:pPr>
      <w:r>
        <w:t xml:space="preserve">As interim HR Manager, I am increasingly concerned about potential personal liability exposure:</w:t>
      </w:r>
    </w:p>
    <w:p>
      <w:pPr>
        <w:spacing w:after="120"/>
      </w:pPr>
      <w:r>
        <w:rPr>
          <w:b/>
          <w:bCs/>
        </w:rPr>
        <w:t xml:space="preserve">1. Knowledge of Violations: </w:t>
      </w:r>
      <w:r>
        <w:t xml:space="preserve">My documented discovery of ERISA, I-9, and medical privacy violations creates duty to ensure correction</w:t>
      </w:r>
    </w:p>
    <w:p>
      <w:pPr>
        <w:spacing w:after="120"/>
      </w:pPr>
      <w:r>
        <w:rPr>
          <w:b/>
          <w:bCs/>
        </w:rPr>
        <w:t xml:space="preserve">2. Professional Standards: </w:t>
      </w:r>
      <w:r>
        <w:t xml:space="preserve">As PhD-credentialed HR professional, I am held to higher standard than generalist interim placement</w:t>
      </w:r>
    </w:p>
    <w:p>
      <w:pPr>
        <w:spacing w:after="120"/>
      </w:pPr>
      <w:r>
        <w:rPr>
          <w:b/>
          <w:bCs/>
        </w:rPr>
        <w:t xml:space="preserve">3. Regulatory Reporting Obligations: </w:t>
      </w:r>
      <w:r>
        <w:t xml:space="preserve">Certain violations may trigger mandatory reporting requirements (see Section IV)</w:t>
      </w:r>
    </w:p>
    <w:p>
      <w:pPr>
        <w:spacing w:after="240"/>
      </w:pPr>
      <w:r>
        <w:rPr>
          <w:b/>
          <w:bCs/>
        </w:rPr>
        <w:t xml:space="preserve">4. Inadequate Authority: </w:t>
      </w:r>
      <w:r>
        <w:t xml:space="preserve">Interim status limits ability to compel necessary changes despite knowing about critical violations</w:t>
      </w:r>
    </w:p>
    <w:p>
      <w:r>
        <w:br w:type="page"/>
      </w:r>
    </w:p>
    <w:p>
      <w:pPr>
        <w:pStyle w:val="Heading1"/>
      </w:pPr>
      <w:r>
        <w:t xml:space="preserve">IV. RECOMMENDED IMMEDIATE ACTIONS</w:t>
      </w:r>
    </w:p>
    <w:p>
      <w:pPr>
        <w:pStyle w:val="Heading2"/>
      </w:pPr>
      <w:r>
        <w:t xml:space="preserve">A. For Robert Half</w:t>
      </w:r>
    </w:p>
    <w:p>
      <w:pPr>
        <w:spacing w:after="120"/>
      </w:pPr>
      <w:r>
        <w:rPr>
          <w:b/>
          <w:bCs/>
        </w:rPr>
        <w:t xml:space="preserve">1. Assignment Reclassification: </w:t>
      </w:r>
      <w:r>
        <w:t xml:space="preserve">This assignment should be reclassified from routine HR administration to crisis compliance management with commensurate rate adjustment</w:t>
      </w:r>
    </w:p>
    <w:p>
      <w:pPr>
        <w:spacing w:after="120"/>
      </w:pPr>
      <w:r>
        <w:rPr>
          <w:b/>
          <w:bCs/>
        </w:rPr>
        <w:t xml:space="preserve">2. Professional Liability Review: </w:t>
      </w:r>
      <w:r>
        <w:t xml:space="preserve">Consult with Robert Half's legal counsel regarding potential liability exposure for placement into assignment with undisclosed regulatory violations</w:t>
      </w:r>
    </w:p>
    <w:p>
      <w:pPr>
        <w:spacing w:after="120"/>
      </w:pPr>
      <w:r>
        <w:rPr>
          <w:b/>
          <w:bCs/>
        </w:rPr>
        <w:t xml:space="preserve">3. Scope Documentation: </w:t>
      </w:r>
      <w:r>
        <w:t xml:space="preserve">Formal amendment to assignment parameters documenting actual conditions and expanded responsibilities</w:t>
      </w:r>
    </w:p>
    <w:p>
      <w:pPr>
        <w:spacing w:after="240"/>
      </w:pPr>
      <w:r>
        <w:rPr>
          <w:b/>
          <w:bCs/>
        </w:rPr>
        <w:t xml:space="preserve">4. Client Communication: </w:t>
      </w:r>
      <w:r>
        <w:t xml:space="preserve">Direct discussion with Sapphos Environmental leadership regarding severity of findings and need for immediate specialized legal counsel engagement</w:t>
      </w:r>
    </w:p>
    <w:p>
      <w:pPr>
        <w:pStyle w:val="Heading2"/>
      </w:pPr>
      <w:r>
        <w:t xml:space="preserve">B. For Sapphos Environmental (via Robert Half)</w:t>
      </w:r>
    </w:p>
    <w:p>
      <w:pPr>
        <w:spacing w:after="120"/>
      </w:pPr>
      <w:r>
        <w:rPr>
          <w:b/>
          <w:bCs/>
        </w:rPr>
        <w:t xml:space="preserve">1. Immediate Legal Counsel Engagement: </w:t>
      </w:r>
    </w:p>
    <w:p>
      <w:pPr>
        <w:spacing w:after="120"/>
      </w:pPr>
      <w:r>
        <w:t xml:space="preserve">   • Immigration counsel for I-9/E-Verify violations</w:t>
      </w:r>
    </w:p>
    <w:p>
      <w:pPr>
        <w:spacing w:after="120"/>
      </w:pPr>
      <w:r>
        <w:t xml:space="preserve">   • ERISA counsel for 401(k) reporting failures</w:t>
      </w:r>
    </w:p>
    <w:p>
      <w:pPr>
        <w:spacing w:after="240"/>
      </w:pPr>
      <w:r>
        <w:t xml:space="preserve">   • Employment counsel for comprehensive compliance assessment</w:t>
      </w:r>
    </w:p>
    <w:p>
      <w:pPr>
        <w:spacing w:after="120"/>
      </w:pPr>
      <w:r>
        <w:rPr>
          <w:b/>
          <w:bCs/>
        </w:rPr>
        <w:t xml:space="preserve">2. Voluntary Disclosure Evaluation: </w:t>
      </w:r>
      <w:r>
        <w:t xml:space="preserve">Assess benefits of voluntary disclosure to DOL (ERISA) and USCIS (I-9) to mitigate penalties</w:t>
      </w:r>
    </w:p>
    <w:p>
      <w:pPr>
        <w:spacing w:after="120"/>
      </w:pPr>
      <w:r>
        <w:rPr>
          <w:b/>
          <w:bCs/>
        </w:rPr>
        <w:t xml:space="preserve">3. Immediate Data Security Protocol: </w:t>
      </w:r>
      <w:r>
        <w:t xml:space="preserve">Secure all confidential documents in locked filing systems; segregate medical files; restrict access</w:t>
      </w:r>
    </w:p>
    <w:p>
      <w:pPr>
        <w:spacing w:after="120"/>
      </w:pPr>
      <w:r>
        <w:rPr>
          <w:b/>
          <w:bCs/>
        </w:rPr>
        <w:t xml:space="preserve">4. Harassment Training Campaign: </w:t>
      </w:r>
      <w:r>
        <w:t xml:space="preserve">Immediate deployment of compliant harassment prevention training to all employees</w:t>
      </w:r>
    </w:p>
    <w:p>
      <w:pPr>
        <w:spacing w:after="240"/>
      </w:pPr>
      <w:r>
        <w:rPr>
          <w:b/>
          <w:bCs/>
        </w:rPr>
        <w:t xml:space="preserve">5. Strategic Compliance Roadmap: </w:t>
      </w:r>
      <w:r>
        <w:t xml:space="preserve">Development of prioritized, legally-vetted remediation plan with realistic timelines</w:t>
      </w:r>
    </w:p>
    <w:p>
      <w:r>
        <w:br w:type="page"/>
      </w:r>
    </w:p>
    <w:p>
      <w:pPr>
        <w:pStyle w:val="Heading1"/>
      </w:pPr>
      <w:r>
        <w:t xml:space="preserve">V. PROFESSIONAL REPORTING OBLIGATIONS ANALYSIS</w:t>
      </w:r>
    </w:p>
    <w:p>
      <w:pPr>
        <w:spacing w:after="240"/>
      </w:pPr>
      <w:r>
        <w:t xml:space="preserve">As a credentialed HR professional, I have evaluated whether the discovered violations trigger mandatory reporting requirements to regulatory authorities. The analysis below addresses key areas of concern.</w:t>
      </w:r>
    </w:p>
    <w:p>
      <w:pPr>
        <w:pStyle w:val="Heading2"/>
      </w:pPr>
      <w:r>
        <w:t xml:space="preserve">A. ERISA Violations (401(k) Reporting Failures)</w:t>
      </w:r>
    </w:p>
    <w:p>
      <w:pPr>
        <w:spacing w:after="120"/>
      </w:pPr>
      <w:r>
        <w:rPr>
          <w:b/>
          <w:bCs/>
        </w:rPr>
        <w:t xml:space="preserve">Mandatory Reporting: </w:t>
      </w:r>
      <w:r>
        <w:t xml:space="preserve">NO direct mandatory reporting obligation for discovery of operational failures</w:t>
      </w:r>
    </w:p>
    <w:p>
      <w:pPr>
        <w:spacing w:after="240"/>
      </w:pPr>
      <w:r>
        <w:rPr>
          <w:b/>
          <w:bCs/>
        </w:rPr>
        <w:t xml:space="preserve">However: </w:t>
      </w:r>
      <w:r>
        <w:t xml:space="preserve">ERISA's Voluntary Correction Program (VCP) strongly incentivizes self-disclosure to mitigate penalties. If employer does not pursue VCP after being informed of violations, fiduciary liability may extend to those with knowledge of breach.</w:t>
      </w:r>
    </w:p>
    <w:p>
      <w:pPr>
        <w:spacing w:after="240"/>
      </w:pPr>
      <w:r>
        <w:rPr>
          <w:b/>
          <w:bCs/>
        </w:rPr>
        <w:t xml:space="preserve">Recommended Action: </w:t>
      </w:r>
      <w:r>
        <w:t xml:space="preserve">Document that employer has been advised of ERISA violations and VCP option; confirm in writing employer's decision regarding voluntary disclosure</w:t>
      </w:r>
    </w:p>
    <w:p>
      <w:pPr>
        <w:pStyle w:val="Heading2"/>
      </w:pPr>
      <w:r>
        <w:t xml:space="preserve">B. I-9 and E-Verify Violations</w:t>
      </w:r>
    </w:p>
    <w:p>
      <w:pPr>
        <w:spacing w:after="120"/>
      </w:pPr>
      <w:r>
        <w:rPr>
          <w:b/>
          <w:bCs/>
        </w:rPr>
        <w:t xml:space="preserve">Mandatory Reporting: </w:t>
      </w:r>
      <w:r>
        <w:t xml:space="preserve">NO mandatory reporting to USCIS/ICE for discovered I-9 deficiencies</w:t>
      </w:r>
    </w:p>
    <w:p>
      <w:pPr>
        <w:spacing w:after="240"/>
      </w:pPr>
      <w:r>
        <w:rPr>
          <w:b/>
          <w:bCs/>
        </w:rPr>
        <w:t xml:space="preserve">However: </w:t>
      </w:r>
      <w:r>
        <w:t xml:space="preserve">If I-9 audit triggers actual knowledge of unauthorized workers, employer has duty to terminate. Continued employment with knowledge = 'knowing hire' violation (8 USC § 1324a) with criminal penalties.</w:t>
      </w:r>
    </w:p>
    <w:p>
      <w:pPr>
        <w:spacing w:after="240"/>
      </w:pPr>
      <w:r>
        <w:rPr>
          <w:b/>
          <w:bCs/>
        </w:rPr>
        <w:t xml:space="preserve">Current Status: </w:t>
      </w:r>
      <w:r>
        <w:t xml:space="preserve">No evidence of unauthorized workers discovered to date; violations are technical/procedural only</w:t>
      </w:r>
    </w:p>
    <w:p>
      <w:pPr>
        <w:pStyle w:val="Heading2"/>
      </w:pPr>
      <w:r>
        <w:t xml:space="preserve">C. ADA/CMIA Medical Privacy Violations</w:t>
      </w:r>
    </w:p>
    <w:p>
      <w:pPr>
        <w:spacing w:after="120"/>
      </w:pPr>
      <w:r>
        <w:rPr>
          <w:b/>
          <w:bCs/>
        </w:rPr>
        <w:t xml:space="preserve">Mandatory Reporting: </w:t>
      </w:r>
      <w:r>
        <w:t xml:space="preserve">NO mandatory reporting to HHS/OCR for ADA violations (not HIPAA-covered)</w:t>
      </w:r>
    </w:p>
    <w:p>
      <w:pPr>
        <w:spacing w:after="240"/>
      </w:pPr>
      <w:r>
        <w:rPr>
          <w:b/>
          <w:bCs/>
        </w:rPr>
        <w:t xml:space="preserve">Note: </w:t>
      </w:r>
      <w:r>
        <w:t xml:space="preserve">CMIA violations are subject to private right of action. If medical information breach occurs and affected employees discover it, employer faces mandatory breach notification under Cal. Civ. Code § 1798.82</w:t>
      </w:r>
    </w:p>
    <w:p>
      <w:pPr>
        <w:spacing w:after="240"/>
      </w:pPr>
      <w:r>
        <w:rPr>
          <w:b/>
          <w:bCs/>
        </w:rPr>
        <w:t xml:space="preserve">Current Status: </w:t>
      </w:r>
      <w:r>
        <w:t xml:space="preserve">No evidence of actual medical information disclosure to unauthorized parties; violations are procedural (improper storage/access controls)</w:t>
      </w:r>
    </w:p>
    <w:p>
      <w:pPr>
        <w:pStyle w:val="Heading2"/>
      </w:pPr>
      <w:r>
        <w:t xml:space="preserve">D. Professional Ethics Standards</w:t>
      </w:r>
    </w:p>
    <w:p>
      <w:pPr>
        <w:spacing w:after="240"/>
      </w:pPr>
      <w:r>
        <w:t xml:space="preserve">While no statutes mandate external reporting, professional ethics codes (SHRM, HRCI) require HR professionals to:</w:t>
      </w:r>
    </w:p>
    <w:p>
      <w:pPr>
        <w:spacing w:after="120"/>
      </w:pPr>
      <w:r>
        <w:t xml:space="preserve">1. Document discovery of violations in writing to employer leadership</w:t>
      </w:r>
    </w:p>
    <w:p>
      <w:pPr>
        <w:spacing w:after="120"/>
      </w:pPr>
      <w:r>
        <w:t xml:space="preserve">2. Recommend corrective action with specific remediation steps</w:t>
      </w:r>
    </w:p>
    <w:p>
      <w:pPr>
        <w:spacing w:after="120"/>
      </w:pPr>
      <w:r>
        <w:t xml:space="preserve">3. Advise escalation to legal counsel when violations carry criminal or substantial civil liability</w:t>
      </w:r>
    </w:p>
    <w:p>
      <w:pPr>
        <w:spacing w:after="120"/>
      </w:pPr>
      <w:r>
        <w:t xml:space="preserve">4. Withdraw from assignment if employer refuses to address violations creating professional liability exposure</w:t>
      </w:r>
    </w:p>
    <w:p>
      <w:pPr>
        <w:spacing w:after="240"/>
      </w:pPr>
      <w:r>
        <w:rPr>
          <w:b/>
          <w:bCs/>
        </w:rPr>
        <w:t xml:space="preserve">Action Taken: </w:t>
      </w:r>
      <w:r>
        <w:t xml:space="preserve">This report satisfies documentation and recommendation obligations. Employer response will determine need for further action.</w:t>
      </w:r>
    </w:p>
    <w:p>
      <w:r>
        <w:br w:type="page"/>
      </w:r>
    </w:p>
    <w:p>
      <w:pPr>
        <w:pStyle w:val="Heading1"/>
      </w:pPr>
      <w:r>
        <w:t xml:space="preserve">VI. CONCLUSION</w:t>
      </w:r>
    </w:p>
    <w:p>
      <w:pPr>
        <w:spacing w:after="240"/>
      </w:pPr>
      <w:r>
        <w:t xml:space="preserve">The findings documented in this report represent systemic compliance failures of extraordinary severity. The combination of I-9 violations with active E-Verify MOU abandonment, ERISA fiduciary breaches spanning 2.5 years, and widespread medical privacy violations creates a regulatory environment requiring immediate specialized legal intervention.</w:t>
      </w:r>
    </w:p>
    <w:p>
      <w:pPr>
        <w:spacing w:after="240"/>
      </w:pPr>
      <w:r>
        <w:t xml:space="preserve">This assignment has evolved from routine personnel file organization into crisis compliance management requiring expertise far exceeding standard interim HR administration. The scope expansion, combined with discovery of violations carrying potential criminal penalties (I-9) and fiduciary liability (ERISA), necessitates reassessment of placement parameters and liability exposure for all parties.</w:t>
      </w:r>
    </w:p>
    <w:p>
      <w:pPr>
        <w:spacing w:after="240"/>
      </w:pPr>
      <w:r>
        <w:t xml:space="preserve">While Sapphos Environmental leadership has demonstrated commitment to compliance improvement, the pace of remediation efforts and insufficient legal vetting of corrective actions creates risk of compounding existing violations. Professional guidance from specialized employment, immigration, and ERISA counsel is not optional—it is immediately necessary to mitigate what could become catastrophic regulatory exposure.</w:t>
      </w:r>
    </w:p>
    <w:p>
      <w:pPr>
        <w:spacing w:after="360"/>
      </w:pPr>
      <w:r>
        <w:t xml:space="preserve">I remain committed to supporting compliance efforts within appropriate professional boundaries. However, the severity of discovered violations requires Robert Half's direct engagement with client leadership to ensure adequate resources, legal support, and organizational commitment to systematic remediation.</w:t>
      </w:r>
    </w:p>
    <w:p>
      <w:pPr>
        <w:spacing w:before="720" w:after="360"/>
      </w:pPr>
      <w:r>
        <w:rPr>
          <w:i/>
          <w:iCs/>
        </w:rPr>
        <w:t xml:space="preserve">Respectfully submitted,</w:t>
      </w:r>
    </w:p>
    <w:p>
      <w:pPr>
        <w:spacing w:before="720" w:after="120"/>
      </w:pPr>
      <w:r>
        <w:rPr>
          <w:b/>
          <w:bCs/>
        </w:rPr>
        <w:t xml:space="preserve">[Your Name], PhD</w:t>
      </w:r>
    </w:p>
    <w:p>
      <w:pPr>
        <w:spacing w:after="120"/>
      </w:pPr>
      <w:r>
        <w:t xml:space="preserve">Interim HR Manager</w:t>
      </w:r>
    </w:p>
    <w:p>
      <w:pPr>
        <w:spacing w:after="120"/>
      </w:pPr>
      <w:r>
        <w:t xml:space="preserve">Sapphos Environmental, Inc.</w:t>
      </w:r>
    </w:p>
    <w:p>
      <w:r>
        <w:t xml:space="preserve">(Via Robert Half Professional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D6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2026-01-24T03:10:33.814Z</dcterms:created>
  <dcterms:modified xsi:type="dcterms:W3CDTF">2026-01-24T03:10:33.814Z</dcterms:modified>
</cp:coreProperties>
</file>

<file path=docProps/custom.xml><?xml version="1.0" encoding="utf-8"?>
<Properties xmlns="http://schemas.openxmlformats.org/officeDocument/2006/custom-properties" xmlns:vt="http://schemas.openxmlformats.org/officeDocument/2006/docPropsVTypes"/>
</file>