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720"/>
        <w:jc w:val="center"/>
      </w:pPr>
      <w:r>
        <w:rPr>
          <w:b/>
          <w:bCs/>
          <w:color w:val="1F4E78"/>
          <w:sz w:val="48"/>
          <w:szCs w:val="48"/>
        </w:rPr>
        <w:t xml:space="preserve">HR FILE AUDIT CHECKLIST</w:t>
      </w:r>
    </w:p>
    <w:p>
      <w:pPr>
        <w:spacing w:after="360"/>
        <w:jc w:val="center"/>
      </w:pPr>
      <w:r>
        <w:rPr>
          <w:color w:val="305496"/>
          <w:sz w:val="32"/>
          <w:szCs w:val="32"/>
        </w:rPr>
        <w:t xml:space="preserve">Pasadena, California</w:t>
      </w:r>
    </w:p>
    <w:p>
      <w:pPr>
        <w:spacing w:after="1440"/>
        <w:jc w:val="center"/>
      </w:pPr>
      <w:r>
        <w:rPr>
          <w:i/>
          <w:iCs/>
          <w:sz w:val="28"/>
          <w:szCs w:val="28"/>
        </w:rPr>
        <w:t xml:space="preserve">2026 Compliance Edition</w:t>
      </w:r>
    </w:p>
    <w:p>
      <w:pPr>
        <w:spacing w:before="720" w:after="240"/>
        <w:jc w:val="center"/>
      </w:pPr>
      <w:r>
        <w:rPr>
          <w:b/>
          <w:bCs/>
          <w:sz w:val="24"/>
          <w:szCs w:val="24"/>
        </w:rPr>
        <w:t xml:space="preserve">Comprehensive Personnel Records Audit</w:t>
      </w:r>
    </w:p>
    <w:p>
      <w:pPr>
        <w:jc w:val="center"/>
      </w:pPr>
      <w:r>
        <w:rPr>
          <w:sz w:val="22"/>
          <w:szCs w:val="22"/>
        </w:rPr>
        <w:t xml:space="preserve">All Six Legally-Separated Containers</w:t>
      </w:r>
    </w:p>
    <w:p>
      <w:pPr>
        <w:spacing w:before="240"/>
        <w:jc w:val="center"/>
      </w:pPr>
      <w:r>
        <w:rPr>
          <w:sz w:val="20"/>
          <w:szCs w:val="20"/>
        </w:rPr>
        <w:t xml:space="preserve">• Personnel Jacket  • Medical File  • I-9 File</w:t>
      </w:r>
    </w:p>
    <w:p>
      <w:pPr>
        <w:jc w:val="center"/>
      </w:pPr>
      <w:r>
        <w:rPr>
          <w:sz w:val="20"/>
          <w:szCs w:val="20"/>
        </w:rPr>
        <w:t xml:space="preserve">• Training File  • Demographics/Compliance  • Litigation/Investigations</w:t>
      </w:r>
    </w:p>
    <w:p>
      <w:pPr>
        <w:spacing w:before="960"/>
        <w:jc w:val="center"/>
      </w:pPr>
      <w:r>
        <w:rPr>
          <w:b/>
          <w:bCs/>
          <w:sz w:val="26"/>
          <w:szCs w:val="26"/>
        </w:rPr>
        <w:t xml:space="preserve">Sapphos Environmental Inc.</w:t>
      </w:r>
    </w:p>
    <w:p>
      <w:pPr>
        <w:jc w:val="center"/>
      </w:pPr>
      <w:r>
        <w:rPr>
          <w:sz w:val="24"/>
          <w:szCs w:val="24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HR Audit Instructions &amp; Clearance Tiers</w:t>
      </w:r>
    </w:p>
    <w:p>
      <w:pPr>
        <w:spacing w:before="240" w:after="360"/>
      </w:pPr>
      <w:r>
        <w:rPr>
          <w:b/>
          <w:bCs/>
          <w:sz w:val="22"/>
          <w:szCs w:val="22"/>
        </w:rPr>
        <w:t xml:space="preserve">Personnel Records Audit requires proper training BEFORE starting any audit. There are 3 tiers of clearance:</w:t>
      </w:r>
    </w:p>
    <w:p>
      <w:pPr>
        <w:spacing w:before="200" w:after="120" left="360"/>
      </w:pPr>
      <w:r>
        <w:rPr>
          <w:b/>
          <w:bCs/>
          <w:color w:val="2E7D32"/>
          <w:sz w:val="24"/>
          <w:szCs w:val="24"/>
        </w:rPr>
        <w:t xml:space="preserve">Tier 1 (Non-Confidential)</w:t>
      </w:r>
    </w:p>
    <w:p>
      <w:pPr>
        <w:spacing left="720"/>
      </w:pPr>
      <w:r>
        <w:rPr>
          <w:sz w:val="20"/>
          <w:szCs w:val="20"/>
        </w:rPr>
        <w:t xml:space="preserve">Can audit Personnel Jacket only. No access to confidential files.</w:t>
      </w:r>
    </w:p>
    <w:p>
      <w:pPr>
        <w:spacing w:before="200" w:after="120" left="360"/>
      </w:pPr>
      <w:r>
        <w:rPr>
          <w:b/>
          <w:bCs/>
          <w:color w:val="F57C00"/>
          <w:sz w:val="24"/>
          <w:szCs w:val="24"/>
        </w:rPr>
        <w:t xml:space="preserve">Tier 2a (Blind Confidential Audit)</w:t>
      </w:r>
    </w:p>
    <w:p>
      <w:pPr>
        <w:spacing left="720"/>
      </w:pPr>
      <w:r>
        <w:rPr>
          <w:sz w:val="20"/>
          <w:szCs w:val="20"/>
        </w:rPr>
        <w:t xml:space="preserve">Can audit Medical, Demographics, and I-9 files but CANNOT READ the contents. Can verify existence only.</w:t>
      </w:r>
    </w:p>
    <w:p>
      <w:pPr>
        <w:spacing w:before="200" w:after="120" left="360"/>
      </w:pPr>
      <w:r>
        <w:rPr>
          <w:b/>
          <w:bCs/>
          <w:color w:val="D84315"/>
          <w:sz w:val="24"/>
          <w:szCs w:val="24"/>
        </w:rPr>
        <w:t xml:space="preserve">Tier 2b (Read-Access Confidential Audit)</w:t>
      </w:r>
    </w:p>
    <w:p>
      <w:pPr>
        <w:spacing left="720"/>
      </w:pPr>
      <w:r>
        <w:rPr>
          <w:sz w:val="20"/>
          <w:szCs w:val="20"/>
        </w:rPr>
        <w:t xml:space="preserve">Same as Tier 2a BUT can read the contents for compliance verification.</w:t>
      </w:r>
    </w:p>
    <w:p>
      <w:pPr>
        <w:spacing w:before="200" w:after="120" left="360"/>
      </w:pPr>
      <w:r>
        <w:rPr>
          <w:b/>
          <w:bCs/>
          <w:color w:val="C00000"/>
          <w:sz w:val="24"/>
          <w:szCs w:val="24"/>
        </w:rPr>
        <w:t xml:space="preserve">Tier 3 (Litigation-Level Clearance)</w:t>
      </w:r>
    </w:p>
    <w:p>
      <w:pPr>
        <w:spacing left="720"/>
      </w:pPr>
      <w:r>
        <w:rPr>
          <w:sz w:val="20"/>
          <w:szCs w:val="20"/>
        </w:rPr>
        <w:t xml:space="preserve">Full access to all files including Litigation/Investigations. Required for legal matters.</w:t>
      </w:r>
    </w:p>
    <w:p>
      <w:pPr>
        <w:spacing w:before="480" w:after="240"/>
      </w:pPr>
      <w:r>
        <w:rPr>
          <w:b/>
          <w:bCs/>
          <w:color w:val="C00000"/>
          <w:sz w:val="24"/>
          <w:szCs w:val="24"/>
        </w:rPr>
        <w:t xml:space="preserve">⚠ CRITICAL LEGAL CONTEXT</w:t>
      </w:r>
    </w:p>
    <w:p>
      <w:pPr>
        <w:spacing left="360" w:after="120"/>
      </w:pPr>
      <w:r>
        <w:rPr>
          <w:sz w:val="20"/>
          <w:szCs w:val="20"/>
        </w:rPr>
        <w:t xml:space="preserve">Employers MUST segregate Medical, I-9, Litigation, and Demographics files by law (HIPAA/GINA/ADA/IRCA/EEOC). This is not optional. Violations carry significant penalties.</w:t>
      </w:r>
    </w:p>
    <w:p>
      <w:r>
        <w:br w:type="page"/>
      </w:r>
    </w:p>
    <w:p>
      <w:pPr>
        <w:pStyle w:val="Heading1"/>
      </w:pPr>
      <w:r>
        <w:t xml:space="preserve">Personnel Being Audited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Employee Name:</w:t>
            </w:r>
          </w:p>
          <w:p>
            <w:r>
              <w:rPr>
                <w:sz w:val="20"/>
                <w:szCs w:val="20"/>
              </w:rPr>
              <w:t xml:space="preserve">_________________________________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Employee #:</w:t>
            </w:r>
          </w:p>
          <w:p>
            <w:r>
              <w:rPr>
                <w:sz w:val="20"/>
                <w:szCs w:val="20"/>
              </w:rPr>
              <w:t xml:space="preserve">_________________________________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Department:</w:t>
            </w:r>
          </w:p>
          <w:p>
            <w:r>
              <w:rPr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Title:</w:t>
            </w:r>
          </w:p>
          <w:p>
            <w:r>
              <w:rPr>
                <w:sz w:val="20"/>
                <w:szCs w:val="20"/>
              </w:rPr>
              <w:t xml:space="preserve">_________________________________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Status:</w:t>
            </w:r>
          </w:p>
          <w:p>
            <w:r>
              <w:rPr>
                <w:sz w:val="20"/>
                <w:szCs w:val="20"/>
              </w:rPr>
              <w:t xml:space="preserve">☐ Active  ☐ Separated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Hire Date:</w:t>
            </w:r>
          </w:p>
          <w:p>
            <w:r>
              <w:rPr>
                <w:sz w:val="20"/>
                <w:szCs w:val="20"/>
              </w:rPr>
              <w:t xml:space="preserve">_________________________________</w:t>
            </w:r>
          </w:p>
        </w:tc>
      </w:tr>
    </w:tbl>
    <w:p>
      <w:pPr>
        <w:spacing w:before="360"/>
      </w:pPr>
    </w:p>
    <w:p>
      <w:pPr>
        <w:pStyle w:val="Heading1"/>
      </w:pPr>
      <w:r>
        <w:t xml:space="preserve">HR Staff Conducting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Auditor Name:</w:t>
            </w:r>
          </w:p>
          <w:p>
            <w:r>
              <w:rPr>
                <w:sz w:val="20"/>
                <w:szCs w:val="20"/>
              </w:rPr>
              <w:t xml:space="preserve">_________________________________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Clearance Tier:</w:t>
            </w:r>
          </w:p>
          <w:p>
            <w:r>
              <w:rPr>
                <w:sz w:val="20"/>
                <w:szCs w:val="20"/>
              </w:rPr>
              <w:t xml:space="preserve">☐ T1  ☐ T2a  ☐ T2b  ☐ T3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Audit Date:</w:t>
            </w:r>
          </w:p>
          <w:p>
            <w:r>
              <w:rPr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Supervisor:</w:t>
            </w:r>
          </w:p>
          <w:p>
            <w:r>
              <w:rPr>
                <w:sz w:val="20"/>
                <w:szCs w:val="20"/>
              </w:rPr>
              <w:t xml:space="preserve">_________________________________</w:t>
            </w:r>
          </w:p>
        </w:tc>
        <w:tc>
          <w:tcPr>
            <w:tcW w:type="dxa" w:w="6240"/>
            <w:gridSpan w:val="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System Access:</w:t>
            </w:r>
          </w:p>
          <w:p>
            <w:r>
              <w:rPr>
                <w:sz w:val="20"/>
                <w:szCs w:val="20"/>
              </w:rPr>
              <w:t xml:space="preserve">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  <w:pageBreakBefore/>
      </w:pPr>
      <w:r>
        <w:t xml:space="preserve">Container 1: Personnel Jacket [Non-Confidential]</w:t>
      </w:r>
    </w:p>
    <w:p>
      <w:pPr>
        <w:spacing w:after="240"/>
      </w:pPr>
      <w:r>
        <w:rPr>
          <w:i/>
          <w:iCs/>
          <w:sz w:val="20"/>
          <w:szCs w:val="20"/>
        </w:rPr>
        <w:t xml:space="preserve">Clearance Required: Tier 1 or higher</w:t>
      </w:r>
    </w:p>
    <w:p>
      <w:pPr>
        <w:pStyle w:val="Heading2"/>
      </w:pPr>
      <w:r>
        <w:t xml:space="preserve">PRE-EMPLOYMENT &amp; HIRING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Employment Application (Title VII EEOC 29 CFR §1602.14) | MANDATE | 2-4 years from hire/non-hire | HR staff only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Résumé/CV (EEOC 29 CFR §1602.14) | Best Practice | 2-4 years | HR staff only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Job Description (ADA 42 USC §12111; FLSA 29 USC §201) | MANDATE | Duration + 4 years | Must reflect actual duties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Offer Letter signed (CA Labor Code §2922 at-will) | MANDATE | Duration + 4 years | Must include at-will language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At-Will Employment Acknowledgment (CA Labor Code §2922) | MANDATE | Duration + 4 years | CA presumption of at-will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Pay Scale Disclosure (SB 1162 CA Labor Code §432.3) | MANDATE | 3 years | NEW 2026: Must log all disclosures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Background Check Authorization &amp; Results (FCRA 15 USC §1681) | MANDATE | 5 years from decision | If adverse action: notices + report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Cannabis Testing Authorization (SB 294) | MANDATE if testing | 4 years | NEW 2024: Cannot discriminate off-duty use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Reference Check Documentation | Best Practice | 2 years | Avoid discriminatory questions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New Hire Reporting EDD DE-34 | MANDATE | 4 years | Report within 20 days; $24-$34 penalty/employee</w:t>
      </w:r>
    </w:p>
    <w:p>
      <w:pPr>
        <w:pStyle w:val="Heading2"/>
        <w:spacing w:before="360"/>
      </w:pPr>
      <w:r>
        <w:t xml:space="preserve">EMPLOYMENT ELIGIBILITY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W-4 Federal Tax Withholding (26 CFR §31.6001-1) | MANDATE | 4 years from tax due date | Payroll File (separate from personnel)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DE-4 California Withholding | MANDATE | 4 years from tax due date | Payroll File (separate from personnel)</w:t>
      </w:r>
    </w:p>
    <w:p>
      <w:pPr>
        <w:spacing w:before="240" w:after="120" left="360"/>
      </w:pPr>
      <w:r>
        <w:rPr>
          <w:b/>
          <w:bCs/>
          <w:color w:val="C00000"/>
          <w:sz w:val="20"/>
          <w:szCs w:val="20"/>
        </w:rPr>
        <w:t xml:space="preserve">⚠ NOTE: Form I-9 and E-Verify documentation stored in SEPARATE I-9 FILE (see Container 3)</w:t>
      </w:r>
    </w:p>
    <w:p>
      <w:pPr>
        <w:pStyle w:val="Heading2"/>
        <w:spacing w:before="360"/>
      </w:pPr>
      <w:r>
        <w:t xml:space="preserve">ACKNOWLEDGMENTS &amp; NOTICES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Employee Handbook Acknowledgment | Best Practice | Duration + 4 years | Critical for at-will defense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Workplace Violence Prevention Policy Acknowledgment (SB 553) | MANDATE | 3 years | NEW 7/1/2024: Required for all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Reproductive Health Discrimination Policy Ack (SB 807) | MANDATE | 4 years | NEW 1/1/2024: Must cover contraceptive use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Cannabis Use Policy Acknowledgment (SB 294) | MANDATE if testing | 4 years | NEW 1/1/2024: Clarify protections/exceptions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Captive Audience Meeting Policy (SB 464) | MANDATE | 3 years | NEW 1/1/2025: Religious/political meetings voluntary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Annual Wage Theft Prevention Notice (CA Labor Code §2810.5) | MANDATE | 3 years | Required annually + at hire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Paid Sick Leave Notice - UPDATED (SB 616) | MANDATE | 3 years | NEW 1/1/2024: 40-hour minimum annually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Sexual Harassment Prevention Policy (CA Gov't Code §12940) | MANDATE | 4 years | Separate ack; complaint procedures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Whistleblower Protections Notice (CA Labor Code §1102.5) | MANDATE | 3 years | Right to report violations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Lactation Accommodation Policy (CA Labor Code §1031) | MANDATE | 3 years | Private space, reasonable break time</w:t>
      </w:r>
    </w:p>
    <w:p>
      <w:pPr>
        <w:pStyle w:val="Heading2"/>
        <w:spacing w:before="360"/>
      </w:pPr>
      <w:r>
        <w:t xml:space="preserve">COMPENSATION &amp; POSITION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Salary/Wage History (FLSA 29 USC §211; CA Labor Code §1174) | MANDATE | 4 years from last entry | Required for FLSA/DLSE audits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FLSA Exemption Status Determination (FLSA 29 USC §213) | MANDATE | Duration + 4 years | Job duties analysis, salary basis test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Pay Equity Analysis (CA Labor Code §1197.5) | MANDATE | 3 years Confidential | Analyze comparators for similar work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Pay Data Reporting (SB 1162) | MANDATE 100+ | 3 years from submission | Annual submission to CRD by 2nd Wed in May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Healthcare Worker Minimum Wage (SB 525) | MANDATE if healthcare | Duration + 4 years | NEW: $23-$25/hr by 2028 phased</w:t>
      </w:r>
    </w:p>
    <w:p>
      <w:pPr>
        <w:pStyle w:val="Heading2"/>
        <w:spacing w:before="360"/>
      </w:pPr>
      <w:r>
        <w:t xml:space="preserve">PERFORMANCE &amp; DISCIPLINE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Performance Evaluations | Best Practice | Duration + 4 years post-separation | Retain all (positive and negative)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Performance Improvement Plans (PIPs) | Best Practice EEOC 29 CFR §1602.14 | Duration + 4 years | Document deficiencies, expectations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Disciplinary Notices | Best Practice EEOC 29 CFR §1602.14 | 2 years minimum; 4 years best | Verbal warnings, written warnings, suspensions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Counseling Memoranda | Best Practice | Duration + 2 years | Informal discussions; may rise to formal discipline</w:t>
      </w:r>
    </w:p>
    <w:p>
      <w:pPr>
        <w:pStyle w:val="Heading2"/>
        <w:spacing w:before="360"/>
      </w:pPr>
      <w:r>
        <w:t xml:space="preserve">LEAVE RECORDS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Vacation/PTO Requests and Balances (CA Labor Code §227.3) | MANDATE | 4 years | Track accrual, usage; PTO is vested wage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Bereavement Leave (SB 1432) | MANDATE | 3 years | Up to 5 days for death of family member; expanded 1/1/2023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Jury Duty Documentation (CA Labor Code §230) | MANDATE | 3 years | Employee must provide notice; cannot retaliate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Military Leave (USERRA 38 USC §4301 et seq.) | MANDATE | 5 years from return | Reemployment rights; cannot discriminate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School Activity Leave (CA Labor Code §230.8) | MANDATE | 3 years | Up to 40 hours/year; advance notice required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Voting Leave (CA Elections Code §14000) | MANDATE | 3 years | Up to 2 hours paid time off</w:t>
      </w:r>
    </w:p>
    <w:p>
      <w:pPr>
        <w:pStyle w:val="Heading2"/>
        <w:spacing w:before="360"/>
      </w:pPr>
      <w:r>
        <w:t xml:space="preserve">SEPARATION RECORDS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Resignation Letter | Best Practice | 4 years from separation | Obtain written resignation with effective date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Exit Interview Form/Notes | Best Practice | 4 years from separation | Document reasons for leaving, feedback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Termination Notice | Best Practice | 4 years from separation | Document reason, effective date, approvals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Final Paycheck Calculation (CA Labor Code §§201-203) | MANDATE | 4 years Payroll File | Immediate if term; 72 hrs if quit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Accrued Paid Sick Leave Balance (SB 616) | MANDATE | 3 years Payroll File | NOT paid out at separation; reinstate if rehired within 1 year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Vacation/PTO Payout Calculation (CA Labor Code §227.3) | MANDATE | 4 years Payroll File | MUST pay out all accrued, vested PTO/vacation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COBRA/Cal-COBRA Notice (29 USC §1161) | MANDATE | 6 years Benefits File | Notice within 14 days of qualifying event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Property Return Checklist | Best Practice | 4 years | Keys, badges, equipment, credit cards; final paycheck can be delayed if not returned</w:t>
      </w:r>
    </w:p>
    <w:p>
      <w:r>
        <w:br w:type="page"/>
      </w:r>
    </w:p>
    <w:p>
      <w:pPr>
        <w:pStyle w:val="Heading1"/>
      </w:pPr>
      <w:r>
        <w:t xml:space="preserve">Container 2: Medical File [CONFIDENTIAL - SEPARATE]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Clearance Required: Tier 2a or higher</w:t>
      </w:r>
    </w:p>
    <w:p>
      <w:pPr>
        <w:spacing w:after="240"/>
      </w:pPr>
      <w:r>
        <w:rPr>
          <w:b/>
          <w:bCs/>
          <w:color w:val="C00000"/>
          <w:sz w:val="20"/>
          <w:szCs w:val="20"/>
        </w:rPr>
        <w:t xml:space="preserve">⚠ CRITICAL: Medical records MUST be stored separately from Personnel File per ADA/CMIA. Violations = significant penalties.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Workers' Compensation Medical Docs | MANDATE | 5 years from injury | DWC-1, Employer's Report, medical treatment records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Disability Accommodation (ADA/FEHA) Docs | MANDATE | Duration + 4 years | Interactive process, medical certifications, accommodation records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FMLA/CFRA Medical Certifications | MANDATE | 3 years | Eligibility notice, rights notice, designation notice, medical certs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Fitness for Duty Certifications | MANDATE when required | 3 years | Return to work clearances, work restrictions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Drug Test Authorization (if required) | MANDATE if testing | 4 years | Pre-employment, random, post-accident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Drug Test Results (if required) | MANDATE if testing | 4 years | Medical File SEPARATE from personnel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DOT Physical Certificate (CDL holders) | MANDATE for CDL | Duration + 2 years | Every 2 years; National Registry requirement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Pre-Employment Physical (if position requires) | MANDATE if required | Duration + 4 years | Only after conditional offer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COVID-19 Vaccination Records (if collected) | Best Practice | 3 years | If employer required vaccination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Health Insurance Election Forms | MANDATE | 6 years | Medical, dental, vision enrollment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HIPAA Authorizations | MANDATE when applicable | 6 years | If employer is covered entity</w:t>
      </w:r>
    </w:p>
    <w:p>
      <w:pPr>
        <w:spacing w:before="360" w:after="120"/>
      </w:pPr>
      <w:r>
        <w:rPr>
          <w:b/>
          <w:bCs/>
          <w:color w:val="C00000"/>
          <w:sz w:val="20"/>
          <w:szCs w:val="20"/>
        </w:rPr>
        <w:t xml:space="preserve">⚠ RETENTION: Medical/exposure records retain for 30 years per Cal/OSHA for certain industries</w:t>
      </w:r>
    </w:p>
    <w:p>
      <w:r>
        <w:br w:type="page"/>
      </w:r>
    </w:p>
    <w:p>
      <w:pPr>
        <w:pStyle w:val="Heading1"/>
      </w:pPr>
      <w:r>
        <w:t xml:space="preserve">Container 3: I-9 File [CONFIDENTIAL - SEPARATE]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Clearance Required: Tier 2a or higher</w:t>
      </w:r>
    </w:p>
    <w:p>
      <w:pPr>
        <w:spacing w:after="240"/>
      </w:pPr>
      <w:r>
        <w:rPr>
          <w:b/>
          <w:bCs/>
          <w:color w:val="C00000"/>
          <w:sz w:val="20"/>
          <w:szCs w:val="20"/>
        </w:rPr>
        <w:t xml:space="preserve">⚠ CRITICAL: Form I-9 MUST be kept in SEPARATE I-9 FILE. NEVER store with personnel records. DHS/DOJ/ICE inspection ONLY. $272-$2,701 penalty per violation (2024 rates).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Form I-9 (8 USC §1324a; 8 CFR §274a.2) | MANDATE | 3 years from hire OR 1 year from term (whichever is LATER) | Section 1 by Day 1; Section 2 within 3 business days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I-9 Documentation Copies (List A or B+C) | MANDATE | Same as I-9 | Passport, DL + SSN card, etc.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E-Verify Case Documentation (if enrolled) | MANDATE if E-Verify | Same as I-9 (3 years from hire OR 1 year from term) | Required only if employer enrolled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I-9 Reverification (if applicable) | MANDATE when work authorization expires | Same as I-9 | Section 3 for work authorization renewals</w:t>
      </w:r>
    </w:p>
    <w:p>
      <w:pPr>
        <w:spacing w:before="360" w:after="120"/>
      </w:pPr>
      <w:r>
        <w:rPr>
          <w:b/>
          <w:bCs/>
          <w:sz w:val="20"/>
          <w:szCs w:val="20"/>
        </w:rPr>
        <w:t xml:space="preserve">⚠ DESTROY-BY CALCULATION: 3 years from hire date OR 1 year from separation date, whichever is LATER</w:t>
      </w:r>
    </w:p>
    <w:p>
      <w:pPr>
        <w:spacing w:after="240" left="360"/>
      </w:pPr>
      <w:r>
        <w:rPr>
          <w:i/>
          <w:iCs/>
          <w:sz w:val="18"/>
          <w:szCs w:val="18"/>
        </w:rPr>
        <w:t xml:space="preserve">Example: Hire 1/1/2020, Separate 6/1/2023 → Destroy 6/1/2024 (1 year from separation) | Hire 1/1/2023, Separate 6/1/2023 → Destroy 1/1/2026 (3 years from hire)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0"/>
                <w:szCs w:val="20"/>
              </w:rPr>
              <w:t xml:space="preserve">Hire Date: _____________</w:t>
            </w:r>
          </w:p>
          <w:p>
            <w:r>
              <w:rPr>
                <w:sz w:val="20"/>
                <w:szCs w:val="20"/>
              </w:rPr>
              <w:t xml:space="preserve">Separation Date: _____________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Destroy-By Date: _____________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Container 4: Training File [Non-Confidential]</w:t>
      </w:r>
    </w:p>
    <w:p>
      <w:pPr>
        <w:spacing w:after="240"/>
      </w:pPr>
      <w:r>
        <w:rPr>
          <w:i/>
          <w:iCs/>
          <w:sz w:val="20"/>
          <w:szCs w:val="20"/>
        </w:rPr>
        <w:t xml:space="preserve">Clearance Required: Tier 1 or higher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Sexual Harassment Prevention Training (SB 1343/778) | MANDATE 5+ employees | Biennial | CA Gov't Code §12950.1; 2 CCR §11024 | Supervisors: 2 hrs; Non-supervisors: 1 hr | Track completion dates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Workplace Violence Prevention Training (SB 553) | MANDATE ALL | Annual | CA Labor Code §6401.9; 8 CCR §3203.1 | NEW 7/1/2024: Required for all; interactive, worksite-specific | $25,000 penalty for willful violations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Other Compliance Training (e.g., safety, anti-discrimination) | Best Practice | 2-3 years | Track completion dates, topics, duration | Demonstrates good-faith compliance</w:t>
      </w:r>
    </w:p>
    <w:p>
      <w:r>
        <w:br w:type="page"/>
      </w:r>
    </w:p>
    <w:p>
      <w:pPr>
        <w:pStyle w:val="Heading1"/>
      </w:pPr>
      <w:r>
        <w:t xml:space="preserve">Container 5: Demographics/Compliance File [CONFIDENTIAL]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Clearance Required: Tier 2a or higher</w:t>
      </w:r>
    </w:p>
    <w:p>
      <w:pPr>
        <w:spacing w:after="240"/>
      </w:pPr>
      <w:r>
        <w:rPr>
          <w:b/>
          <w:bCs/>
          <w:sz w:val="20"/>
          <w:szCs w:val="20"/>
        </w:rPr>
        <w:t xml:space="preserve">⚠ This file contains EEO-1, pay data reporting, and other demographics used for compliance reporting. Keep separate from Personnel File.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Pay Data Reporting (SB 1162) | MANDATE 100+ employees | 3 years | Annual submission to CRD (Civil Rights Dept) by 2nd Wed in May | Pay data by race, ethnicity, sex, job categories; EEO-1 alignment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Pay Equity Analyses | MANDATE | 3 years Confidential | Analyze comparators for substantially similar work | Required for CA Equal Pay Act; bona fide factors defense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Healthcare Worker Minimum Wage (SB 525) | MANDATE if healthcare | Duration + 4 years Payroll | Phased implementation $23-$25/hr by 2028; verify facility classification</w:t>
      </w:r>
    </w:p>
    <w:p>
      <w:r>
        <w:br w:type="page"/>
      </w:r>
    </w:p>
    <w:p>
      <w:pPr>
        <w:pStyle w:val="Heading1"/>
      </w:pPr>
      <w:r>
        <w:t xml:space="preserve">Container 6: Litigation/Investigations File [CONFIDENTIAL]</w:t>
      </w:r>
    </w:p>
    <w:p>
      <w:pPr>
        <w:spacing w:after="120"/>
      </w:pPr>
      <w:r>
        <w:rPr>
          <w:i/>
          <w:iCs/>
          <w:color w:val="C00000"/>
          <w:sz w:val="20"/>
          <w:szCs w:val="20"/>
        </w:rPr>
        <w:t xml:space="preserve">Clearance Required: Tier 3 (Litigation-Level Clearance)</w:t>
      </w:r>
    </w:p>
    <w:p>
      <w:pPr>
        <w:spacing w:after="240"/>
      </w:pPr>
      <w:r>
        <w:rPr>
          <w:b/>
          <w:bCs/>
          <w:color w:val="C00000"/>
          <w:sz w:val="20"/>
          <w:szCs w:val="20"/>
        </w:rPr>
        <w:t xml:space="preserve">⚠ CRITICAL: Investigation records MUST be kept separate. NEVER mix with Personnel, Medical, or other files. Attorney-client privilege may apply.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Internal Complaints | Best Practice | Duration + 4 years minimum | Harassment, discrimination, retaliation, workplace violence, theft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Investigation Reports | Best Practice | Duration + 4 years minimum | Witness interviews, evidence, findings, corrective action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EEOC/DFEH Charges | MANDATE | Duration + 4 years | Right-to-sue letters, charge documents, position statements, settlement agreements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Settlement Agreements | MANDATE | Permanent | Retain permanently; may have ongoing obligations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Litigation Files | MANDATE | Permanent or per counsel | Complaints, discovery, depositions, motions, judgments</w:t>
      </w:r>
    </w:p>
    <w:p>
      <w:pPr>
        <w:spacing w:before="60" w:after="60" left="360"/>
      </w:pPr>
      <w:r>
        <w:rPr>
          <w:sz w:val="22"/>
          <w:szCs w:val="22"/>
        </w:rPr>
        <w:t xml:space="preserve">☐  </w:t>
      </w:r>
      <w:r>
        <w:rPr>
          <w:sz w:val="20"/>
          <w:szCs w:val="20"/>
        </w:rPr>
        <w:t xml:space="preserve">[ ] Workplace Violence Incident Reports (SB 553) | MANDATE | 5 years | NEW 7/1/2024: Log all incidents; required for Cal/OSHA inspection</w:t>
      </w:r>
    </w:p>
    <w:p>
      <w:r>
        <w:br w:type="page"/>
      </w:r>
    </w:p>
    <w:p>
      <w:pPr>
        <w:pStyle w:val="Heading1"/>
      </w:pPr>
      <w:r>
        <w:t xml:space="preserve">Audit Completion &amp; Sign-Off</w:t>
      </w:r>
    </w:p>
    <w:p>
      <w:pPr>
        <w:spacing w:before="240" w:after="360"/>
      </w:pPr>
      <w:r>
        <w:rPr>
          <w:sz w:val="20"/>
          <w:szCs w:val="20"/>
        </w:rPr>
        <w:t xml:space="preserve">Complete this section after finishing the audit.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AUDIT SUMMARY</w:t>
            </w:r>
          </w:p>
          <w:p>
            <w:pPr>
              <w:spacing w:before="240"/>
            </w:pPr>
            <w:r>
              <w:rPr>
                <w:sz w:val="20"/>
                <w:szCs w:val="20"/>
              </w:rPr>
              <w:t xml:space="preserve">Total Records Reviewed: _____________</w:t>
            </w:r>
          </w:p>
          <w:p>
            <w:r>
              <w:rPr>
                <w:sz w:val="20"/>
                <w:szCs w:val="20"/>
              </w:rPr>
              <w:t xml:space="preserve">Records Present &amp; Compliant: _____________</w:t>
            </w:r>
          </w:p>
          <w:p>
            <w:r>
              <w:rPr>
                <w:sz w:val="20"/>
                <w:szCs w:val="20"/>
              </w:rPr>
              <w:t xml:space="preserve">Records Missing: _____________</w:t>
            </w:r>
          </w:p>
          <w:p>
            <w:r>
              <w:rPr>
                <w:sz w:val="20"/>
                <w:szCs w:val="20"/>
              </w:rPr>
              <w:t xml:space="preserve">Records Non-Compliant: _____________</w:t>
            </w:r>
          </w:p>
          <w:p>
            <w:pPr>
              <w:spacing w:before="240"/>
            </w:pPr>
            <w:r>
              <w:rPr>
                <w:b/>
                <w:bCs/>
                <w:sz w:val="20"/>
                <w:szCs w:val="20"/>
              </w:rPr>
              <w:t xml:space="preserve">Critical Issues Identified:</w:t>
            </w:r>
          </w:p>
          <w:p>
            <w:r>
              <w:rPr>
                <w:sz w:val="20"/>
                <w:szCs w:val="20"/>
              </w:rPr>
              <w:t xml:space="preserve">☐ Medical records mixed with Personnel File</w:t>
            </w:r>
          </w:p>
          <w:p>
            <w:r>
              <w:rPr>
                <w:sz w:val="20"/>
                <w:szCs w:val="20"/>
              </w:rPr>
              <w:t xml:space="preserve">☐ I-9 forms mixed with Personnel File</w:t>
            </w:r>
          </w:p>
          <w:p>
            <w:r>
              <w:rPr>
                <w:sz w:val="20"/>
                <w:szCs w:val="20"/>
              </w:rPr>
              <w:t xml:space="preserve">☐ Missing I-9 forms</w:t>
            </w:r>
          </w:p>
          <w:p>
            <w:r>
              <w:rPr>
                <w:sz w:val="20"/>
                <w:szCs w:val="20"/>
              </w:rPr>
              <w:t xml:space="preserve">☐ Missing required acknowledgments (SB 553, SB 807, SB 294)</w:t>
            </w:r>
          </w:p>
          <w:p>
            <w:r>
              <w:rPr>
                <w:sz w:val="20"/>
                <w:szCs w:val="20"/>
              </w:rPr>
              <w:t xml:space="preserve">☐ Missing training certificates</w:t>
            </w:r>
          </w:p>
          <w:p>
            <w:r>
              <w:rPr>
                <w:sz w:val="20"/>
                <w:szCs w:val="20"/>
              </w:rPr>
              <w:t xml:space="preserve">☐ Expired licenses/certifications</w:t>
            </w:r>
          </w:p>
          <w:p>
            <w:r>
              <w:rPr>
                <w:sz w:val="20"/>
                <w:szCs w:val="20"/>
              </w:rPr>
              <w:t xml:space="preserve">☐ Other: ______________________________________</w:t>
            </w:r>
          </w:p>
        </w:tc>
      </w:tr>
    </w:tbl>
    <w:p>
      <w:pPr>
        <w:spacing w:before="4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24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Auditor Signature:</w:t>
            </w:r>
          </w:p>
          <w:p>
            <w:pPr>
              <w:spacing w:before="240"/>
            </w:pPr>
            <w:r>
              <w:rPr>
                <w:sz w:val="20"/>
                <w:szCs w:val="20"/>
              </w:rPr>
              <w:t xml:space="preserve">_________________________________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24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Date:</w:t>
            </w:r>
          </w:p>
          <w:p>
            <w:pPr>
              <w:spacing w:before="240"/>
            </w:pPr>
            <w:r>
              <w:rPr>
                <w:sz w:val="20"/>
                <w:szCs w:val="20"/>
              </w:rPr>
              <w:t xml:space="preserve">_________________________________</w:t>
            </w:r>
          </w:p>
        </w:tc>
      </w:tr>
      <w:tr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120"/>
              <w:left w:type="dxa" w:w="160"/>
              <w:bottom w:type="dxa" w:w="24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Supervisor Review Signature:</w:t>
            </w:r>
          </w:p>
          <w:p>
            <w:pPr>
              <w:spacing w:before="240"/>
            </w:pPr>
            <w:r>
              <w:rPr>
                <w:sz w:val="20"/>
                <w:szCs w:val="20"/>
              </w:rPr>
              <w:t xml:space="preserve">_________________________________</w:t>
            </w:r>
          </w:p>
        </w:tc>
        <w:tc>
          <w:tcPr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tcMar>
              <w:top w:type="dxa" w:w="120"/>
              <w:left w:type="dxa" w:w="160"/>
              <w:bottom w:type="dxa" w:w="240"/>
              <w:right w:type="dxa" w:w="16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Date:</w:t>
            </w:r>
          </w:p>
          <w:p>
            <w:pPr>
              <w:spacing w:before="240"/>
            </w:pPr>
            <w:r>
              <w:rPr>
                <w:sz w:val="20"/>
                <w:szCs w:val="20"/>
              </w:rPr>
              <w:t xml:space="preserve">_________________________________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200"/>
      <w:outlineLvl w:val="1"/>
    </w:pPr>
    <w:rPr>
      <w:rFonts w:ascii="Calibri" w:cs="Calibri" w:eastAsia="Calibri" w:hAnsi="Calibri"/>
      <w:b/>
      <w:bCs/>
      <w:color w:val="30549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60"/>
      <w:outlineLvl w:val="2"/>
    </w:pPr>
    <w:rPr>
      <w:rFonts w:ascii="Calibri" w:cs="Calibri" w:eastAsia="Calibri" w:hAnsi="Calibri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2026-01-14T18:29:22.162Z</dcterms:created>
  <dcterms:modified xsi:type="dcterms:W3CDTF">2026-01-14T18:29:22.163Z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