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Artifact 12: Pay Transparency, Equity, and CRD Reporting Technical Manual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6.0 (Deep Research Audit)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 432.3 (SB 642) &amp; Gov. Code § 12999 (SB 464)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Pay Scale Disclosure (SB 642)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432.3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"‘Pay scale’ means a good faith estimate of the salary or hourly wage range that the employer reasonably expects to pay."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Posting Compliance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Disclosure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Include pay scale in every job posting (Employers with 15+ employees).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Third-Parties</w:t>
      </w:r>
      <w:r w:rsidDel="00000000" w:rsidR="00000000" w:rsidRPr="00000000">
        <w:rPr>
          <w:rtl w:val="0"/>
        </w:rPr>
        <w:t xml:space="preserve">: Provide scales to job boards (LinkedIn/Indeed); employer remains liable for visibility.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Range must reflect "Day One" expectations, not aspirational career ceilings.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Equal Pay Act Expanded "Wages" Audit (SB 642)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1197.5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"Employer shall not pay any of its employees at wage rates less than the rates paid to employees of another sex for substantially similar work."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Compensation Review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Valuation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Total Compensation</w:t>
      </w:r>
      <w:r w:rsidDel="00000000" w:rsidR="00000000" w:rsidRPr="00000000">
        <w:rPr>
          <w:rtl w:val="0"/>
        </w:rPr>
        <w:t xml:space="preserve">: Include bonuses, stock options, travel reimbursements, and gas allowances in equity audits.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Inclusivity</w:t>
      </w:r>
      <w:r w:rsidDel="00000000" w:rsidR="00000000" w:rsidRPr="00000000">
        <w:rPr>
          <w:rtl w:val="0"/>
        </w:rPr>
        <w:t xml:space="preserve">: Compare against "another sex" (incorporating non-binary/gender-nonconforming expressions).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Annual Pay Data Reporting (CRD) Architecture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Gov. Code § 12999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"A private employer that has 100 or more employees... shall submit a pay data report... on or before the second Wednesday of May."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Snapshots and Deadlines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May 13, 2026</w:t>
      </w:r>
      <w:r w:rsidDel="00000000" w:rsidR="00000000" w:rsidRPr="00000000">
        <w:rPr>
          <w:rtl w:val="0"/>
        </w:rPr>
        <w:t xml:space="preserve">: Submission deadline for 2025 reporting year.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: Select one pay period between Oct 1 and Dec 31.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Labor Contractors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File separate report if 100+ workers hired through labor contractors.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SOC Classification Mapping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23 SOC Categories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Transition from 10 EEO-1 categories to </w:t>
      </w:r>
      <w:r w:rsidDel="00000000" w:rsidR="00000000" w:rsidRPr="00000000">
        <w:rPr>
          <w:b w:val="1"/>
          <w:bCs w:val="1"/>
          <w:rtl w:val="0"/>
        </w:rPr>
        <w:t xml:space="preserve">23 Standard Occupational Classification (SOC)</w:t>
      </w:r>
      <w:r w:rsidDel="00000000" w:rsidR="00000000" w:rsidRPr="00000000">
        <w:rPr>
          <w:rtl w:val="0"/>
        </w:rPr>
        <w:t xml:space="preserve"> categories.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Tabulation</w:t>
      </w:r>
      <w:r w:rsidDel="00000000" w:rsidR="00000000" w:rsidRPr="00000000">
        <w:rPr>
          <w:rtl w:val="0"/>
        </w:rPr>
        <w:t xml:space="preserve">: Report mean and median hourly rates for every demographic combination within each SOC category.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Demographic Data Segregation (SB 464)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Gov. Code § 12999(a)(3)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"Demographic information gathered... shall be collected and stored separately from employees' personnel records."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Firewall Implementation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Digital Partitioning</w:t>
      </w:r>
      <w:r w:rsidDel="00000000" w:rsidR="00000000" w:rsidRPr="00000000">
        <w:rPr>
          <w:rtl w:val="0"/>
        </w:rPr>
        <w:t xml:space="preserve">: Ensure HRIS demographic silo is inaccessible to hiring managers.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Sexual Orientation</w:t>
      </w:r>
      <w:r w:rsidDel="00000000" w:rsidR="00000000" w:rsidRPr="00000000">
        <w:rPr>
          <w:rtl w:val="0"/>
        </w:rPr>
        <w:t xml:space="preserve">: Collect orientation data on </w:t>
      </w:r>
      <w:r w:rsidDel="00000000" w:rsidR="00000000" w:rsidRPr="00000000">
        <w:rPr>
          <w:b w:val="1"/>
          <w:bCs w:val="1"/>
          <w:rtl w:val="0"/>
        </w:rPr>
        <w:t xml:space="preserve">strictly voluntary</w:t>
      </w:r>
      <w:r w:rsidDel="00000000" w:rsidR="00000000" w:rsidRPr="00000000">
        <w:rPr>
          <w:rtl w:val="0"/>
        </w:rPr>
        <w:t xml:space="preserve"> basis and keep in segregated repository.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Cal. Lab. Code § 432.3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Gov. Code § 12999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sectionNum=432.3.&amp;lawCode=LAB" TargetMode="External"/><Relationship Id="rId7" Type="http://schemas.openxmlformats.org/officeDocument/2006/relationships/hyperlink" Target="https://leginfo.legislature.ca.gov/faces/codes_displaySection.xhtml?sectionNum=12999.&amp;lawCode=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