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 Executive KPI Report</w:t>
      </w:r>
    </w:p>
    <w:p>
      <w:pPr>
        <w:pStyle w:val="Heading1"/>
      </w:pPr>
      <w:r>
        <w:t>1. Overview</w:t>
      </w:r>
    </w:p>
    <w:p>
      <w:r>
        <w:t>High-level executive report covering KPIs, chargeability formulas, protected leaves, and workflow for evaluation.</w:t>
      </w:r>
    </w:p>
    <w:p>
      <w:pPr>
        <w:pStyle w:val="Heading1"/>
      </w:pPr>
      <w:r>
        <w:t>2. KPI Definitions</w:t>
      </w:r>
    </w:p>
    <w:p>
      <w:r>
        <w:t>Chargeability (% of hours billed to client)</w:t>
      </w:r>
    </w:p>
    <w:p>
      <w:r>
        <w:t>Leave-Adjusted Chargeability formula: Chargeable Hours / (Available Hours - Protected Leave Hours) * 100</w:t>
      </w:r>
    </w:p>
    <w:p>
      <w:pPr>
        <w:pStyle w:val="Heading1"/>
      </w:pPr>
      <w:r>
        <w:t>3. Leave Categories</w:t>
      </w:r>
    </w:p>
    <w:p>
      <w:r>
        <w:t>Protected Leaves (excluded from KPI denominator): FMLA, CFRA, PDL, ADA/FEHA, Jury duty, Voting leave, Bereavement, Military leave</w:t>
      </w:r>
    </w:p>
    <w:p>
      <w:r>
        <w:t>Company Leaves (also excluded): Vacation/PTO, Company Holidays, Training</w:t>
      </w:r>
    </w:p>
    <w:p>
      <w:r>
        <w:t>Non-Protected Leaves (included in KPI denominator): Discretionary unpaid leave, non-statutory sick leave, partial-day tardies</w:t>
      </w:r>
    </w:p>
    <w:p>
      <w:pPr>
        <w:pStyle w:val="Heading1"/>
      </w:pPr>
      <w:r>
        <w:t>4. KPI Evaluation Workflow</w:t>
      </w:r>
    </w:p>
    <w:p>
      <w:r>
        <w:t>1. Employees submit timesheets weekly.</w:t>
        <w:br/>
        <w:t>2. HR collects leave data.</w:t>
        <w:br/>
        <w:t>3. Leave-adjusted chargeability is calculated.</w:t>
        <w:br/>
        <w:t>4. KPI tables generated for leadership.</w:t>
        <w:br/>
        <w:t>5. Quarterly and annual summaries presented to executives.</w:t>
      </w:r>
    </w:p>
    <w:p>
      <w:pPr>
        <w:pStyle w:val="Heading1"/>
      </w:pPr>
      <w:r>
        <w:t>5. Industry Benchmarks &amp; Broader KPIs</w:t>
      </w:r>
    </w:p>
    <w:p>
      <w:r>
        <w:t>Technical/Junior: 75–85%</w:t>
        <w:br/>
        <w:t>Mid-Level/PM: 75–90%</w:t>
        <w:br/>
        <w:t>Leadership/Partner: 40–75%</w:t>
        <w:br/>
        <w:t>Firm averages: 65–80%</w:t>
        <w:br/>
        <w:br/>
        <w:t>Broader KPIs: Revenue per billable employee, Billable realization rate, Project margin, Client satisfaction.</w:t>
      </w:r>
    </w:p>
    <w:p>
      <w:pPr>
        <w:pStyle w:val="Heading1"/>
      </w:pPr>
      <w:r>
        <w:t>6. Fairness &amp; Equity</w:t>
      </w:r>
    </w:p>
    <w:p>
      <w:r>
        <w:t>Role-aligned expectations, tracking non-billable strategic work, clear definitions, quarterly audits, and compliance with protected leave legislation.</w:t>
      </w:r>
    </w:p>
    <w:p>
      <w:pPr>
        <w:pStyle w:val="Heading1"/>
      </w:pPr>
      <w:r>
        <w:t>8. Executive Summary</w:t>
      </w:r>
    </w:p>
    <w:p>
      <w:r>
        <w:t>✅ KPI formula adjusts for protected and company leaves.</w:t>
        <w:br/>
        <w:t>✅ Role-specific targets increase transparency.</w:t>
        <w:br/>
        <w:t>✅ Visuals allow executive quick-read insights.</w:t>
        <w:br/>
        <w:t>✅ Ensures fairness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