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California Leave of Absence Checklist (50-100 Employees)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2.0 </w:t>
      </w:r>
      <w:r w:rsidDel="00000000" w:rsidR="00000000" w:rsidRPr="00000000">
        <w:rPr>
          <w:b w:val="1"/>
          <w:bCs w:val="1"/>
          <w:rtl w:val="0"/>
        </w:rPr>
        <w:t xml:space="preserve">Applicability</w:t>
      </w:r>
      <w:r w:rsidDel="00000000" w:rsidR="00000000" w:rsidRPr="00000000">
        <w:rPr>
          <w:rtl w:val="0"/>
        </w:rPr>
        <w:t xml:space="preserve">: 50+ Employees (Includes FMLA)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FMLA Overlay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FMLA (50+)</w:t>
      </w:r>
      <w:r w:rsidDel="00000000" w:rsidR="00000000" w:rsidRPr="00000000">
        <w:rPr>
          <w:rtl w:val="0"/>
        </w:rPr>
        <w:t xml:space="preserve">: 12 weeks federal leave.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Concurrent</w:t>
      </w:r>
      <w:r w:rsidDel="00000000" w:rsidR="00000000" w:rsidRPr="00000000">
        <w:rPr>
          <w:rtl w:val="0"/>
        </w:rPr>
        <w:t xml:space="preserve">: FMLA runs </w:t>
      </w:r>
      <w:r w:rsidDel="00000000" w:rsidR="00000000" w:rsidRPr="00000000">
        <w:rPr>
          <w:i w:val="1"/>
          <w:iCs w:val="1"/>
          <w:rtl w:val="0"/>
        </w:rPr>
        <w:t xml:space="preserve">at the same time</w:t>
      </w:r>
      <w:r w:rsidDel="00000000" w:rsidR="00000000" w:rsidRPr="00000000">
        <w:rPr>
          <w:rtl w:val="0"/>
        </w:rPr>
        <w:t xml:space="preserve"> as PDL.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Interaction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Pregnancy: PDL + FMLA run together. CFRA runs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Non-Pregnancy: FMLA + CFRA run together.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Administration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Notices</w:t>
      </w:r>
      <w:r w:rsidDel="00000000" w:rsidR="00000000" w:rsidRPr="00000000">
        <w:rPr>
          <w:rtl w:val="0"/>
        </w:rPr>
        <w:t xml:space="preserve">: WH-381 (Eligibility) &amp; WH-382 (Designation) required.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Certifications</w:t>
      </w:r>
      <w:r w:rsidDel="00000000" w:rsidR="00000000" w:rsidRPr="00000000">
        <w:rPr>
          <w:rtl w:val="0"/>
        </w:rPr>
        <w:t xml:space="preserve">: WH-380-E required.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CROSS-REFERENCE: HOW OTHER LAWS IMPACT LEAVE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PERSONNEL RECORDS → LEAVE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FMLA File</w:t>
      </w:r>
      <w:r w:rsidDel="00000000" w:rsidR="00000000" w:rsidRPr="00000000">
        <w:rPr>
          <w:rtl w:val="0"/>
        </w:rPr>
        <w:t xml:space="preserve">: Sub-section in Container 2 for FMLA forms.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[Personnel Records Checklist]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WORKERS' COMP → LEAVE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Designation</w:t>
      </w:r>
      <w:r w:rsidDel="00000000" w:rsidR="00000000" w:rsidRPr="00000000">
        <w:rPr>
          <w:rtl w:val="0"/>
        </w:rPr>
        <w:t xml:space="preserve">: Designate Workers' Comp as FMLA/CFRA to burn entitlement.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[Workers' Comp Checklist]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POSTINGS → LEAVE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FMLA Poster</w:t>
      </w:r>
      <w:r w:rsidDel="00000000" w:rsidR="00000000" w:rsidRPr="00000000">
        <w:rPr>
          <w:rtl w:val="0"/>
        </w:rPr>
        <w:t xml:space="preserve">: Mandatory for 50+.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[Posting Checklist]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Penalties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Federal Suit</w:t>
      </w:r>
      <w:r w:rsidDel="00000000" w:rsidR="00000000" w:rsidRPr="00000000">
        <w:rPr>
          <w:rtl w:val="0"/>
        </w:rPr>
        <w:t xml:space="preserve">: FMLA allows federal lawsuits + liquidated (double) damages.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