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720"/>
        <w:jc w:val="center"/>
      </w:pPr>
      <w:r>
        <w:rPr>
          <w:b/>
          <w:bCs/>
          <w:sz w:val="36"/>
          <w:szCs w:val="36"/>
        </w:rPr>
        <w:t xml:space="preserve">HR PROFESSIONAL OBLIGATIONS</w:t>
      </w:r>
    </w:p>
    <w:p>
      <w:pPr>
        <w:spacing w:after="1440"/>
        <w:jc w:val="center"/>
      </w:pPr>
      <w:r>
        <w:rPr>
          <w:sz w:val="24"/>
          <w:szCs w:val="24"/>
        </w:rPr>
        <w:t xml:space="preserve">Reporting Requirements &amp; Protective Measures Analysis</w:t>
      </w:r>
    </w:p>
    <w:p>
      <w:pPr>
        <w:pStyle w:val="Heading1"/>
      </w:pPr>
      <w:r>
        <w:t xml:space="preserve">I. EXECUTIVE SUMMARY OF OBLIGATIONS</w:t>
      </w:r>
    </w:p>
    <w:p>
      <w:pPr>
        <w:spacing w:after="240"/>
      </w:pPr>
      <w:r>
        <w:t xml:space="preserve">This document analyzes your professional obligations, mandatory reporting requirements, and protective measures in light of the critical compliance violations discovered at Sapphos Environmental, Inc.</w:t>
      </w:r>
    </w:p>
    <w:p>
      <w:pPr>
        <w:spacing w:after="360"/>
      </w:pPr>
      <w:r>
        <w:rPr>
          <w:b/>
          <w:bCs/>
          <w:color w:val="1F4788"/>
        </w:rPr>
        <w:t xml:space="preserve">Key Finding: </w:t>
      </w:r>
      <w:r>
        <w:rPr>
          <w:color w:val="1F4788"/>
        </w:rPr>
        <w:t xml:space="preserve">While no statute mandates external reporting to regulatory agencies for the violations discovered, you have critical professional obligations to document findings, recommend corrective action, and protect yourself from potential liability exposure.</w:t>
      </w:r>
    </w:p>
    <w:p>
      <w:r>
        <w:br w:type="page"/>
      </w:r>
    </w:p>
    <w:p>
      <w:pPr>
        <w:pStyle w:val="Heading1"/>
      </w:pPr>
      <w:r>
        <w:t xml:space="preserve">II. STATUTORY REPORTING REQUIREMENTS ANALYSIS</w:t>
      </w:r>
    </w:p>
    <w:p>
      <w:pPr>
        <w:pStyle w:val="Heading2"/>
      </w:pPr>
      <w:r>
        <w:t xml:space="preserve">A. NO Mandatory External Reporting for Discovered Violations</w:t>
      </w:r>
    </w:p>
    <w:p>
      <w:pPr>
        <w:spacing w:after="240"/>
      </w:pPr>
      <w:r>
        <w:t xml:space="preserve">After comprehensive analysis, there are NO statutory requirements mandating that an HR professional report the discovered violations to external regulatory agencies. However, this does not eliminate professional obligations or liability concerns.</w:t>
      </w:r>
    </w:p>
    <w:p>
      <w:pPr>
        <w:pStyle w:val="Heading3"/>
      </w:pPr>
      <w:r>
        <w:t xml:space="preserve">1. ERISA/401(k) Violations - NO Mandatory External Reporting</w:t>
      </w:r>
    </w:p>
    <w:p>
      <w:pPr>
        <w:spacing w:after="120"/>
      </w:pPr>
      <w:r>
        <w:rPr>
          <w:b/>
          <w:bCs/>
        </w:rPr>
        <w:t xml:space="preserve">Statute: </w:t>
      </w:r>
      <w:r>
        <w:t xml:space="preserve">29 USC §§ 1001-1461 (ERISA)</w:t>
      </w:r>
    </w:p>
    <w:p>
      <w:pPr>
        <w:spacing w:after="240"/>
      </w:pPr>
      <w:r>
        <w:rPr>
          <w:b/>
          <w:bCs/>
        </w:rPr>
        <w:t xml:space="preserve">Analysis:</w:t>
      </w:r>
    </w:p>
    <w:p>
      <w:pPr>
        <w:spacing w:after="120"/>
      </w:pPr>
      <w:r>
        <w:t xml:space="preserve">• No provision requires HR professionals to report operational failures to DOL</w:t>
      </w:r>
    </w:p>
    <w:p>
      <w:pPr>
        <w:spacing w:after="120"/>
      </w:pPr>
      <w:r>
        <w:t xml:space="preserve">• Fiduciary duty rests with plan administrators and company officers, not HR staff</w:t>
      </w:r>
    </w:p>
    <w:p>
      <w:pPr>
        <w:spacing w:after="120"/>
      </w:pPr>
      <w:r>
        <w:t xml:space="preserve">• Voluntary Correction Program (VCP) exists but is employer's choice to pursue</w:t>
      </w:r>
    </w:p>
    <w:p>
      <w:pPr>
        <w:spacing w:after="240" w:before="240"/>
      </w:pPr>
      <w:r>
        <w:rPr>
          <w:b/>
          <w:bCs/>
          <w:color w:val="C00000"/>
        </w:rPr>
        <w:t xml:space="preserve">CRITICAL DISTINCTION:</w:t>
      </w:r>
    </w:p>
    <w:p>
      <w:pPr>
        <w:spacing w:after="120"/>
      </w:pPr>
      <w:r>
        <w:rPr>
          <w:b/>
          <w:bCs/>
        </w:rPr>
        <w:t xml:space="preserve">Professional Obligation: </w:t>
      </w:r>
      <w:r>
        <w:t xml:space="preserve">You MUST document the violation in writing to employer and recommend VCP consultation with ERISA counsel</w:t>
      </w:r>
    </w:p>
    <w:p>
      <w:pPr>
        <w:spacing w:after="120"/>
      </w:pPr>
      <w:r>
        <w:rPr>
          <w:b/>
          <w:bCs/>
        </w:rPr>
        <w:t xml:space="preserve">Statutory Obligation: </w:t>
      </w:r>
      <w:r>
        <w:t xml:space="preserve">You do NOT have legal duty to file DOL report yourself</w:t>
      </w:r>
    </w:p>
    <w:p>
      <w:pPr>
        <w:spacing w:after="240"/>
      </w:pPr>
      <w:r>
        <w:rPr>
          <w:b/>
          <w:bCs/>
        </w:rPr>
        <w:t xml:space="preserve">Liability Protection: </w:t>
      </w:r>
      <w:r>
        <w:t xml:space="preserve">Document in writing that you advised employer of (1) ERISA violations, (2) fiduciary breach risk, (3) VCP option, and (4) need for ERISA counsel. Maintain copy for your records.</w:t>
      </w:r>
    </w:p>
    <w:p>
      <w:pPr>
        <w:pStyle w:val="Heading3"/>
      </w:pPr>
      <w:r>
        <w:t xml:space="preserve">2. I-9/E-Verify Violations - NO Mandatory External Reporting</w:t>
      </w:r>
    </w:p>
    <w:p>
      <w:pPr>
        <w:spacing w:after="120"/>
      </w:pPr>
      <w:r>
        <w:rPr>
          <w:b/>
          <w:bCs/>
        </w:rPr>
        <w:t xml:space="preserve">Statute: </w:t>
      </w:r>
      <w:r>
        <w:t xml:space="preserve">8 USC § 1324a (Immigration Reform and Control Act)</w:t>
      </w:r>
    </w:p>
    <w:p>
      <w:pPr>
        <w:spacing w:after="240"/>
      </w:pPr>
      <w:r>
        <w:rPr>
          <w:b/>
          <w:bCs/>
        </w:rPr>
        <w:t xml:space="preserve">Analysis:</w:t>
      </w:r>
    </w:p>
    <w:p>
      <w:pPr>
        <w:spacing w:after="120"/>
      </w:pPr>
      <w:r>
        <w:t xml:space="preserve">• No provision requires employers or HR professionals to self-report I-9 deficiencies to ICE/USCIS</w:t>
      </w:r>
    </w:p>
    <w:p>
      <w:pPr>
        <w:spacing w:after="120"/>
      </w:pPr>
      <w:r>
        <w:t xml:space="preserve">• E-Verify MOU breach is contract matter with USCIS, not criminal violation requiring reporting</w:t>
      </w:r>
    </w:p>
    <w:p>
      <w:pPr>
        <w:spacing w:after="120"/>
      </w:pPr>
      <w:r>
        <w:t xml:space="preserve">• Missing/incomplete I-9s are civil violations subject to ICE audit, not mandatory disclosure events</w:t>
      </w:r>
    </w:p>
    <w:p>
      <w:pPr>
        <w:spacing w:after="240" w:before="240"/>
      </w:pPr>
      <w:r>
        <w:rPr>
          <w:b/>
          <w:bCs/>
          <w:color w:val="C00000"/>
        </w:rPr>
        <w:t xml:space="preserve">EXCEPTION - MUST REPORT IF:</w:t>
      </w:r>
    </w:p>
    <w:p>
      <w:pPr>
        <w:spacing w:after="120"/>
      </w:pPr>
      <w:r>
        <w:rPr>
          <w:color w:val="C00000"/>
        </w:rPr>
        <w:t xml:space="preserve">If I-9 audit reveals actual unauthorized workers (failed verification, expired work authorization, fraudulent documents), employer MUST terminate and may not continue employment. Continued employment with knowledge = 'knowing hire' violation (criminal offense).</w:t>
      </w:r>
    </w:p>
    <w:p>
      <w:pPr>
        <w:spacing w:after="240"/>
      </w:pPr>
      <w:r>
        <w:rPr>
          <w:b/>
          <w:bCs/>
        </w:rPr>
        <w:t xml:space="preserve">Current Status: </w:t>
      </w:r>
      <w:r>
        <w:t xml:space="preserve">No evidence of unauthorized workers discovered. Violations are procedural (missing forms, incomplete sections, E-Verify abandonment) but no substantive 'knowing hire' issues identified.</w:t>
      </w:r>
    </w:p>
    <w:p>
      <w:pPr>
        <w:spacing w:after="240"/>
      </w:pPr>
      <w:r>
        <w:rPr>
          <w:b/>
          <w:bCs/>
        </w:rPr>
        <w:t xml:space="preserve">Liability Protection: </w:t>
      </w:r>
      <w:r>
        <w:t xml:space="preserve">Document in writing that you (1) conducted I-9 audit, (2) identified procedural deficiencies, (3) found no evidence of unauthorized workers, (4) recommended immigration counsel review, and (5) advised immediate E-Verify MOU compliance or termination.</w:t>
      </w:r>
    </w:p>
    <w:p>
      <w:pPr>
        <w:pStyle w:val="Heading3"/>
      </w:pPr>
      <w:r>
        <w:t xml:space="preserve">3. ADA/CMIA Medical Privacy - NO Mandatory External Reporting</w:t>
      </w:r>
    </w:p>
    <w:p>
      <w:pPr>
        <w:spacing w:after="120"/>
      </w:pPr>
      <w:r>
        <w:rPr>
          <w:b/>
          <w:bCs/>
        </w:rPr>
        <w:t xml:space="preserve">Statutes: </w:t>
      </w:r>
      <w:r>
        <w:t xml:space="preserve">42 USC § 12112(d)(3)(B) (ADA); Cal. Civ. Code §§ 56-56.37 (CMIA)</w:t>
      </w:r>
    </w:p>
    <w:p>
      <w:pPr>
        <w:spacing w:after="240"/>
      </w:pPr>
      <w:r>
        <w:rPr>
          <w:b/>
          <w:bCs/>
        </w:rPr>
        <w:t xml:space="preserve">Analysis:</w:t>
      </w:r>
    </w:p>
    <w:p>
      <w:pPr>
        <w:spacing w:after="120"/>
      </w:pPr>
      <w:r>
        <w:t xml:space="preserve">• ADA medical confidentiality violations are enforced through EEOC complaints by affected employees, not proactive agency audits</w:t>
      </w:r>
    </w:p>
    <w:p>
      <w:pPr>
        <w:spacing w:after="120"/>
      </w:pPr>
      <w:r>
        <w:t xml:space="preserve">• CMIA violations create private right of action; no state agency reporting requirement</w:t>
      </w:r>
    </w:p>
    <w:p>
      <w:pPr>
        <w:spacing w:after="120"/>
      </w:pPr>
      <w:r>
        <w:t xml:space="preserve">• NO requirement for HR professionals to report improper storage/access controls to HHS or DFEH</w:t>
      </w:r>
    </w:p>
    <w:p>
      <w:pPr>
        <w:spacing w:after="240" w:before="240"/>
      </w:pPr>
      <w:r>
        <w:rPr>
          <w:b/>
          <w:bCs/>
          <w:color w:val="C00000"/>
        </w:rPr>
        <w:t xml:space="preserve">EXCEPTION - MUST REPORT IF:</w:t>
      </w:r>
    </w:p>
    <w:p>
      <w:pPr>
        <w:spacing w:after="240"/>
      </w:pPr>
      <w:r>
        <w:rPr>
          <w:color w:val="C00000"/>
        </w:rPr>
        <w:t xml:space="preserve">If medical information breach occurs (unauthorized disclosure to third parties, data breach exposing medical records), employer MUST provide breach notification to affected individuals under Cal. Civ. Code § 1798.82. This is employer obligation, not HR professional obligation, but you should document that you advised employer of breach notification requirements.</w:t>
      </w:r>
    </w:p>
    <w:p>
      <w:pPr>
        <w:spacing w:after="240"/>
      </w:pPr>
      <w:r>
        <w:rPr>
          <w:b/>
          <w:bCs/>
        </w:rPr>
        <w:t xml:space="preserve">Current Status: </w:t>
      </w:r>
      <w:r>
        <w:t xml:space="preserve">Violations are procedural (commingled files, unlocked storage, no access controls). No evidence of actual unauthorized disclosure to external parties.</w:t>
      </w:r>
    </w:p>
    <w:p>
      <w:pPr>
        <w:spacing w:after="240"/>
      </w:pPr>
      <w:r>
        <w:rPr>
          <w:b/>
          <w:bCs/>
        </w:rPr>
        <w:t xml:space="preserve">Liability Protection: </w:t>
      </w:r>
      <w:r>
        <w:t xml:space="preserve">Document in writing that you (1) discovered medical records commingled with general files, (2) recommended immediate segregation into locked confidential files, (3) recommended access control implementation, and (4) advised employment counsel review of ADA/CMIA exposure.</w:t>
      </w:r>
    </w:p>
    <w:p>
      <w:r>
        <w:br w:type="page"/>
      </w:r>
    </w:p>
    <w:p>
      <w:pPr>
        <w:pStyle w:val="Heading2"/>
      </w:pPr>
      <w:r>
        <w:t xml:space="preserve">B. Professional Ethics Reporting Obligations</w:t>
      </w:r>
    </w:p>
    <w:p>
      <w:pPr>
        <w:spacing w:after="240"/>
      </w:pPr>
      <w:r>
        <w:t xml:space="preserve">While no statutes mandate external reporting, professional ethics codes impose internal reporting and documentation obligations:</w:t>
      </w:r>
    </w:p>
    <w:p>
      <w:pPr>
        <w:pStyle w:val="Heading3"/>
      </w:pPr>
      <w:r>
        <w:t xml:space="preserve">1. SHRM Code of Ethics</w:t>
      </w:r>
    </w:p>
    <w:p>
      <w:pPr>
        <w:spacing w:after="240"/>
      </w:pPr>
      <w:r>
        <w:rPr>
          <w:b/>
          <w:bCs/>
        </w:rPr>
        <w:t xml:space="preserve">Core Principle: Professional Responsibility</w:t>
      </w:r>
    </w:p>
    <w:p>
      <w:pPr>
        <w:spacing w:after="120"/>
      </w:pPr>
      <w:r>
        <w:t xml:space="preserve">HR professionals must:</w:t>
      </w:r>
    </w:p>
    <w:p>
      <w:pPr>
        <w:spacing w:after="120"/>
      </w:pPr>
      <w:r>
        <w:t xml:space="preserve">• Maintain professional responsibility for employment decisions</w:t>
      </w:r>
    </w:p>
    <w:p>
      <w:pPr>
        <w:spacing w:after="120"/>
      </w:pPr>
      <w:r>
        <w:t xml:space="preserve">• Act with integrity in all professional relationships</w:t>
      </w:r>
    </w:p>
    <w:p>
      <w:pPr>
        <w:spacing w:after="120"/>
      </w:pPr>
      <w:r>
        <w:t xml:space="preserve">• Advocate for legal and ethical organizational conduct</w:t>
      </w:r>
    </w:p>
    <w:p>
      <w:pPr>
        <w:spacing w:after="240"/>
      </w:pPr>
      <w:r>
        <w:t xml:space="preserve">• Withdraw from conflicting situations that pose ethical dilemmas</w:t>
      </w:r>
    </w:p>
    <w:p>
      <w:pPr>
        <w:spacing w:after="240"/>
      </w:pPr>
      <w:r>
        <w:rPr>
          <w:b/>
          <w:bCs/>
        </w:rPr>
        <w:t xml:space="preserve">Application to Your Situation:</w:t>
      </w:r>
    </w:p>
    <w:p>
      <w:pPr>
        <w:spacing w:after="120"/>
      </w:pPr>
      <w:r>
        <w:rPr>
          <w:b/>
          <w:bCs/>
        </w:rPr>
        <w:t xml:space="preserve">Required Actions:</w:t>
      </w:r>
    </w:p>
    <w:p>
      <w:pPr>
        <w:spacing w:after="120"/>
      </w:pPr>
      <w:r>
        <w:t xml:space="preserve">1. Document all violations discovered in written report to employer (satisfied by your findings report to Robert Half)</w:t>
      </w:r>
    </w:p>
    <w:p>
      <w:pPr>
        <w:spacing w:after="120"/>
      </w:pPr>
      <w:r>
        <w:t xml:space="preserve">2. Recommend specific corrective actions with legal authority citations</w:t>
      </w:r>
    </w:p>
    <w:p>
      <w:pPr>
        <w:spacing w:after="120"/>
      </w:pPr>
      <w:r>
        <w:t xml:space="preserve">3. Advise escalation to appropriate legal counsel (immigration, ERISA, employment)</w:t>
      </w:r>
    </w:p>
    <w:p>
      <w:pPr>
        <w:spacing w:after="240"/>
      </w:pPr>
      <w:r>
        <w:t xml:space="preserve">4. Maintain personal copies of all documentation for professional liability protection</w:t>
      </w:r>
    </w:p>
    <w:p>
      <w:pPr>
        <w:spacing w:after="240"/>
      </w:pPr>
      <w:r>
        <w:rPr>
          <w:b/>
          <w:bCs/>
          <w:color w:val="C00000"/>
        </w:rPr>
        <w:t xml:space="preserve">Withdrawal Trigger:</w:t>
      </w:r>
    </w:p>
    <w:p>
      <w:pPr>
        <w:spacing w:after="240"/>
      </w:pPr>
      <w:r>
        <w:rPr>
          <w:color w:val="C00000"/>
        </w:rPr>
        <w:t xml:space="preserve">If employer refuses to engage legal counsel after being advised of criminal liability (I-9 violations) or fiduciary breach (ERISA), professional ethics require you to withdraw from assignment to avoid complicity in ongoing violations.</w:t>
      </w:r>
    </w:p>
    <w:p>
      <w:pPr>
        <w:pStyle w:val="Heading3"/>
      </w:pPr>
      <w:r>
        <w:t xml:space="preserve">2. HRCI Certification Standards</w:t>
      </w:r>
    </w:p>
    <w:p>
      <w:pPr>
        <w:spacing w:after="240"/>
      </w:pPr>
      <w:r>
        <w:rPr>
          <w:b/>
          <w:bCs/>
        </w:rPr>
        <w:t xml:space="preserve">Code of Ethics for Certified Professionals</w:t>
      </w:r>
    </w:p>
    <w:p>
      <w:pPr>
        <w:spacing w:after="120"/>
      </w:pPr>
      <w:r>
        <w:rPr>
          <w:b/>
          <w:bCs/>
        </w:rPr>
        <w:t xml:space="preserve">Professional Responsibility:</w:t>
      </w:r>
    </w:p>
    <w:p>
      <w:pPr>
        <w:spacing w:after="120"/>
      </w:pPr>
      <w:r>
        <w:t xml:space="preserve">• Maintain and improve professional competence</w:t>
      </w:r>
    </w:p>
    <w:p>
      <w:pPr>
        <w:spacing w:after="120"/>
      </w:pPr>
      <w:r>
        <w:t xml:space="preserve">• Comply with all applicable laws and regulations</w:t>
      </w:r>
    </w:p>
    <w:p>
      <w:pPr>
        <w:spacing w:after="120"/>
      </w:pPr>
      <w:r>
        <w:t xml:space="preserve">• Report violations of law or ethics to appropriate authorities</w:t>
      </w:r>
    </w:p>
    <w:p>
      <w:pPr>
        <w:spacing w:after="240" w:before="240"/>
      </w:pPr>
      <w:r>
        <w:rPr>
          <w:b/>
          <w:bCs/>
        </w:rPr>
        <w:t xml:space="preserve">IMPORTANT DISTINCTION:</w:t>
      </w:r>
    </w:p>
    <w:p>
      <w:pPr>
        <w:spacing w:after="240"/>
      </w:pPr>
      <w:r>
        <w:rPr>
          <w:b/>
          <w:bCs/>
        </w:rPr>
        <w:t xml:space="preserve">'Appropriate authorities' in HRCI context means:</w:t>
      </w:r>
    </w:p>
    <w:p>
      <w:pPr>
        <w:spacing w:after="120"/>
      </w:pPr>
      <w:r>
        <w:rPr>
          <w:b/>
          <w:bCs/>
        </w:rPr>
        <w:t xml:space="preserve">Internal: </w:t>
      </w:r>
      <w:r>
        <w:t xml:space="preserve">Report to employer leadership, board of directors, legal counsel</w:t>
      </w:r>
    </w:p>
    <w:p>
      <w:pPr>
        <w:spacing w:after="120"/>
      </w:pPr>
      <w:r>
        <w:rPr>
          <w:b/>
          <w:bCs/>
        </w:rPr>
        <w:t xml:space="preserve">External (only if internal fails): </w:t>
      </w:r>
      <w:r>
        <w:t xml:space="preserve">Report to regulatory agencies if employer refuses to remedy violations creating substantial public harm</w:t>
      </w:r>
    </w:p>
    <w:p>
      <w:pPr>
        <w:spacing w:after="240" w:before="240"/>
      </w:pPr>
      <w:r>
        <w:rPr>
          <w:b/>
          <w:bCs/>
        </w:rPr>
        <w:t xml:space="preserve">Your Situation:</w:t>
      </w:r>
    </w:p>
    <w:p>
      <w:pPr>
        <w:spacing w:after="120"/>
      </w:pPr>
      <w:r>
        <w:rPr>
          <w:b/>
          <w:bCs/>
        </w:rPr>
        <w:t xml:space="preserve">Step 1 (Current): </w:t>
      </w:r>
      <w:r>
        <w:t xml:space="preserve">Report violations to Robert Half (your employer) who will escalate to Sapphos leadership</w:t>
      </w:r>
    </w:p>
    <w:p>
      <w:pPr>
        <w:spacing w:after="120"/>
      </w:pPr>
      <w:r>
        <w:rPr>
          <w:b/>
          <w:bCs/>
        </w:rPr>
        <w:t xml:space="preserve">Step 2 (If needed): </w:t>
      </w:r>
      <w:r>
        <w:t xml:space="preserve">If Sapphos refuses to engage legal counsel or remedy violations, consult with Robert Half legal counsel about external reporting obligations</w:t>
      </w:r>
    </w:p>
    <w:p>
      <w:pPr>
        <w:spacing w:after="240"/>
      </w:pPr>
      <w:r>
        <w:rPr>
          <w:b/>
          <w:bCs/>
        </w:rPr>
        <w:t xml:space="preserve">Step 3 (Last resort): </w:t>
      </w:r>
      <w:r>
        <w:t xml:space="preserve">Withdraw from assignment if employer persists in violations creating personal liability exposure</w:t>
      </w:r>
    </w:p>
    <w:p>
      <w:r>
        <w:br w:type="page"/>
      </w:r>
    </w:p>
    <w:p>
      <w:pPr>
        <w:pStyle w:val="Heading1"/>
      </w:pPr>
      <w:r>
        <w:t xml:space="preserve">III. PERSONAL LIABILITY RISK ANALYSIS</w:t>
      </w:r>
    </w:p>
    <w:p>
      <w:pPr>
        <w:pStyle w:val="Heading2"/>
      </w:pPr>
      <w:r>
        <w:t xml:space="preserve">A. Contract vs. Employment Status Considerations</w:t>
      </w:r>
    </w:p>
    <w:p>
      <w:pPr>
        <w:spacing w:after="240"/>
      </w:pPr>
      <w:r>
        <w:rPr>
          <w:b/>
          <w:bCs/>
          <w:color w:val="1F4788"/>
        </w:rPr>
        <w:t xml:space="preserve">Critical Protective Factor:</w:t>
      </w:r>
    </w:p>
    <w:p>
      <w:pPr>
        <w:spacing w:after="240"/>
      </w:pPr>
      <w:r>
        <w:t xml:space="preserve">As a contractor placed by Robert Half (not direct Sapphos employee), you have significantly reduced personal liability exposure compared to permanent HR Director. However, this does not eliminate all risk.</w:t>
      </w:r>
    </w:p>
    <w:p>
      <w:pPr>
        <w:pStyle w:val="Heading3"/>
      </w:pPr>
      <w:r>
        <w:t xml:space="preserve">1. Reduced Exposure Areas</w:t>
      </w:r>
    </w:p>
    <w:p>
      <w:pPr>
        <w:spacing w:after="120"/>
      </w:pPr>
      <w:r>
        <w:rPr>
          <w:b/>
          <w:bCs/>
        </w:rPr>
        <w:t xml:space="preserve">ERISA Fiduciary Liability: </w:t>
      </w:r>
      <w:r>
        <w:t xml:space="preserve">You are NOT a plan fiduciary; liability rests with company officers/plan administrator</w:t>
      </w:r>
    </w:p>
    <w:p>
      <w:pPr>
        <w:spacing w:after="120"/>
      </w:pPr>
      <w:r>
        <w:rPr>
          <w:b/>
          <w:bCs/>
        </w:rPr>
        <w:t xml:space="preserve">I-9 Employer Liability: </w:t>
      </w:r>
      <w:r>
        <w:t xml:space="preserve">Penalties assessed against employer entity, not individual HR staff</w:t>
      </w:r>
    </w:p>
    <w:p>
      <w:pPr>
        <w:spacing w:after="120"/>
      </w:pPr>
      <w:r>
        <w:rPr>
          <w:b/>
          <w:bCs/>
        </w:rPr>
        <w:t xml:space="preserve">Tax Withholding Violations: </w:t>
      </w:r>
      <w:r>
        <w:t xml:space="preserve">IRS/FTB penalties against employer, not HR contractor</w:t>
      </w:r>
    </w:p>
    <w:p>
      <w:pPr>
        <w:spacing w:after="240"/>
      </w:pPr>
      <w:r>
        <w:rPr>
          <w:b/>
          <w:bCs/>
        </w:rPr>
        <w:t xml:space="preserve">CMIA Civil Penalties: </w:t>
      </w:r>
      <w:r>
        <w:t xml:space="preserve">Employer liability; individual liability only if you personally disclose medical information without authorization</w:t>
      </w:r>
    </w:p>
    <w:p>
      <w:pPr>
        <w:pStyle w:val="Heading3"/>
      </w:pPr>
      <w:r>
        <w:t xml:space="preserve">2. Remaining Exposure Areas</w:t>
      </w:r>
    </w:p>
    <w:p>
      <w:pPr>
        <w:spacing w:after="240"/>
      </w:pPr>
      <w:r>
        <w:rPr>
          <w:b/>
          <w:bCs/>
        </w:rPr>
        <w:t xml:space="preserve">Professional Malpractice:</w:t>
      </w:r>
    </w:p>
    <w:p>
      <w:pPr>
        <w:spacing w:after="120"/>
      </w:pPr>
      <w:r>
        <w:t xml:space="preserve">• If you provide erroneous advice resulting in employer harm, Robert Half's professional liability insurance should cover</w:t>
      </w:r>
    </w:p>
    <w:p>
      <w:pPr>
        <w:spacing w:after="120"/>
      </w:pPr>
      <w:r>
        <w:t xml:space="preserve">• Document all recommendations in writing to establish you advised correctly</w:t>
      </w:r>
    </w:p>
    <w:p>
      <w:pPr>
        <w:spacing w:after="240"/>
      </w:pPr>
      <w:r>
        <w:t xml:space="preserve">• If employer ignores advice and suffers penalties, documented warnings protect you from malpractice claims</w:t>
      </w:r>
    </w:p>
    <w:p>
      <w:pPr>
        <w:spacing w:after="240"/>
      </w:pPr>
      <w:r>
        <w:rPr>
          <w:b/>
          <w:bCs/>
        </w:rPr>
        <w:t xml:space="preserve">Aiding/Abetting Violations:</w:t>
      </w:r>
    </w:p>
    <w:p>
      <w:pPr>
        <w:spacing w:after="120"/>
      </w:pPr>
      <w:r>
        <w:t xml:space="preserve">• If you knowingly participate in ongoing violations after discovery, potential individual liability</w:t>
      </w:r>
    </w:p>
    <w:p>
      <w:pPr>
        <w:spacing w:after="120"/>
      </w:pPr>
      <w:r>
        <w:rPr>
          <w:b/>
          <w:bCs/>
        </w:rPr>
        <w:t xml:space="preserve">Example: </w:t>
      </w:r>
      <w:r>
        <w:t xml:space="preserve">If you discover unauthorized worker and employer directs you to ignore it, continuing employment makes you complicit in 'knowing hire' violation</w:t>
      </w:r>
    </w:p>
    <w:p>
      <w:pPr>
        <w:spacing w:after="240"/>
      </w:pPr>
      <w:r>
        <w:rPr>
          <w:b/>
          <w:bCs/>
        </w:rPr>
        <w:t xml:space="preserve">Protection: </w:t>
      </w:r>
      <w:r>
        <w:t xml:space="preserve">Document objection in writing; refuse to participate; escalate to Robert Half; withdraw if necessary</w:t>
      </w:r>
    </w:p>
    <w:p>
      <w:pPr>
        <w:spacing w:after="240"/>
      </w:pPr>
      <w:r>
        <w:rPr>
          <w:b/>
          <w:bCs/>
        </w:rPr>
        <w:t xml:space="preserve">Credential Jeopardy:</w:t>
      </w:r>
    </w:p>
    <w:p>
      <w:pPr>
        <w:spacing w:after="120"/>
      </w:pPr>
      <w:r>
        <w:t xml:space="preserve">• SHRM-SCP or HRCI certifications can be revoked for ethics violations</w:t>
      </w:r>
    </w:p>
    <w:p>
      <w:pPr>
        <w:spacing w:after="120"/>
      </w:pPr>
      <w:r>
        <w:t xml:space="preserve">• Participating in violations after discovery without documenting objection = ethics violation</w:t>
      </w:r>
    </w:p>
    <w:p>
      <w:pPr>
        <w:spacing w:after="240"/>
      </w:pPr>
      <w:r>
        <w:rPr>
          <w:b/>
          <w:bCs/>
        </w:rPr>
        <w:t xml:space="preserve">Protection: </w:t>
      </w:r>
      <w:r>
        <w:t xml:space="preserve">This findings report satisfies documentation requirement; maintain personal copy</w:t>
      </w:r>
    </w:p>
    <w:p>
      <w:r>
        <w:br w:type="page"/>
      </w:r>
    </w:p>
    <w:p>
      <w:pPr>
        <w:pStyle w:val="Heading2"/>
      </w:pPr>
      <w:r>
        <w:t xml:space="preserve">B. Liability Protection Checklist</w:t>
      </w:r>
    </w:p>
    <w:p>
      <w:pPr>
        <w:spacing w:after="240"/>
      </w:pPr>
      <w:r>
        <w:rPr>
          <w:b/>
          <w:bCs/>
        </w:rPr>
        <w:t xml:space="preserve">Immediate Actions to Protect Yourself: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66666" w:sz="1"/>
              <w:left w:val="single" w:color="666666" w:sz="1"/>
              <w:bottom w:val="single" w:color="666666" w:sz="1"/>
              <w:right w:val="single" w:color="666666" w:sz="1"/>
            </w:tcBorders>
            <w:shd w:fill="E8F4F8" w:val="clear"/>
            <w:tcMar>
              <w:top w:type="dxa" w:w="80"/>
              <w:left w:type="dxa" w:w="120"/>
              <w:bottom w:type="dxa" w:w="80"/>
              <w:right w:type="dxa" w:w="120"/>
            </w:tcMar>
            <w:vAlign w:val="center"/>
          </w:tcPr>
          <w:p>
            <w:pPr>
              <w:jc w:val="center"/>
            </w:pPr>
            <w:r>
              <w:rPr>
                <w:sz w:val="32"/>
                <w:szCs w:val="32"/>
              </w:rPr>
              <w:t xml:space="preserve">☑</w:t>
            </w:r>
          </w:p>
        </w:tc>
        <w:tc>
          <w:tcPr>
            <w:tcW w:type="dxa" w:w="8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b/>
                <w:bCs/>
              </w:rPr>
              <w:t xml:space="preserve">Submit formal findings report to Robert Half </w:t>
            </w:r>
            <w:r>
              <w:t xml:space="preserve">(completed by this document)</w:t>
            </w:r>
          </w:p>
        </w:tc>
      </w:tr>
      <w:tr>
        <w:tc>
          <w:tcPr>
            <w:tcW w:type="dxa" w:w="600"/>
            <w:tcBorders>
              <w:top w:val="single" w:color="666666" w:sz="1"/>
              <w:left w:val="single" w:color="666666" w:sz="1"/>
              <w:bottom w:val="single" w:color="666666" w:sz="1"/>
              <w:right w:val="single" w:color="666666" w:sz="1"/>
            </w:tcBorders>
            <w:shd w:fill="E8F4F8" w:val="clear"/>
            <w:tcMar>
              <w:top w:type="dxa" w:w="80"/>
              <w:left w:type="dxa" w:w="120"/>
              <w:bottom w:type="dxa" w:w="80"/>
              <w:right w:type="dxa" w:w="120"/>
            </w:tcMar>
            <w:vAlign w:val="center"/>
          </w:tcPr>
          <w:p>
            <w:pPr>
              <w:jc w:val="center"/>
            </w:pPr>
            <w:r>
              <w:rPr>
                <w:sz w:val="32"/>
                <w:szCs w:val="32"/>
              </w:rPr>
              <w:t xml:space="preserve">□</w:t>
            </w:r>
          </w:p>
        </w:tc>
        <w:tc>
          <w:tcPr>
            <w:tcW w:type="dxa" w:w="8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b/>
                <w:bCs/>
              </w:rPr>
              <w:t xml:space="preserve">Maintain personal copies of all documentation </w:t>
            </w:r>
            <w:r>
              <w:t xml:space="preserve">(email to personal account, save to personal drive)</w:t>
            </w:r>
          </w:p>
        </w:tc>
      </w:tr>
      <w:tr>
        <w:tc>
          <w:tcPr>
            <w:tcW w:type="dxa" w:w="600"/>
            <w:tcBorders>
              <w:top w:val="single" w:color="666666" w:sz="1"/>
              <w:left w:val="single" w:color="666666" w:sz="1"/>
              <w:bottom w:val="single" w:color="666666" w:sz="1"/>
              <w:right w:val="single" w:color="666666" w:sz="1"/>
            </w:tcBorders>
            <w:shd w:fill="E8F4F8" w:val="clear"/>
            <w:tcMar>
              <w:top w:type="dxa" w:w="80"/>
              <w:left w:type="dxa" w:w="120"/>
              <w:bottom w:type="dxa" w:w="80"/>
              <w:right w:type="dxa" w:w="120"/>
            </w:tcMar>
            <w:vAlign w:val="center"/>
          </w:tcPr>
          <w:p>
            <w:pPr>
              <w:jc w:val="center"/>
            </w:pPr>
            <w:r>
              <w:rPr>
                <w:sz w:val="32"/>
                <w:szCs w:val="32"/>
              </w:rPr>
              <w:t xml:space="preserve">□</w:t>
            </w:r>
          </w:p>
        </w:tc>
        <w:tc>
          <w:tcPr>
            <w:tcW w:type="dxa" w:w="8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b/>
                <w:bCs/>
              </w:rPr>
              <w:t xml:space="preserve">Request written confirmation from Robert Half </w:t>
            </w:r>
            <w:r>
              <w:t xml:space="preserve">that findings report forwarded to Sapphos leadership</w:t>
            </w:r>
          </w:p>
        </w:tc>
      </w:tr>
      <w:tr>
        <w:tc>
          <w:tcPr>
            <w:tcW w:type="dxa" w:w="600"/>
            <w:tcBorders>
              <w:top w:val="single" w:color="666666" w:sz="1"/>
              <w:left w:val="single" w:color="666666" w:sz="1"/>
              <w:bottom w:val="single" w:color="666666" w:sz="1"/>
              <w:right w:val="single" w:color="666666" w:sz="1"/>
            </w:tcBorders>
            <w:shd w:fill="E8F4F8" w:val="clear"/>
            <w:tcMar>
              <w:top w:type="dxa" w:w="80"/>
              <w:left w:type="dxa" w:w="120"/>
              <w:bottom w:type="dxa" w:w="80"/>
              <w:right w:type="dxa" w:w="120"/>
            </w:tcMar>
            <w:vAlign w:val="center"/>
          </w:tcPr>
          <w:p>
            <w:pPr>
              <w:jc w:val="center"/>
            </w:pPr>
            <w:r>
              <w:rPr>
                <w:sz w:val="32"/>
                <w:szCs w:val="32"/>
              </w:rPr>
              <w:t xml:space="preserve">□</w:t>
            </w:r>
          </w:p>
        </w:tc>
        <w:tc>
          <w:tcPr>
            <w:tcW w:type="dxa" w:w="8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b/>
                <w:bCs/>
              </w:rPr>
              <w:t xml:space="preserve">Document all verbal discussions in follow-up emails </w:t>
            </w:r>
            <w:r>
              <w:t xml:space="preserve">(create written record of advice given, employer response)</w:t>
            </w:r>
          </w:p>
        </w:tc>
      </w:tr>
      <w:tr>
        <w:tc>
          <w:tcPr>
            <w:tcW w:type="dxa" w:w="600"/>
            <w:tcBorders>
              <w:top w:val="single" w:color="666666" w:sz="1"/>
              <w:left w:val="single" w:color="666666" w:sz="1"/>
              <w:bottom w:val="single" w:color="666666" w:sz="1"/>
              <w:right w:val="single" w:color="666666" w:sz="1"/>
            </w:tcBorders>
            <w:shd w:fill="E8F4F8" w:val="clear"/>
            <w:tcMar>
              <w:top w:type="dxa" w:w="80"/>
              <w:left w:type="dxa" w:w="120"/>
              <w:bottom w:type="dxa" w:w="80"/>
              <w:right w:type="dxa" w:w="120"/>
            </w:tcMar>
            <w:vAlign w:val="center"/>
          </w:tcPr>
          <w:p>
            <w:pPr>
              <w:jc w:val="center"/>
            </w:pPr>
            <w:r>
              <w:rPr>
                <w:sz w:val="32"/>
                <w:szCs w:val="32"/>
              </w:rPr>
              <w:t xml:space="preserve">□</w:t>
            </w:r>
          </w:p>
        </w:tc>
        <w:tc>
          <w:tcPr>
            <w:tcW w:type="dxa" w:w="8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b/>
                <w:bCs/>
              </w:rPr>
              <w:t xml:space="preserve">Decline participation in ongoing violations </w:t>
            </w:r>
            <w:r>
              <w:t xml:space="preserve">(if directed to process payroll without W-4/DE-4, document refusal)</w:t>
            </w:r>
          </w:p>
        </w:tc>
      </w:tr>
      <w:tr>
        <w:tc>
          <w:tcPr>
            <w:tcW w:type="dxa" w:w="600"/>
            <w:tcBorders>
              <w:top w:val="single" w:color="666666" w:sz="1"/>
              <w:left w:val="single" w:color="666666" w:sz="1"/>
              <w:bottom w:val="single" w:color="666666" w:sz="1"/>
              <w:right w:val="single" w:color="666666" w:sz="1"/>
            </w:tcBorders>
            <w:shd w:fill="E8F4F8" w:val="clear"/>
            <w:tcMar>
              <w:top w:type="dxa" w:w="80"/>
              <w:left w:type="dxa" w:w="120"/>
              <w:bottom w:type="dxa" w:w="80"/>
              <w:right w:type="dxa" w:w="120"/>
            </w:tcMar>
            <w:vAlign w:val="center"/>
          </w:tcPr>
          <w:p>
            <w:pPr>
              <w:jc w:val="center"/>
            </w:pPr>
            <w:r>
              <w:rPr>
                <w:sz w:val="32"/>
                <w:szCs w:val="32"/>
              </w:rPr>
              <w:t xml:space="preserve">□</w:t>
            </w:r>
          </w:p>
        </w:tc>
        <w:tc>
          <w:tcPr>
            <w:tcW w:type="dxa" w:w="8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b/>
                <w:bCs/>
              </w:rPr>
              <w:t xml:space="preserve">Verify Robert Half professional liability insurance coverage </w:t>
            </w:r>
            <w:r>
              <w:t xml:space="preserve">(confirm policy covers HR compliance consulting)</w:t>
            </w:r>
          </w:p>
        </w:tc>
      </w:tr>
      <w:tr>
        <w:tc>
          <w:tcPr>
            <w:tcW w:type="dxa" w:w="600"/>
            <w:tcBorders>
              <w:top w:val="single" w:color="666666" w:sz="1"/>
              <w:left w:val="single" w:color="666666" w:sz="1"/>
              <w:bottom w:val="single" w:color="666666" w:sz="1"/>
              <w:right w:val="single" w:color="666666" w:sz="1"/>
            </w:tcBorders>
            <w:shd w:fill="E8F4F8" w:val="clear"/>
            <w:tcMar>
              <w:top w:type="dxa" w:w="80"/>
              <w:left w:type="dxa" w:w="120"/>
              <w:bottom w:type="dxa" w:w="80"/>
              <w:right w:type="dxa" w:w="120"/>
            </w:tcMar>
            <w:vAlign w:val="center"/>
          </w:tcPr>
          <w:p>
            <w:pPr>
              <w:jc w:val="center"/>
            </w:pPr>
            <w:r>
              <w:rPr>
                <w:sz w:val="32"/>
                <w:szCs w:val="32"/>
              </w:rPr>
              <w:t xml:space="preserve">□</w:t>
            </w:r>
          </w:p>
        </w:tc>
        <w:tc>
          <w:tcPr>
            <w:tcW w:type="dxa" w:w="8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b/>
                <w:bCs/>
              </w:rPr>
              <w:t xml:space="preserve">Establish withdrawal trigger points </w:t>
            </w:r>
            <w:r>
              <w:t xml:space="preserve">(pre-determine conditions requiring assignment termination)</w:t>
            </w:r>
          </w:p>
        </w:tc>
      </w:tr>
    </w:tbl>
    <w:p>
      <w:r>
        <w:br w:type="page"/>
      </w:r>
    </w:p>
    <w:p>
      <w:pPr>
        <w:pStyle w:val="Heading1"/>
      </w:pPr>
      <w:r>
        <w:t xml:space="preserve">IV. RECOMMENDED IMMEDIATE ACTIONS</w:t>
      </w:r>
    </w:p>
    <w:p>
      <w:pPr>
        <w:pStyle w:val="Heading2"/>
      </w:pPr>
      <w:r>
        <w:t xml:space="preserve">A. Communication with Robert Half</w:t>
      </w:r>
    </w:p>
    <w:p>
      <w:pPr>
        <w:spacing w:after="240"/>
      </w:pPr>
      <w:r>
        <w:rPr>
          <w:b/>
          <w:bCs/>
        </w:rPr>
        <w:t xml:space="preserve">1. Submit Both Documents</w:t>
      </w:r>
    </w:p>
    <w:p>
      <w:pPr>
        <w:spacing w:after="120"/>
      </w:pPr>
      <w:r>
        <w:t xml:space="preserve">• Formal findings report documenting violations</w:t>
      </w:r>
    </w:p>
    <w:p>
      <w:pPr>
        <w:spacing w:after="240"/>
      </w:pPr>
      <w:r>
        <w:t xml:space="preserve">• This professional obligations analysis</w:t>
      </w:r>
    </w:p>
    <w:p>
      <w:pPr>
        <w:spacing w:after="240"/>
      </w:pPr>
      <w:r>
        <w:rPr>
          <w:b/>
          <w:bCs/>
        </w:rPr>
        <w:t xml:space="preserve">2. Request Formal Meeting</w:t>
      </w:r>
    </w:p>
    <w:p>
      <w:pPr>
        <w:spacing w:after="120"/>
      </w:pPr>
      <w:r>
        <w:t xml:space="preserve">• Schedule call/meeting with Robert Half account manager</w:t>
      </w:r>
    </w:p>
    <w:p>
      <w:pPr>
        <w:spacing w:after="120"/>
      </w:pPr>
      <w:r>
        <w:t xml:space="preserve">• Discuss scope expansion and liability concerns</w:t>
      </w:r>
    </w:p>
    <w:p>
      <w:pPr>
        <w:spacing w:after="120"/>
      </w:pPr>
      <w:r>
        <w:t xml:space="preserve">• Request Robert Half legal counsel involvement</w:t>
      </w:r>
    </w:p>
    <w:p>
      <w:pPr>
        <w:spacing w:after="240"/>
      </w:pPr>
      <w:r>
        <w:t xml:space="preserve">• Obtain written confirmation of reporting chain to Sapphos leadership</w:t>
      </w:r>
    </w:p>
    <w:p>
      <w:pPr>
        <w:spacing w:after="240"/>
      </w:pPr>
      <w:r>
        <w:rPr>
          <w:b/>
          <w:bCs/>
        </w:rPr>
        <w:t xml:space="preserve">3. Confirm Insurance Coverage</w:t>
      </w:r>
    </w:p>
    <w:p>
      <w:pPr>
        <w:spacing w:after="120"/>
      </w:pPr>
      <w:r>
        <w:t xml:space="preserve">• Verify Robert Half maintains professional liability/E&amp;O insurance</w:t>
      </w:r>
    </w:p>
    <w:p>
      <w:pPr>
        <w:spacing w:after="120"/>
      </w:pPr>
      <w:r>
        <w:t xml:space="preserve">• Confirm policy covers HR compliance consulting activities</w:t>
      </w:r>
    </w:p>
    <w:p>
      <w:pPr>
        <w:spacing w:after="240"/>
      </w:pPr>
      <w:r>
        <w:t xml:space="preserve">• Obtain copy of certificate of insurance for your records</w:t>
      </w:r>
    </w:p>
    <w:p>
      <w:pPr>
        <w:pStyle w:val="Heading2"/>
      </w:pPr>
      <w:r>
        <w:t xml:space="preserve">B. Documentation Protocol Going Forward</w:t>
      </w:r>
    </w:p>
    <w:p>
      <w:pPr>
        <w:spacing w:after="240"/>
      </w:pPr>
      <w:r>
        <w:rPr>
          <w:b/>
          <w:bCs/>
        </w:rPr>
        <w:t xml:space="preserve">1. All Advice in Writing</w:t>
      </w:r>
    </w:p>
    <w:p>
      <w:pPr>
        <w:spacing w:after="120"/>
      </w:pPr>
      <w:r>
        <w:t xml:space="preserve">• Email summaries after every meeting documenting recommendations</w:t>
      </w:r>
    </w:p>
    <w:p>
      <w:pPr>
        <w:spacing w:after="120"/>
      </w:pPr>
      <w:r>
        <w:t xml:space="preserve">• Use format: 'Per our discussion today, I advised...'</w:t>
      </w:r>
    </w:p>
    <w:p>
      <w:pPr>
        <w:spacing w:after="240"/>
      </w:pPr>
      <w:r>
        <w:t xml:space="preserve">• Copy Robert Half account manager on critical recommendations</w:t>
      </w:r>
    </w:p>
    <w:p>
      <w:pPr>
        <w:spacing w:after="240"/>
      </w:pPr>
      <w:r>
        <w:rPr>
          <w:b/>
          <w:bCs/>
        </w:rPr>
        <w:t xml:space="preserve">2. Decision Log</w:t>
      </w:r>
    </w:p>
    <w:p>
      <w:pPr>
        <w:spacing w:after="120"/>
      </w:pPr>
      <w:r>
        <w:t xml:space="preserve">• Maintain running log documenting:</w:t>
      </w:r>
    </w:p>
    <w:p>
      <w:pPr>
        <w:spacing w:after="120"/>
      </w:pPr>
      <w:r>
        <w:t xml:space="preserve">   - Violations discovered (date, nature, evidence)</w:t>
      </w:r>
    </w:p>
    <w:p>
      <w:pPr>
        <w:spacing w:after="120"/>
      </w:pPr>
      <w:r>
        <w:t xml:space="preserve">   - Advice given (recommendations with legal citations)</w:t>
      </w:r>
    </w:p>
    <w:p>
      <w:pPr>
        <w:spacing w:after="120"/>
      </w:pPr>
      <w:r>
        <w:t xml:space="preserve">   - Employer response (acceptance, rejection, delay)</w:t>
      </w:r>
    </w:p>
    <w:p>
      <w:pPr>
        <w:spacing w:after="240"/>
      </w:pPr>
      <w:r>
        <w:t xml:space="preserve">   - Follow-up actions taken</w:t>
      </w:r>
    </w:p>
    <w:p>
      <w:pPr>
        <w:spacing w:after="240"/>
      </w:pPr>
      <w:r>
        <w:rPr>
          <w:b/>
          <w:bCs/>
        </w:rPr>
        <w:t xml:space="preserve">3. Refusal Documentation</w:t>
      </w:r>
    </w:p>
    <w:p>
      <w:pPr>
        <w:spacing w:after="240"/>
      </w:pPr>
      <w:r>
        <w:rPr>
          <w:b/>
          <w:bCs/>
        </w:rPr>
        <w:t xml:space="preserve">If directed to take actions you believe violate law:</w:t>
      </w:r>
    </w:p>
    <w:p>
      <w:pPr>
        <w:spacing w:after="120"/>
      </w:pPr>
      <w:r>
        <w:t xml:space="preserve">• Document directive in writing (email to supervisor confirming verbal instruction)</w:t>
      </w:r>
    </w:p>
    <w:p>
      <w:pPr>
        <w:spacing w:after="120"/>
      </w:pPr>
      <w:r>
        <w:t xml:space="preserve">• State legal concern and cite authority</w:t>
      </w:r>
    </w:p>
    <w:p>
      <w:pPr>
        <w:spacing w:after="120"/>
      </w:pPr>
      <w:r>
        <w:t xml:space="preserve">• Request written confirmation to proceed despite legal risk</w:t>
      </w:r>
    </w:p>
    <w:p>
      <w:pPr>
        <w:spacing w:after="120"/>
      </w:pPr>
      <w:r>
        <w:t xml:space="preserve">• If confirmed, document but escalate to Robert Half legal</w:t>
      </w:r>
    </w:p>
    <w:p>
      <w:pPr>
        <w:spacing w:after="240"/>
      </w:pPr>
      <w:r>
        <w:t xml:space="preserve">• Maintain personal copies of all correspondence</w:t>
      </w:r>
    </w:p>
    <w:p>
      <w:r>
        <w:br w:type="page"/>
      </w:r>
    </w:p>
    <w:p>
      <w:pPr>
        <w:pStyle w:val="Heading2"/>
      </w:pPr>
      <w:r>
        <w:t xml:space="preserve">C. Withdrawal Triggers</w:t>
      </w:r>
    </w:p>
    <w:p>
      <w:pPr>
        <w:spacing w:after="240"/>
      </w:pPr>
      <w:r>
        <w:rPr>
          <w:b/>
          <w:bCs/>
          <w:color w:val="C00000"/>
        </w:rPr>
        <w:t xml:space="preserve">Circumstances Requiring Assignment Termination:</w:t>
      </w:r>
    </w:p>
    <w:p>
      <w:pPr>
        <w:spacing w:after="120"/>
      </w:pPr>
      <w:r>
        <w:rPr>
          <w:b/>
          <w:bCs/>
          <w:color w:val="C00000"/>
        </w:rPr>
        <w:t xml:space="preserve">1. Employer refuses legal counsel engagement </w:t>
      </w:r>
      <w:r>
        <w:rPr>
          <w:color w:val="C00000"/>
        </w:rPr>
        <w:t xml:space="preserve">after being advised of criminal/fiduciary violations</w:t>
      </w:r>
    </w:p>
    <w:p>
      <w:pPr>
        <w:spacing w:after="120"/>
      </w:pPr>
      <w:r>
        <w:rPr>
          <w:b/>
          <w:bCs/>
          <w:color w:val="C00000"/>
        </w:rPr>
        <w:t xml:space="preserve">2. Employer directs participation in ongoing violations </w:t>
      </w:r>
      <w:r>
        <w:rPr>
          <w:color w:val="C00000"/>
        </w:rPr>
        <w:t xml:space="preserve">(e.g., process payroll without required tax forms, ignore unauthorized workers)</w:t>
      </w:r>
    </w:p>
    <w:p>
      <w:pPr>
        <w:spacing w:after="120"/>
      </w:pPr>
      <w:r>
        <w:rPr>
          <w:b/>
          <w:bCs/>
          <w:color w:val="C00000"/>
        </w:rPr>
        <w:t xml:space="preserve">3. Discovery of fraud or criminal conduct </w:t>
      </w:r>
      <w:r>
        <w:rPr>
          <w:color w:val="C00000"/>
        </w:rPr>
        <w:t xml:space="preserve">that employer refuses to remedy (e.g., embezzlement, falsified government documents)</w:t>
      </w:r>
    </w:p>
    <w:p>
      <w:pPr>
        <w:spacing w:after="120"/>
      </w:pPr>
      <w:r>
        <w:rPr>
          <w:b/>
          <w:bCs/>
          <w:color w:val="C00000"/>
        </w:rPr>
        <w:t xml:space="preserve">4. Retaliation threat for reporting violations </w:t>
      </w:r>
      <w:r>
        <w:rPr>
          <w:color w:val="C00000"/>
        </w:rPr>
        <w:t xml:space="preserve">(e.g., threatened contract termination for flagging I-9 issues)</w:t>
      </w:r>
    </w:p>
    <w:p>
      <w:pPr>
        <w:spacing w:after="240"/>
      </w:pPr>
      <w:r>
        <w:rPr>
          <w:b/>
          <w:bCs/>
          <w:color w:val="C00000"/>
        </w:rPr>
        <w:t xml:space="preserve">5. Personal liability exposure exceeds professional insurance coverage </w:t>
      </w:r>
      <w:r>
        <w:rPr>
          <w:color w:val="C00000"/>
        </w:rPr>
        <w:t xml:space="preserve">(consult Robert Half legal to assess)</w:t>
      </w:r>
    </w:p>
    <w:p>
      <w:pPr>
        <w:spacing w:after="240"/>
      </w:pPr>
      <w:r>
        <w:rPr>
          <w:b/>
          <w:bCs/>
        </w:rPr>
        <w:t xml:space="preserve">Withdrawal Protocol:</w:t>
      </w:r>
    </w:p>
    <w:p>
      <w:pPr>
        <w:spacing w:after="120"/>
      </w:pPr>
      <w:r>
        <w:rPr>
          <w:b/>
          <w:bCs/>
        </w:rPr>
        <w:t xml:space="preserve">Step 1: </w:t>
      </w:r>
      <w:r>
        <w:t xml:space="preserve">Document trigger in writing to Robert Half with explanation</w:t>
      </w:r>
    </w:p>
    <w:p>
      <w:pPr>
        <w:spacing w:after="120"/>
      </w:pPr>
      <w:r>
        <w:rPr>
          <w:b/>
          <w:bCs/>
        </w:rPr>
        <w:t xml:space="preserve">Step 2: </w:t>
      </w:r>
      <w:r>
        <w:t xml:space="preserve">Request Robert Half legal review before terminating assignment</w:t>
      </w:r>
    </w:p>
    <w:p>
      <w:pPr>
        <w:spacing w:after="120"/>
      </w:pPr>
      <w:r>
        <w:rPr>
          <w:b/>
          <w:bCs/>
        </w:rPr>
        <w:t xml:space="preserve">Step 3: </w:t>
      </w:r>
      <w:r>
        <w:t xml:space="preserve">If legal concurs, provide written notice of withdrawal citing professional ethics</w:t>
      </w:r>
    </w:p>
    <w:p>
      <w:pPr>
        <w:spacing w:after="240"/>
      </w:pPr>
      <w:r>
        <w:rPr>
          <w:b/>
          <w:bCs/>
        </w:rPr>
        <w:t xml:space="preserve">Step 4: </w:t>
      </w:r>
      <w:r>
        <w:t xml:space="preserve">Maintain all documentation for 7 years (statute of limitations protection)</w:t>
      </w:r>
    </w:p>
    <w:p>
      <w:r>
        <w:br w:type="page"/>
      </w:r>
    </w:p>
    <w:p>
      <w:pPr>
        <w:pStyle w:val="Heading1"/>
      </w:pPr>
      <w:r>
        <w:t xml:space="preserve">V. CONCLUSION</w:t>
      </w:r>
    </w:p>
    <w:p>
      <w:pPr>
        <w:spacing w:after="240"/>
      </w:pPr>
      <w:r>
        <w:t xml:space="preserve">While no statute mandates external reporting of the violations discovered, you have critical professional obligations to:</w:t>
      </w:r>
    </w:p>
    <w:p>
      <w:pPr>
        <w:spacing w:after="120"/>
      </w:pPr>
      <w:r>
        <w:t xml:space="preserve">1. Document all findings in writing (satisfied by your findings report)</w:t>
      </w:r>
    </w:p>
    <w:p>
      <w:pPr>
        <w:spacing w:after="120"/>
      </w:pPr>
      <w:r>
        <w:t xml:space="preserve">2. Recommend specific corrective actions with legal authority (satisfied)</w:t>
      </w:r>
    </w:p>
    <w:p>
      <w:pPr>
        <w:spacing w:after="120"/>
      </w:pPr>
      <w:r>
        <w:t xml:space="preserve">3. Advise engagement of specialized legal counsel (documented in recommendations)</w:t>
      </w:r>
    </w:p>
    <w:p>
      <w:pPr>
        <w:spacing w:after="240"/>
      </w:pPr>
      <w:r>
        <w:t xml:space="preserve">4. Protect yourself from personal liability exposure (ongoing obligation)</w:t>
      </w:r>
    </w:p>
    <w:p>
      <w:pPr>
        <w:spacing w:after="240"/>
      </w:pPr>
      <w:r>
        <w:t xml:space="preserve">Your professional obligations are internal (to employer through Robert Half) rather than external (to regulatory agencies). However, if Sapphos Environmental refuses to engage legal counsel or remedy violations creating substantial harm, escalation through Robert Half to their legal counsel may trigger external reporting considerations.</w:t>
      </w:r>
    </w:p>
    <w:p>
      <w:pPr>
        <w:spacing w:after="240"/>
      </w:pPr>
      <w:r>
        <w:t xml:space="preserve">The most critical protective measures are:</w:t>
      </w:r>
    </w:p>
    <w:p>
      <w:pPr>
        <w:spacing w:after="120"/>
      </w:pPr>
      <w:r>
        <w:rPr>
          <w:b/>
          <w:bCs/>
        </w:rPr>
        <w:t xml:space="preserve">• Maintaining comprehensive written documentation</w:t>
      </w:r>
    </w:p>
    <w:p>
      <w:pPr>
        <w:spacing w:after="120"/>
      </w:pPr>
      <w:r>
        <w:rPr>
          <w:b/>
          <w:bCs/>
        </w:rPr>
        <w:t xml:space="preserve">• Refusing participation in ongoing violations</w:t>
      </w:r>
    </w:p>
    <w:p>
      <w:pPr>
        <w:spacing w:after="120"/>
      </w:pPr>
      <w:r>
        <w:rPr>
          <w:b/>
          <w:bCs/>
        </w:rPr>
        <w:t xml:space="preserve">• Establishing clear withdrawal triggers</w:t>
      </w:r>
    </w:p>
    <w:p>
      <w:pPr>
        <w:spacing w:after="240"/>
      </w:pPr>
      <w:r>
        <w:rPr>
          <w:b/>
          <w:bCs/>
        </w:rPr>
        <w:t xml:space="preserve">• Coordinating closely with Robert Half throughout</w:t>
      </w:r>
    </w:p>
    <w:p>
      <w:pPr>
        <w:spacing w:after="360"/>
      </w:pPr>
      <w:r>
        <w:t xml:space="preserve">By submitting this findings report and maintaining thorough documentation, you have satisfied professional ethics obligations and established defensive record should employer's violations result in regulatory action.</w:t>
      </w:r>
    </w:p>
    <w:p>
      <w:pPr>
        <w:spacing w:before="720"/>
      </w:pPr>
      <w:r>
        <w:rPr>
          <w:b/>
          <w:bCs/>
        </w:rPr>
        <w:t xml:space="preserve">***</w:t>
      </w:r>
    </w:p>
    <w:p>
      <w:pPr>
        <w:spacing w:before="240" w:after="120"/>
      </w:pPr>
      <w:r>
        <w:rPr>
          <w:b/>
          <w:bCs/>
          <w:i/>
          <w:iCs/>
        </w:rPr>
        <w:t xml:space="preserve">DISCLAIMER:</w:t>
      </w:r>
    </w:p>
    <w:p>
      <w:pPr>
        <w:spacing w:after="240"/>
      </w:pPr>
      <w:r>
        <w:rPr>
          <w:i/>
          <w:iCs/>
          <w:sz w:val="20"/>
          <w:szCs w:val="20"/>
        </w:rPr>
        <w:t xml:space="preserve">This analysis is based on publicly available statutes and professional ethics codes. It does not constitute legal advice. For definitive guidance on reporting obligations specific to your circumstances, consult Robert Half's legal counsel or your personal attorney.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D6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2026-01-24T03:13:22.710Z</dcterms:created>
  <dcterms:modified xsi:type="dcterms:W3CDTF">2026-01-24T03:13:22.710Z</dcterms:modified>
</cp:coreProperties>
</file>

<file path=docProps/custom.xml><?xml version="1.0" encoding="utf-8"?>
<Properties xmlns="http://schemas.openxmlformats.org/officeDocument/2006/custom-properties" xmlns:vt="http://schemas.openxmlformats.org/officeDocument/2006/docPropsVTypes"/>
</file>