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Governance Layer: A Comprehensive Business Plan for AI-Augmented HR Compliance and Risk Advisory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convergence of aggressive regulatory expansion and rapid technological advancement has created a precarious environment for modern enterprises, particularly within the California market. As the 2026 legislative cycle introduces complex mandates regarding "stay-or-pay" agreements, pay transparency enforcement, and the regulation of automated decision systems in hiring, the traditional internal human resources (HR) function is increasingly overmatched. Organizations frequently find themselves in a strategic vacuum: they are too large for the standardized administrative services of Professional Employer Organizations (PEOs) but lack the immense capital required to maintain a permanent internal legal-compliance infrastructure.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firm established by this business plan acts as a retained HR governance and compliance advisory partner. Positioned as a specialized "governance layer" sitting between the internal HR team and external legal counsel, the firm translates the volatility of labor law into actionable operational frameworks, including policies, standard operating procedures (SOPs), training architectures, and investigation protocols. The model specifically excludes clerical HR tasks such as payroll or data entry, focusing instead on high-value risk mitigation and liability reduction.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integrating advanced artificial intelligence (AI) and secure technology, the firm ingests laws, regulations, and case law in real-time, enabling the generation and updating of governance tools with a speed and consistency that manual teams cannot achieve. This technology-enabled approach allows a lean team of senior HR experts to perform at the capacity of a traditional 10-person compliance department. Crucially, the model maintains a rigorous "human-in-the-loop" safeguard, routing all foundational or high-risk frameworks through the client’s own legal counsel for final review, thereby ensuring legal defensibility without engaging in the unauthorized practice of law. The ultimate value proposition is the reduction of claims and settlements, providing a measurable return on investment (ROI) where the cost of avoiding a single employment lawsuit can cover years of advisory fees.</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Market Analysis</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Target Client Profiles and Geographies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market for this governance firm consists of mid-market enterprises (MMEs) and rapidly scaling technology firms, specifically those with headcounts ranging from 50 to 500 employees. These organizations typically possess an internal HR function focused on culture and talent but lack dedicated compliance specialists. Geographically, the initial focus is the California market, widely considered the most complex and litigious regulatory environment in the United States.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Industry Vertical</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Regulatory Pressure Points</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Context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Technology &amp; AI</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ADS Transparency (FEHA), Intellectual Property, Remote Work Nexus.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volatility in 2026 regarding automated hiring systems and worker mobility.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Manufacturing &amp; Construction</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Wage/Hour Audits, Safety (OSHA), Independent Contractor Tests.</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Intense focus on PAGA reform and classification of construction trucking services.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Healthcare &amp; Professional Services</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 Equity Reporting (SB 642), FMLA/CFRA Management, Licensing.</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Expanding statutes of limitations for wage discrimination and back-pay recovery.</w:t>
            </w:r>
          </w:p>
        </w:tc>
      </w:tr>
    </w:tbl>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Validated Market Pain Points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indicates that HR teams are currently experiencing "compliance fatigue," spending upwards of 562 hours annually on employment law management. This burden is exacerbated for distributed workforces; teams managing employees in six or more states spend nearly four times as much time on compliance than those in single jurisdictions. Furthermore, nearly 20% of HR teams admit they cannot remember the last time their hiring or separation agreements were reviewed, despite these being high-risk areas for litigation.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Specific 2026 legislative triggers in California create an immediate demand for specialized advisory:</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SB 294 (Workplace Know Your Rights Act)</w:t>
      </w:r>
      <w:r w:rsidDel="00000000" w:rsidR="00000000" w:rsidRPr="00000000">
        <w:rPr>
          <w:rtl w:val="0"/>
        </w:rPr>
        <w:t xml:space="preserve">: Requires a standalone annual written notice to all employees regarding constitutional and labor rights by February 1, 2026.</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AB 692 (Stay-or-Pay Prohibition)</w:t>
      </w:r>
      <w:r w:rsidDel="00000000" w:rsidR="00000000" w:rsidRPr="00000000">
        <w:rPr>
          <w:rtl w:val="0"/>
        </w:rPr>
        <w:t xml:space="preserve">: Invalidates many common agreements requiring employees to repay training or relocation costs if they terminate employment before a set term.</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SB 642 (Pay Equity Enforcement)</w:t>
      </w:r>
      <w:r w:rsidDel="00000000" w:rsidR="00000000" w:rsidRPr="00000000">
        <w:rPr>
          <w:rtl w:val="0"/>
        </w:rPr>
        <w:t xml:space="preserve">: Extends the statute of limitations for wage discrimination claims to three years and allows for back-pay recovery of up to six years.</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Market Trends in HR Risk and AI Adoption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market is shifting from "AI experimentation" to "AI value," where organizations now demand measurable returns on technological investment. While 95% of professionals expect AI to be central to their daily workflow within the next five years, only 21% of HR leaders are currently involved in strategic AI decision-making. This gap creates a significant opportunity for a firm that can bridge the technical capabilities of AI with the strategic needs of HR governance.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there is a growing "competitive gap" between organizations that adopt visible AI strategies and those that do not. Strategic adopters are twice as likely to experience revenue growth. In the compliance domain, the trend is toward "agentic AI"—systems that do not merely automate tasks but orchestrate complex outcomes, such as managing the entire regulatory ingestion to policy-update pipeline.</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Competitive Landscape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Categories of Competitors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competitive field is fragmented, consisting of legacy service providers and emerging point-solution technologies. However, few offer the integrated "governance layer" approach.</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Competitor Type</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Typical Offering</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Limitations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Traditional HR Consultancies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Mercer, Deloitte, Soteria.</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human capital, M&amp;A integration, DEI strategy.</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hourly rates; focus on broad strategy rather than granular, tech-enabled compliance.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Professional Employer Organizations (PEOs)</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TriNet, ADP, Rippling.</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Payroll, benefits, and "all-in-one" administrative HR.</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Reactive, generalized support; lack of customized, high-risk litigation-defensible SOPs.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SaaS Compliance Platforms</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SixFifty, Drata, FairNow.</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document generation and regulatory tracking.</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Lacks the "human advisory" layer; templates often require significant expert contextualization.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Law Firms</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CDF Labor Law, K&amp;L Gates.</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Litigation defense and high-level legal opinions.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Reactive model; prohibitive costs for daily policy updates or training architecture.</w:t>
            </w:r>
          </w:p>
        </w:tc>
      </w:tr>
    </w:tbl>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Differentiators and Positioning</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firm distinguishes itself by occupying the "governance layer" between the administrative tasks of a PEO and the high-end litigation services of a law firm. Its primary differentiator is the use of AI to create "defensible documentation" and "proactive architectures." While a SaaS tool like SixFifty provides a handbook template, this firm builds the </w:t>
      </w:r>
      <w:r w:rsidDel="00000000" w:rsidR="00000000" w:rsidRPr="00000000">
        <w:rPr>
          <w:i w:val="1"/>
          <w:iCs w:val="1"/>
          <w:rtl w:val="0"/>
        </w:rPr>
        <w:t xml:space="preserve">Standard Operating Procedures</w:t>
      </w:r>
      <w:r w:rsidDel="00000000" w:rsidR="00000000" w:rsidRPr="00000000">
        <w:rPr>
          <w:rtl w:val="0"/>
        </w:rPr>
        <w:t xml:space="preserve"> that ensure managers actually follow the handbook, backed by AI-monitored audit trails.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the integration with the client's own legal counsel is a core positioning strength. By preparing AI-drafted "dossiers" for counsel review, the firm reduces the attorney's billable hours while ensuring the final work product remains legally privileged and enforceable.</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Service Model &amp; Scope</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Governance Services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firm’s service scope is designed around high-risk employee lifecycle moments and regulatory shifts.</w:t>
      </w:r>
    </w:p>
    <w:p w:rsidR="00000000" w:rsidDel="00000000" w:rsidP="00000000" w:rsidRDefault="00000000" w:rsidRPr="00000000" w14:paraId="0000003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Policy Governance and Ingestion</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firm utilizes AI to monitor over 250 annual employment law updates in California alone. Upon detection of a relevant change—such as the October 2025 FEHA amendments regarding automated decision systems—the AI identifies all affected client policies and generates updated language. This ensures that policies are "living documents" rather than static files reviewed only annually.</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Harassment and Conduct Architecture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firm designs comprehensive frameworks for managing workplace conduct, including AI-driven anonymous reporting hotlines that automatically categorize and triage incoming complaints. These frameworks include "Manager SOPs" for immediate response, ensuring that the company maintains its affirmative defense by proving a prompt and thorough investigation occurred.</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Onboarding and Termination Governance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With the rise of "stay-or-pay" litigation and new 2026 notice requirements, the firm provides structured onboarding sequences that ensure every mandate is met and documented. Termination frameworks include AI-assisted risk assessments to evaluate the potential for wrongful dismissal or retaliation claims before the separation occurs.</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Investigation Guidance and Documentation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critical high-value service is the provision of standardized investigation protocols. The firm uses AI tools to generate interview questions, transcribe sessions in real-time, and analyze transcripts for inconsistencies across multiple witnesses. This ensures that investigations are impartial, thorough, and ready for audit by a court or regulatory body.</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Audit Readiness and Compliance Monitoring</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firm maintains a "Continuous Trust" posture by performing regular audits of pay data, classification status, and personnel records. This includes ensuring that training records meet specific 2026 requirements, such as recording the name of the trainer and the specific core competencies addressed.</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Explicit Boundaries and Limitations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maintain a distinct risk profile and avoid displacement of existing HR roles, the firm will </w:t>
      </w:r>
      <w:r w:rsidDel="00000000" w:rsidR="00000000" w:rsidRPr="00000000">
        <w:rPr>
          <w:i w:val="1"/>
          <w:iCs w:val="1"/>
          <w:rtl w:val="0"/>
        </w:rPr>
        <w:t xml:space="preserve">not</w:t>
      </w:r>
      <w:r w:rsidDel="00000000" w:rsidR="00000000" w:rsidRPr="00000000">
        <w:rPr>
          <w:rtl w:val="0"/>
        </w:rPr>
        <w:t xml:space="preserve"> perform the following:</w:t>
      </w:r>
    </w:p>
    <w:p w:rsidR="00000000" w:rsidDel="00000000" w:rsidP="00000000" w:rsidRDefault="00000000" w:rsidRPr="00000000" w14:paraId="0000004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Administrative/Clerical HR</w:t>
      </w:r>
      <w:r w:rsidDel="00000000" w:rsidR="00000000" w:rsidRPr="00000000">
        <w:rPr>
          <w:rtl w:val="0"/>
        </w:rPr>
        <w:t xml:space="preserve">: No payroll processing, benefits enrollment, or daily data entry.</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Recruiting/Sourcing</w:t>
      </w:r>
      <w:r w:rsidDel="00000000" w:rsidR="00000000" w:rsidRPr="00000000">
        <w:rPr>
          <w:rtl w:val="0"/>
        </w:rPr>
        <w:t xml:space="preserve">: No candidate searching or interviewing for hire.</w:t>
      </w:r>
    </w:p>
    <w:p w:rsidR="00000000" w:rsidDel="00000000" w:rsidP="00000000" w:rsidRDefault="00000000" w:rsidRPr="00000000" w14:paraId="0000004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Legal Representation</w:t>
      </w:r>
      <w:r w:rsidDel="00000000" w:rsidR="00000000" w:rsidRPr="00000000">
        <w:rPr>
          <w:rtl w:val="0"/>
        </w:rPr>
        <w:t xml:space="preserve">: No appearing in court or signing legal opinions as an attorney-at-law.</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Integration and Human Oversight</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firm’s service delivery follows a "Collaborative Partner" model where AI provides the signals and humans provide the judgment. AI tools like CoCounsel or Harvey are used for rapid document review and summarization, while senior experts contextualize the results for the client’s specific culture and risk tolerance.</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Technology, Privacy &amp; Security Architecture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Conceptual Technology Stack</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firm’s architecture is built on a "modern stack" that connects strategic choices directly to operational outcomes.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Ingestion Layer</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LLM Engine</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monitoring of federal and state labor laws and case law.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Application Layer</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Governance Platform</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Centralized registry for client AI systems, policy mapping, and risk registries.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Workstream Layer</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Case/Matter 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Structured intake and chronology generation for investigations.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Communication Layer</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Secure Client Portals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Encrypted document exchange, eSignatures, and real-time compliance dashboards.</w:t>
            </w:r>
          </w:p>
        </w:tc>
      </w:tr>
    </w:tbl>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Privacy and Data Minimization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an era of strict data privacy mandates like the CCPA and GDPR, the firm employs a "privacy-by-design" approach. This involves:</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 Minimization</w:t>
      </w:r>
      <w:r w:rsidDel="00000000" w:rsidR="00000000" w:rsidRPr="00000000">
        <w:rPr>
          <w:rtl w:val="0"/>
        </w:rPr>
        <w:t xml:space="preserve">: Only the data necessary for a specific compliance task (e.g., a pay equity audit) is ingested.</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Anonymization and Synthetic Data</w:t>
      </w:r>
      <w:r w:rsidDel="00000000" w:rsidR="00000000" w:rsidRPr="00000000">
        <w:rPr>
          <w:rtl w:val="0"/>
        </w:rPr>
        <w:t xml:space="preserve">: For bias testing of client AI systems, the firm utilizes synthetic data libraries to simulate outcomes without exposing real employee PII.</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Zero-Training Guarantees</w:t>
      </w:r>
      <w:r w:rsidDel="00000000" w:rsidR="00000000" w:rsidRPr="00000000">
        <w:rPr>
          <w:rtl w:val="0"/>
        </w:rPr>
        <w:t xml:space="preserve">: The firm only partners with AI vendors that provide strict data isolation and guarantee that client data is not used to train public models.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Security and Risk Mitigation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Security is managed through enterprise-grade protocols to protect sensitive personnel information. This includes AES-256 encryption at rest and in transit, multi-factor authentication (MFA) for all access points, and comprehensive audit logging to track document history. The firm conducts regular vulnerability assessments and monitors its "AI Technology Radar" to stay ahead of novel attack vectors like prompt injection or data leakage.</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Legal &amp; Ethical Framework</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Demarcation Between Advisory and Practice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firm meticulously avoids the "Unauthorized Practice of Law" (UPL) as defined by California Business and Professions Code section 6125. The advisory is framed as "Governance and Operational Consulting." All service agreements include an explicit disclaimer stating that the consultant is not an attorney, and no attorney-client privilege exists.</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Integration with Counsel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firm’s integration model follows a "Legal Liaison" workflow:</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Framework Generation</w:t>
      </w:r>
      <w:r w:rsidDel="00000000" w:rsidR="00000000" w:rsidRPr="00000000">
        <w:rPr>
          <w:rtl w:val="0"/>
        </w:rPr>
        <w:t xml:space="preserve">: The firm uses AI to draft a foundational framework (e.g., a new mass layoff WARN notice).</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Expert Validation</w:t>
      </w:r>
      <w:r w:rsidDel="00000000" w:rsidR="00000000" w:rsidRPr="00000000">
        <w:rPr>
          <w:rtl w:val="0"/>
        </w:rPr>
        <w:t xml:space="preserve">: A senior consultant ensures the draft aligns with best practices.</w:t>
      </w:r>
    </w:p>
    <w:p w:rsidR="00000000" w:rsidDel="00000000" w:rsidP="00000000" w:rsidRDefault="00000000" w:rsidRPr="00000000" w14:paraId="0000006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Legal Review</w:t>
      </w:r>
      <w:r w:rsidDel="00000000" w:rsidR="00000000" w:rsidRPr="00000000">
        <w:rPr>
          <w:rtl w:val="0"/>
        </w:rPr>
        <w:t xml:space="preserve">: The draft is routed to the client’s internal or external counsel via a secure link for final legal sign-off.</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Implementation</w:t>
      </w:r>
      <w:r w:rsidDel="00000000" w:rsidR="00000000" w:rsidRPr="00000000">
        <w:rPr>
          <w:rtl w:val="0"/>
        </w:rPr>
        <w:t xml:space="preserve">: Once approved, the firm converts the legal language into SOPs and training modules for the HR team.</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Growth Toward Internal Counsel</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As the firm scales, it will implement a "Contracted Expert" model, eventually bringing in a staff attorney to provide a formal review layer for clients who do not have their own specialized employment counsel. This will be structured as a separate legal entity or a "Legal Operations" function to maintain ethical compliance with State Bar requirements.</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Operating Model &amp; Workflows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10-to-2 Productivity Equation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leveraging AI for the "mechanical" aspects of compliance—transcription, summarization, and data extraction—the firm enables two senior experts to produce the output of a 10-person team. Research from Thomson Reuters indicates that AI-enabled legal and HR professionals can reclaim nearly 240 hours per year.</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Workflow Phase</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Traditional Manual Effort</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AI-Augmented Effort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Case Intake/Triage</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hours</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minutes.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Document Summarization</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hours</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minutes.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Investigation Report Drafting</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hours</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hour.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Regulatory Impact Analysis</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hours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minutes.</w:t>
            </w:r>
          </w:p>
        </w:tc>
      </w:tr>
    </w:tbl>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Example Workflows</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Incident Response Workflow</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Trigger</w:t>
      </w:r>
      <w:r w:rsidDel="00000000" w:rsidR="00000000" w:rsidRPr="00000000">
        <w:rPr>
          <w:rtl w:val="0"/>
        </w:rPr>
        <w:t xml:space="preserve">: Anonymous report of harassment via the digital portal.</w:t>
      </w:r>
    </w:p>
    <w:p w:rsidR="00000000" w:rsidDel="00000000" w:rsidP="00000000" w:rsidRDefault="00000000" w:rsidRPr="00000000" w14:paraId="0000008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Advisory Consult</w:t>
      </w:r>
      <w:r w:rsidDel="00000000" w:rsidR="00000000" w:rsidRPr="00000000">
        <w:rPr>
          <w:rtl w:val="0"/>
        </w:rPr>
        <w:t xml:space="preserve">: Senior expert reviews the AI-generated triage and suggests an investigation plan based on current case law.</w:t>
      </w:r>
    </w:p>
    <w:p w:rsidR="00000000" w:rsidDel="00000000" w:rsidP="00000000" w:rsidRDefault="00000000" w:rsidRPr="00000000" w14:paraId="0000008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Documentation</w:t>
      </w:r>
      <w:r w:rsidDel="00000000" w:rsidR="00000000" w:rsidRPr="00000000">
        <w:rPr>
          <w:rtl w:val="0"/>
        </w:rPr>
        <w:t xml:space="preserve">: AI transcribes witness interviews and organizes thousands of emails into a clear chronology in seconds.</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Policy Response</w:t>
      </w:r>
      <w:r w:rsidDel="00000000" w:rsidR="00000000" w:rsidRPr="00000000">
        <w:rPr>
          <w:rtl w:val="0"/>
        </w:rPr>
        <w:t xml:space="preserve">: If the investigation reveals a policy gap, the system suggests a specific update to the Employee Conduct Policy.</w:t>
      </w:r>
    </w:p>
    <w:p w:rsidR="00000000" w:rsidDel="00000000" w:rsidP="00000000" w:rsidRDefault="00000000" w:rsidRPr="00000000" w14:paraId="0000008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Update Workflow</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Trigger</w:t>
      </w:r>
      <w:r w:rsidDel="00000000" w:rsidR="00000000" w:rsidRPr="00000000">
        <w:rPr>
          <w:rtl w:val="0"/>
        </w:rPr>
        <w:t xml:space="preserve">: California Labor Commissioner releases the 2026 "Know Your Rights" template. * </w:t>
      </w:r>
      <w:r w:rsidDel="00000000" w:rsidR="00000000" w:rsidRPr="00000000">
        <w:rPr>
          <w:b w:val="1"/>
          <w:bCs w:val="1"/>
          <w:rtl w:val="0"/>
        </w:rPr>
        <w:t xml:space="preserve">Analysis</w:t>
      </w:r>
      <w:r w:rsidDel="00000000" w:rsidR="00000000" w:rsidRPr="00000000">
        <w:rPr>
          <w:rtl w:val="0"/>
        </w:rPr>
        <w:t xml:space="preserve">: AI identifies all 50 current clients requiring the notice and customizes the template for their specific industry.</w:t>
      </w:r>
    </w:p>
    <w:p w:rsidR="00000000" w:rsidDel="00000000" w:rsidP="00000000" w:rsidRDefault="00000000" w:rsidRPr="00000000" w14:paraId="0000008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Training</w:t>
      </w:r>
      <w:r w:rsidDel="00000000" w:rsidR="00000000" w:rsidRPr="00000000">
        <w:rPr>
          <w:rtl w:val="0"/>
        </w:rPr>
        <w:t xml:space="preserve">: System generates a 5-minute manager training video and a knowledge check quiz for each client.</w:t>
      </w:r>
    </w:p>
    <w:p w:rsidR="00000000" w:rsidDel="00000000" w:rsidP="00000000" w:rsidRDefault="00000000" w:rsidRPr="00000000" w14:paraId="0000008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Records</w:t>
      </w:r>
      <w:r w:rsidDel="00000000" w:rsidR="00000000" w:rsidRPr="00000000">
        <w:rPr>
          <w:rtl w:val="0"/>
        </w:rPr>
        <w:t xml:space="preserve">: Completion records are automatically filed in the client's audit-ready personnel system.</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Pricing &amp; Revenue Model</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Retainer Structures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firm utilizes a "Value-Based Retainer" model, where the fee is tied to the risk profile and headcount of the client rather than hourly billing.</w:t>
      </w:r>
    </w:p>
    <w:p w:rsidR="00000000" w:rsidDel="00000000" w:rsidP="00000000" w:rsidRDefault="00000000" w:rsidRPr="00000000" w14:paraId="0000008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Governance Retainer ($2,500 - $3,500/mo)</w:t>
      </w:r>
      <w:r w:rsidDel="00000000" w:rsidR="00000000" w:rsidRPr="00000000">
        <w:rPr>
          <w:rtl w:val="0"/>
        </w:rPr>
        <w:t xml:space="preserve">: Targeted at firms with 25-100 employees. Includes real-time policy updates, annual "Know Your Rights" notices, and monthly compliance system health checks.</w:t>
      </w:r>
    </w:p>
    <w:p w:rsidR="00000000" w:rsidDel="00000000" w:rsidP="00000000" w:rsidRDefault="00000000" w:rsidRPr="00000000" w14:paraId="0000009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Comprehensive Advisory ($6,000 - $9,000/mo)</w:t>
      </w:r>
      <w:r w:rsidDel="00000000" w:rsidR="00000000" w:rsidRPr="00000000">
        <w:rPr>
          <w:rtl w:val="0"/>
        </w:rPr>
        <w:t xml:space="preserve">: Targeted at firms with 100-250 employees. Includes all governance features plus on-call investigation guidance, pay transparency audits, and manager training architectures.</w:t>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Enterprise Risk Partnership ($12,500+/mo)</w:t>
      </w:r>
      <w:r w:rsidDel="00000000" w:rsidR="00000000" w:rsidRPr="00000000">
        <w:rPr>
          <w:rtl w:val="0"/>
        </w:rPr>
        <w:t xml:space="preserve">: Targeted at high-growth firms with 250+ employees or those in high-risk sectors. Includes a dedicated governance architect and custom dashboards for executive risk scoring.</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Financial Projections (Years 1–3)</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revenue model relies on high Customer Lifetime Value (LTV) and rapid acquisition through existing professional networks.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Year 1</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Year 2</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Year 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Client Count</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Avg. Monthly Retainer</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$5,000</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$5,500</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Annual Recurring Revenue (ARR)</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$720,000</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$2,310,000</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$6,324,000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Avg. CAC</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$450</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$550</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Target LTV:CAC Ratio</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12:1</w:t>
            </w:r>
          </w:p>
        </w:tc>
      </w:tr>
    </w:tbl>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Project-Based Add-ons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Revenue is further diversified through scoped assignments, such as:</w:t>
      </w:r>
    </w:p>
    <w:p w:rsidR="00000000" w:rsidDel="00000000" w:rsidP="00000000" w:rsidRDefault="00000000" w:rsidRPr="00000000" w14:paraId="000000A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HR Infrastructure Audit</w:t>
      </w:r>
      <w:r w:rsidDel="00000000" w:rsidR="00000000" w:rsidRPr="00000000">
        <w:rPr>
          <w:rtl w:val="0"/>
        </w:rPr>
        <w:t xml:space="preserve">: $5,000 – $10,000.</w:t>
      </w:r>
    </w:p>
    <w:p w:rsidR="00000000" w:rsidDel="00000000" w:rsidP="00000000" w:rsidRDefault="00000000" w:rsidRPr="00000000" w14:paraId="000000A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Employee Handbook Overhaul</w:t>
      </w:r>
      <w:r w:rsidDel="00000000" w:rsidR="00000000" w:rsidRPr="00000000">
        <w:rPr>
          <w:rtl w:val="0"/>
        </w:rPr>
        <w:t xml:space="preserve">: $3,000 – $5,000.</w:t>
      </w:r>
    </w:p>
    <w:p w:rsidR="00000000" w:rsidDel="00000000" w:rsidP="00000000" w:rsidRDefault="00000000" w:rsidRPr="00000000" w14:paraId="000000B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Bias Audit (NYC LL 144 / FEHA)</w:t>
      </w:r>
      <w:r w:rsidDel="00000000" w:rsidR="00000000" w:rsidRPr="00000000">
        <w:rPr>
          <w:rtl w:val="0"/>
        </w:rPr>
        <w:t xml:space="preserve">: $10,000 – $25,000.</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ROI &amp; Value Case</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Narrative of Risk Mitigation</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firm’s value proposition is built on the massive "Execution Value Gap"—the fact that executives report losing 40% of their strategy's value due to poor execution and compliance failures. For a mid-market company, even a single avoided lawsuit or a better-managed investigation can justify the annual advisory fee multiple times over.</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Cost of Compliance Failure (2025 Benchmarks)</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Claim Type</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Median Settlement / Damage</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Legal Defense Cost</w:t>
            </w:r>
          </w:p>
        </w:tc>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Exposure (Est.)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Wrongful Termination</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$50,000 – $500,000</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$25,000 – $100,000</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$150,000 - $600,000</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Harassment Settlement</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$75,000 – $1.5M</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$50,000 – $250,000</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$125,000 - $1.75M</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Pay Equity Violation</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$75,000 – $300,000</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$50,000 – $150,000</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$125,000 - $450,000</w:t>
            </w: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FMLA Violation</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$15,000 – $150,000</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$20,000 – $50,000</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$35,000 - $200,000</w:t>
            </w:r>
            <w:r w:rsidDel="00000000" w:rsidR="00000000" w:rsidRPr="00000000">
              <w:rPr>
                <w:rtl w:val="0"/>
              </w:rPr>
              <w:t xml:space="preserve">.</w:t>
            </w:r>
          </w:p>
        </w:tc>
      </w:tr>
    </w:tbl>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Example Scenarios</w:t>
      </w:r>
    </w:p>
    <w:p w:rsidR="00000000" w:rsidDel="00000000" w:rsidP="00000000" w:rsidRDefault="00000000" w:rsidRPr="00000000" w14:paraId="000000CA">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Scenario A: The Proactive Audit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150-employee manufacturing firm is unknowingly misclassifying shift leads as exempt. The firm’s AI-powered audit flags the inconsistency between job descriptions and actual hours logged. The firm provides a reclassification SOP and manager talk-track. By correcting this proactively, the company avoids a PAGA class-action settlement that typically ranges from $50,000 to $10 million depending on scope.</w:t>
      </w:r>
    </w:p>
    <w:p w:rsidR="00000000" w:rsidDel="00000000" w:rsidP="00000000" w:rsidRDefault="00000000" w:rsidRPr="00000000" w14:paraId="000000C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Scenario B: The Defensible Investigation</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disgruntled employee files a harassment claim. Using the firm’s investigation framework, HR completes a thorough, documented investigation within 48 hours, including AI-transcribed witness statements. When the employee’s attorney realizes the documentation is impeccable and compliant with FEHA standards, the demand for settlement is dropped. The company saves $325,000 in potential settlement and legal costs—covering the firm's $7,500 retainer for over 43 months.</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Risk Analysis &amp; Mitigation</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Primary Business Risks</w:t>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Unauthorized Practice of Law (UPL)</w:t>
      </w:r>
      <w:r w:rsidDel="00000000" w:rsidR="00000000" w:rsidRPr="00000000">
        <w:rPr>
          <w:rtl w:val="0"/>
        </w:rPr>
        <w:t xml:space="preserve">: The risk of crossing the boundary from advisory to legal practice.</w:t>
      </w:r>
    </w:p>
    <w:p w:rsidR="00000000" w:rsidDel="00000000" w:rsidP="00000000" w:rsidRDefault="00000000" w:rsidRPr="00000000" w14:paraId="000000D1">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Mitigation</w:t>
      </w:r>
      <w:r w:rsidDel="00000000" w:rsidR="00000000" w:rsidRPr="00000000">
        <w:rPr>
          <w:rtl w:val="0"/>
        </w:rPr>
        <w:t xml:space="preserve">: Strict use of non-attorney disclaimers; mandatory legal sign-off for all "foundational" policies; use of standardized "Legal Information" rather than "Legal Advice".</w:t>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AI Hallucination and Accuracy</w:t>
      </w:r>
      <w:r w:rsidDel="00000000" w:rsidR="00000000" w:rsidRPr="00000000">
        <w:rPr>
          <w:rtl w:val="0"/>
        </w:rPr>
        <w:t xml:space="preserve">: The risk of the technology misinterpreting a complex regulation.</w:t>
      </w:r>
    </w:p>
    <w:p w:rsidR="00000000" w:rsidDel="00000000" w:rsidP="00000000" w:rsidRDefault="00000000" w:rsidRPr="00000000" w14:paraId="000000D3">
      <w:pPr>
        <w:numPr>
          <w:ilvl w:val="1"/>
          <w:numId w:val="1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Mitigation</w:t>
      </w:r>
      <w:r w:rsidDel="00000000" w:rsidR="00000000" w:rsidRPr="00000000">
        <w:rPr>
          <w:rtl w:val="0"/>
        </w:rPr>
        <w:t xml:space="preserve">: Mandatory "Expert Review" for every AI-generated document; use of legal-specific AI models (Harvey/CoCounsel) rather than general consumer tools.</w:t>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 Misuse</w:t>
      </w:r>
      <w:r w:rsidDel="00000000" w:rsidR="00000000" w:rsidRPr="00000000">
        <w:rPr>
          <w:rtl w:val="0"/>
        </w:rPr>
        <w:t xml:space="preserve">: A client alters a defensible framework or ignores the firm’s advice, leading to a claim.</w:t>
      </w:r>
    </w:p>
    <w:p w:rsidR="00000000" w:rsidDel="00000000" w:rsidP="00000000" w:rsidRDefault="00000000" w:rsidRPr="00000000" w14:paraId="000000D5">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Mitigation</w:t>
      </w:r>
      <w:r w:rsidDel="00000000" w:rsidR="00000000" w:rsidRPr="00000000">
        <w:rPr>
          <w:rtl w:val="0"/>
        </w:rPr>
        <w:t xml:space="preserve">: Version-controlled document portals with audit logs that prove what advice was provided and when the client deviated.</w:t>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Regulatory Volatility</w:t>
      </w:r>
      <w:r w:rsidDel="00000000" w:rsidR="00000000" w:rsidRPr="00000000">
        <w:rPr>
          <w:rtl w:val="0"/>
        </w:rPr>
        <w:t xml:space="preserve">: Sudden shifts in federal or state law that render existing frameworks obsolete.</w:t>
      </w:r>
    </w:p>
    <w:p w:rsidR="00000000" w:rsidDel="00000000" w:rsidP="00000000" w:rsidRDefault="00000000" w:rsidRPr="00000000" w14:paraId="000000D7">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Mitigation</w:t>
      </w:r>
      <w:r w:rsidDel="00000000" w:rsidR="00000000" w:rsidRPr="00000000">
        <w:rPr>
          <w:rtl w:val="0"/>
        </w:rPr>
        <w:t xml:space="preserve">: Continuous AI-monitoring of legislative feeds; "Rapid Deployment" protocol to update all client policies within 72 hours of a major legal shift.</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Roadmap &amp; Growth Plan</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Pilot and Refinement (Months 1–6)</w:t>
      </w:r>
    </w:p>
    <w:p w:rsidR="00000000" w:rsidDel="00000000" w:rsidP="00000000" w:rsidRDefault="00000000" w:rsidRPr="00000000" w14:paraId="000000D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Enroll five pilot clients from existing boutique networks to refine the AI-augmented workflows.</w:t>
      </w:r>
    </w:p>
    <w:p w:rsidR="00000000" w:rsidDel="00000000" w:rsidP="00000000" w:rsidRDefault="00000000" w:rsidRPr="00000000" w14:paraId="000000D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Productize the 2026 California Compliance Pack (SB 294, AB 692, SB 642).</w:t>
      </w:r>
    </w:p>
    <w:p w:rsidR="00000000" w:rsidDel="00000000" w:rsidP="00000000" w:rsidRDefault="00000000" w:rsidRPr="00000000" w14:paraId="000000D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Finalize the security architecture and achieve SOC 2 Type 1 readiness.</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Technical Scaling (Months 7–18)</w:t>
      </w:r>
    </w:p>
    <w:p w:rsidR="00000000" w:rsidDel="00000000" w:rsidP="00000000" w:rsidRDefault="00000000" w:rsidRPr="00000000" w14:paraId="000000D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Integrate "Agentic AI" into the core portal to allow clients to ask "plain language" compliance questions with cited answers.</w:t>
      </w:r>
    </w:p>
    <w:p w:rsidR="00000000" w:rsidDel="00000000" w:rsidP="00000000" w:rsidRDefault="00000000" w:rsidRPr="00000000" w14:paraId="000000D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Expand the advisory team by adding one Senior Expert and one AI Orchestrator. * Establish formal referral partnerships with three mid-market employment law firms.</w:t>
      </w:r>
    </w:p>
    <w:p w:rsidR="00000000" w:rsidDel="00000000" w:rsidP="00000000" w:rsidRDefault="00000000" w:rsidRPr="00000000" w14:paraId="000000E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Vertical and Geographic Expansion (Months 19–36)</w:t>
      </w:r>
    </w:p>
    <w:p w:rsidR="00000000" w:rsidDel="00000000" w:rsidP="00000000" w:rsidRDefault="00000000" w:rsidRPr="00000000" w14:paraId="000000E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Develop specialized governance frameworks for Healthcare (HIPAA/Joint Commission) and Financial Services.</w:t>
      </w:r>
    </w:p>
    <w:p w:rsidR="00000000" w:rsidDel="00000000" w:rsidP="00000000" w:rsidRDefault="00000000" w:rsidRPr="00000000" w14:paraId="000000E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Expand operations into the New York and Texas markets, replicating the California governance model.</w:t>
      </w:r>
    </w:p>
    <w:p w:rsidR="00000000" w:rsidDel="00000000" w:rsidP="00000000" w:rsidRDefault="00000000" w:rsidRPr="00000000" w14:paraId="000000E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Implement a formalized "In-House Legal Operations" layer to provide a one-stop-shop for compliance and legal review.</w:t>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Performance Indicators (KPIs)</w:t>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Claims Avoided</w:t>
      </w:r>
      <w:r w:rsidDel="00000000" w:rsidR="00000000" w:rsidRPr="00000000">
        <w:rPr>
          <w:rtl w:val="0"/>
        </w:rPr>
        <w:t xml:space="preserve">: Tracked via client surveys and reduction in EPLI premium renewals.</w:t>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Time-to-Policy</w:t>
      </w:r>
      <w:r w:rsidDel="00000000" w:rsidR="00000000" w:rsidRPr="00000000">
        <w:rPr>
          <w:rtl w:val="0"/>
        </w:rPr>
        <w:t xml:space="preserve">: The duration from a new law’s effective date to the deployment of client updates (Target: &lt; 48 hours).</w:t>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HR Satisfaction Score</w:t>
      </w:r>
      <w:r w:rsidDel="00000000" w:rsidR="00000000" w:rsidRPr="00000000">
        <w:rPr>
          <w:rtl w:val="0"/>
        </w:rPr>
        <w:t xml:space="preserve">: Measured via quarterly Net Promoter Score (NPS) surveys focus on "reduced administrative stress."</w:t>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Training Completion Rate</w:t>
      </w:r>
      <w:r w:rsidDel="00000000" w:rsidR="00000000" w:rsidRPr="00000000">
        <w:rPr>
          <w:rtl w:val="0"/>
        </w:rPr>
        <w:t xml:space="preserve">: Target &gt; 95% across all client workforces using AI-driven adaptive learning.</w:t>
      </w:r>
    </w:p>
    <w:p w:rsidR="00000000" w:rsidDel="00000000" w:rsidP="00000000" w:rsidRDefault="00000000" w:rsidRPr="00000000" w14:paraId="000000E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California's 2026 Labor and Employment Law Updates - What Employers Need to Know, https://articles.jmbm.com/2025/12/19/californias-2026-labor-and-employment-law-updates-what-employers-need-to-know/ 2. Key New 2026 Employment Laws for California Employers | CDF Labor Law LLP, https://www.cdflaborlaw.com/blog/key-new-2026-employment-laws-for-california-employers 3. California 2025 Bill Signing Wrap Up: New Employment Laws, https://www.calpeculiarities.com/2025/10/14/california-2025-bill-signing-wrap-up-new-employment-laws/ 4. Cost of HR Outsourcing: Pricing Models, Ranges &amp; Savings - Soteria HR, https://soteriahr.com/cost-of-hr-outsourcing/ 5. HR Compliance Issues: Challenges Impacting Employers in 2025 - VantagePoint Benefit, https://vantagepointbenefit.com/hr-compliance-issues-challenges-impacting-employers-in-2025/ 6. How to Use AI in HR: Step-by-Step Guide for Employee Relations Teams - HR Acuity, https://www.hracuity.com/blog/how-to-use-ai-in-hr/ 7. The Best AI Tools for HR in 2026 | HR Acuity, https://www.hracuity.com/blog/best-ai-tools-for-hr-in-2026/ 8. Thomson Reuters Future of Professionals Report (2025), https://www.thomsonreuters.com/content/dam/ewp-m/documents/thomsonreuters/en/pdf/reports/future-of-professionals-report-2025.pdf 9. 2025 GenAI report: Executive summary for legal professionals, https://legal.thomsonreuters.com/blog/genai-report-executive-summary-for-legal-professionals-tri/ 10. 2025 Benchmarks: What Percentage of Employees Use AI Tools Weekly—and How Does Your Org Compare? | Worklytics, https://www.worklytics.co/resources/2025-ai-adoption-benchmarks-employee-usage-statistics 11. May 2025 Ethically Speaking - When Crossing the Border Is Crossing the Line: An Updated Look at the Unauthorized Practice of Law in California, https://www.ocbar.org/All-News/News-View/ArticleId/6778/May-2025-Ethically-Speaking-When-Crossing-the-Border-Is-Crossing-the-Line-An-Updated-Look-at-the-Unauthorized-Practice-of-Law-in-California 12. Building Your First AI-Powered HR System: A Practical Guide for 2025 - inFeedo AI, https://www.infeedo.ai/blog/ai-powered-hr-system-guide-2025 13. 17 HR Compliance Challenges Every Business Must Solve in 2025, https://deliberatedirections.com/hr-compliance-challenges-2025/ 14. The CFO's Brief on Saving on HR in 2025: HR Savings &amp; Risk Reduction, https://5754370.fs1.hubspotusercontent-na1.net/hubfs/5754370/Obsidian_CFOBrief.pdf 15. The State of Employment Law Compliance in 2025 - SixFifty, https://www.sixfifty.com/resource/state-of-employment-compliance-in-2025/ 16. AI for in-house legal – 2025 predictions - Deloitte, https://www.deloitte.com/global/en/services/legal/research/ai-inhouse-legal-2025-predictions.html 17. 11 HR Trends for 2026: Shaping What's Next - AIHR, https://www.aihr.com/blog/hr-trends/ 18. HR in 2026 will be Defined by the Impact of AI Innovation on Work - MultiVu, https://www.multivu.com/adp/9348551-en-adp-releases-hr-trends-guide-2026 19. HR Tech 2025 buyer's guide: Avoid 'chasing features' and focus on building value, https://hrexecutive.com/hr-tech-2025-buyers-guide-avoid-chasing-features-and-focus-on-building-value/ 20. HRCI and SixFifty Partner on HRCI Handbook Builder, https://www.sixfifty.com/resource/hrci-handbook-builder/ 21. Top AI Governance Software &amp; Platforms in 2025 and Beyond | EWSolutions, https://www.ewsolutions.com/top-ai-governance-software-platforms-in-2025-and-beyond/ 22. 5 Best AI Tools for Internal Investigations in 2025 - Streamline AI, https://www.streamline.ai/tips/best-ai-tools-internal-investigations 23. 2025 Employment Law Updates - SixFifty, https://www.sixfifty.com/resource/2025-employment-law-updates/ 24. The Essentials—California Employment Law Update for 2026 | HUB ..., https://www.klgates.com/The-EssentialsCalifornia-Employment-Law-Update-for-2026-11-17-2025 25. Top HR Compliance Providers | Compare 122 Companies, https://vendordirectory.shrm.org/category/hr-services/hr-compliance 26. AI and the Future of Workplace Investigations - HRPA, https://www.hrpa.ca/hr-insights/ai-workplace-investigations/ 27. AI for Workplace Investigations: Key Basics You Need in 2025 - Case IQ, https://www.caseiq.com/resources/ai-for-workplace-investigations-the-basics-you-need-to-know-in-2024 28. The Top 6 AI Compliance Tools For 2025 - Drata, https://drata.com/blog/best-ai-compliance-tools 29. 2026 HR Forecast: AI Trends That Will Shape the Workplace | Robert Half, https://www.roberthalf.com/us/en/insights/management-tips/2026-hr-forecast-ai-trends-that-will-shape-the-workplace 30. Harvey AI vs. CoCounsel: Side-by-Side Breakdown - Aline, https://www.aline.co/post/harvey-ai-vs-cocounsel 31. CoCounsel vs Harvey AI vs Legora - Detailed Comparison - DreamLegal, https://dreamlegal.in/compare/cocounsel-vs-harvey-legalai-vs-legora 32. Consulting Fees and Pricing in 2026: Hourly, Retainer, Fixed Fee, https://nmsconsulting.com/consulting-fees-and-pricing-in-2026/ 33. Ultimate Guide – The Best AI Recruitment Compliance Solution Platform of 2025 - MokaHR, https://www.mokahr.io/articles/en/the-best-AI-recruitment-compliance-solution-platform 34. 2026 Compliance Outlook: AI, Privacy, and Global Risk Trends - Coalfire, https://coalfire.com/the-coalfire-blog/2026-compliance-outlook-ai-privacy-and-global-risk-trends 35. AI Governance Platform | Simplify AI Risk &amp; Compliance - FairNow, https://fairnow.ai/ 36. Compare Harvey vs CoCounsel: AI Features, Security &amp; Risk Report - PromptArmor, https://www.promptarmor.com/compare-harvey-vs-cocounsel-ai-features-capabilities-risk-report 37. How Modern Compliance Teams Use AI and Technology to Stay Ahead of Constantly Changing Regulations: A Practical Guide for 2026 and Beyond | Zartis, https://www.zartis.com/how-modern-compliance-teams-use-ai-and-technology-to-stay-ahead-of-constantly-changing-regulations-a-practical-guide-for-2026-and-beyond/ 38. Why an AI Technology Radar Is Essential in 2026 (and How to Build It) - BOC Group, https://www.boc-group.com/en/blog/ea/generative-ai-in-enterprise-architecture/ 39. AGREEMENT FOR PROFESSIONAL SERVICES - San Mateo, https://www.cityofsanmateo.org/DocumentCenter/View/94684 40. Unauthorized Practice of Law | The State Bar of California, https://www.calbar.ca.gov/public/concerns-about-attorney/avoid-legal-services-fraud/unauthorized-practice-law 41. 13 AI Prompts for HR Investigations - AllVoices, https://www.allvoices.co/blog/ai-prompts-for-workplace-investigations 42. Fractional Retainer Packages - LSC Systems, https://www.lscsystems.com/fractional-retainer-packages 43. Transparent HR Consulting Rates &amp; Packages - TSERGAS Human Capital, https://tsergas.ca/rates/ 44. How to Calculate CAC for Service Businesses in 2026 - Growleads, https://growleads.io/blog/calculate-cac-service-business-guide/ 45. HR Consulting Firms Near Me: 10 Top Partners for SMB Growth, https://soteriahr.com/hr-consulting-firms-near-me/ 46. HR Services Price List Examples - HR University, https://hr.university/hr-services/hr-services-price-list/ 47. How to use AI in HR: 5 Examples for 2025 - TalentHR, https://www.talenthr.io/blog/how-to-use-ai-in-hr/ 48. Best Boutique Strategy Consulting Firms 2026 Career Guide - CaseBasix, https://www.casebasix.com/pages/top-boutique-consulting-firms 49. B2B Sales Strategy: A 2026 Top Guide to Success - Leadfeeder, https://www.leadfeeder.com/blog/b2b-lead-generation-strategies-and-tactics/ 50. Best B2B Affiliate Marketing Networks to Explore in 2026 - ReachStream, https://resources.reachstream.com/best-b2b-affiliate-marketing-networks-2026/ 51. 10 Best AI Governance Platforms for Enterprise Teams in 2025 - Superblocks, https://www.superblocks.com/blog/ai-governance-platform 52. Unauthorized Practice of Law Complaint - The State Bar of California, https://www.calbar.ca.gov/public/concerns-about-attorney/avoid-legal-services-fraud/unauthorized-practice-law-complaint 53. How HR Compliance Could Be the Fix to Surging Health Insurance Premiums - Mineral, https://trustmineral.com/mineral-products/surging-health-insurance-premiums/ 54. 5 Best LMS for AI-Driven Compliance Training in 2026 - Disco Learning Platform, https://www.disco.co/blog/5-best-lms-for-ai-driven-compliance-training-in-2026</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