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680"/>
            <w:tcBorders>
              <w:top w:val="none"/>
              <w:left w:val="none"/>
              <w:bottom w:val="none"/>
              <w:right w:val="none"/>
            </w:tcBorders>
          </w:tcPr>
          <w:p>
            <w:pPr>
              <w:jc w:val="left"/>
            </w:pPr>
            <w:r>
              <w:drawing>
                <wp:inline xmlns:a="http://schemas.openxmlformats.org/drawingml/2006/main" xmlns:pic="http://schemas.openxmlformats.org/drawingml/2006/picture">
                  <wp:extent cx="1645920" cy="1135117"/>
                  <wp:docPr id="1" name="Picture 1"/>
                  <wp:cNvGraphicFramePr>
                    <a:graphicFrameLocks noChangeAspect="1"/>
                  </wp:cNvGraphicFramePr>
                  <a:graphic>
                    <a:graphicData uri="http://schemas.openxmlformats.org/drawingml/2006/picture">
                      <pic:pic>
                        <pic:nvPicPr>
                          <pic:cNvPr id="0" name="naan_mudhalvan_logo.png"/>
                          <pic:cNvPicPr/>
                        </pic:nvPicPr>
                        <pic:blipFill>
                          <a:blip r:embed="rId9"/>
                          <a:stretch>
                            <a:fillRect/>
                          </a:stretch>
                        </pic:blipFill>
                        <pic:spPr>
                          <a:xfrm>
                            <a:off x="0" y="0"/>
                            <a:ext cx="1645920" cy="1135117"/>
                          </a:xfrm>
                          <a:prstGeom prst="rect"/>
                        </pic:spPr>
                      </pic:pic>
                    </a:graphicData>
                  </a:graphic>
                </wp:inline>
              </w:drawing>
            </w:r>
          </w:p>
        </w:tc>
        <w:tc>
          <w:tcPr>
            <w:tcW w:type="dxa" w:w="4680"/>
            <w:tcBorders>
              <w:top w:val="none"/>
              <w:left w:val="none"/>
              <w:bottom w:val="none"/>
              <w:right w:val="none"/>
            </w:tcBorders>
          </w:tcPr>
          <w:p>
            <w:pPr>
              <w:jc w:val="right"/>
            </w:pPr>
            <w:r>
              <w:drawing>
                <wp:inline xmlns:a="http://schemas.openxmlformats.org/drawingml/2006/main" xmlns:pic="http://schemas.openxmlformats.org/drawingml/2006/picture">
                  <wp:extent cx="1371600" cy="655983"/>
                  <wp:docPr id="2" name="Picture 2"/>
                  <wp:cNvGraphicFramePr>
                    <a:graphicFrameLocks noChangeAspect="1"/>
                  </wp:cNvGraphicFramePr>
                  <a:graphic>
                    <a:graphicData uri="http://schemas.openxmlformats.org/drawingml/2006/picture">
                      <pic:pic>
                        <pic:nvPicPr>
                          <pic:cNvPr id="0" name="ibm_logo.png"/>
                          <pic:cNvPicPr/>
                        </pic:nvPicPr>
                        <pic:blipFill>
                          <a:blip r:embed="rId10"/>
                          <a:stretch>
                            <a:fillRect/>
                          </a:stretch>
                        </pic:blipFill>
                        <pic:spPr>
                          <a:xfrm>
                            <a:off x="0" y="0"/>
                            <a:ext cx="1371600" cy="655983"/>
                          </a:xfrm>
                          <a:prstGeom prst="rect"/>
                        </pic:spPr>
                      </pic:pic>
                    </a:graphicData>
                  </a:graphic>
                </wp:inline>
              </w:drawing>
            </w:r>
          </w:p>
        </w:tc>
      </w:tr>
    </w:tbl>
    <w:p>
      <w:pPr>
        <w:spacing w:before="1700"/>
      </w:pPr>
    </w:p>
    <w:p>
      <w:pPr>
        <w:spacing w:after="160"/>
        <w:jc w:val="center"/>
      </w:pPr>
      <w:r>
        <w:rPr>
          <w:rFonts w:ascii="Arial" w:hAnsi="Arial"/>
          <w:b/>
          <w:color w:val="000000"/>
          <w:sz w:val="32"/>
        </w:rPr>
        <w:t>AI E-COMMERCE CUSTOMER SUPPORT AGENT</w:t>
      </w:r>
    </w:p>
    <w:p>
      <w:pPr>
        <w:spacing w:after="1500"/>
        <w:jc w:val="center"/>
      </w:pPr>
      <w:r>
        <w:rPr>
          <w:rFonts w:ascii="Arial" w:hAnsi="Arial"/>
          <w:color w:val="3C3C3C"/>
          <w:sz w:val="22"/>
        </w:rPr>
        <w:t>Using RAG, Tools, Memory</w:t>
      </w:r>
    </w:p>
    <w:p>
      <w:pPr>
        <w:spacing w:after="140" w:line="276" w:lineRule="auto"/>
        <w:ind w:left="1584"/>
      </w:pPr>
      <w:r>
        <w:rPr>
          <w:rFonts w:ascii="Arial" w:hAnsi="Arial"/>
          <w:b/>
          <w:color w:val="000000"/>
          <w:sz w:val="22"/>
        </w:rPr>
        <w:t>College Code</w:t>
      </w:r>
      <w:r>
        <w:rPr>
          <w:rFonts w:ascii="Arial" w:hAnsi="Arial"/>
          <w:b w:val="0"/>
          <w:color w:val="000000"/>
          <w:sz w:val="22"/>
        </w:rPr>
        <w:t xml:space="preserve"> : 9530</w:t>
      </w:r>
    </w:p>
    <w:p>
      <w:pPr>
        <w:spacing w:after="140" w:line="276" w:lineRule="auto"/>
        <w:ind w:left="1584"/>
      </w:pPr>
      <w:r>
        <w:rPr>
          <w:rFonts w:ascii="Arial" w:hAnsi="Arial"/>
          <w:b/>
          <w:color w:val="000000"/>
          <w:sz w:val="22"/>
        </w:rPr>
        <w:t>College Name</w:t>
      </w:r>
      <w:r>
        <w:rPr>
          <w:rFonts w:ascii="Arial" w:hAnsi="Arial"/>
          <w:b w:val="0"/>
          <w:color w:val="000000"/>
          <w:sz w:val="22"/>
        </w:rPr>
        <w:t xml:space="preserve"> : St.Mother Theresa Engineering College</w:t>
      </w:r>
    </w:p>
    <w:p>
      <w:pPr>
        <w:spacing w:after="140" w:line="276" w:lineRule="auto"/>
        <w:ind w:left="1584"/>
      </w:pPr>
      <w:r>
        <w:rPr>
          <w:rFonts w:ascii="Arial" w:hAnsi="Arial"/>
          <w:b/>
          <w:color w:val="000000"/>
          <w:sz w:val="22"/>
        </w:rPr>
        <w:t>Department</w:t>
      </w:r>
      <w:r>
        <w:rPr>
          <w:rFonts w:ascii="Arial" w:hAnsi="Arial"/>
          <w:b w:val="0"/>
          <w:color w:val="000000"/>
          <w:sz w:val="22"/>
        </w:rPr>
        <w:t xml:space="preserve"> : Computer Science and Engineering</w:t>
      </w:r>
    </w:p>
    <w:p>
      <w:pPr>
        <w:spacing w:after="140" w:line="276" w:lineRule="auto"/>
        <w:ind w:left="1584"/>
      </w:pPr>
      <w:r>
        <w:rPr>
          <w:rFonts w:ascii="Arial" w:hAnsi="Arial"/>
          <w:b/>
          <w:color w:val="000000"/>
          <w:sz w:val="22"/>
        </w:rPr>
        <w:t>REG.NO</w:t>
      </w:r>
      <w:r>
        <w:rPr>
          <w:rFonts w:ascii="Arial" w:hAnsi="Arial"/>
          <w:b w:val="0"/>
          <w:color w:val="000000"/>
          <w:sz w:val="22"/>
        </w:rPr>
        <w:t xml:space="preserve"> : 953023104057</w:t>
      </w:r>
    </w:p>
    <w:p>
      <w:pPr>
        <w:spacing w:after="140" w:line="276" w:lineRule="auto"/>
        <w:ind w:left="1584"/>
      </w:pPr>
      <w:r>
        <w:t>Student NM ID : 1FAB7E8576148439DC74606AFAF977A4</w:t>
      </w:r>
    </w:p>
    <w:p>
      <w:pPr>
        <w:spacing w:after="140" w:line="276" w:lineRule="auto"/>
        <w:ind w:left="1584"/>
      </w:pPr>
      <w:r>
        <w:t>Student Name : Marish Kumar K</w:t>
      </w:r>
    </w:p>
    <w:p>
      <w:r>
        <w:br w:type="page"/>
      </w:r>
    </w:p>
    <w:p>
      <w:pPr>
        <w:spacing w:before="0" w:after="80"/>
      </w:pPr>
      <w:r>
        <w:rPr>
          <w:rFonts w:ascii="Arial" w:hAnsi="Arial"/>
          <w:b/>
          <w:color w:val="1B365D"/>
          <w:sz w:val="40"/>
        </w:rPr>
        <w:t>PROJECT REPORT</w:t>
      </w:r>
    </w:p>
    <w:p>
      <w:pPr>
        <w:spacing w:after="240"/>
      </w:pPr>
      <w:r>
        <w:rPr>
          <w:rFonts w:ascii="Arial" w:hAnsi="Arial"/>
          <w:i/>
          <w:color w:val="2B547E"/>
          <w:sz w:val="23"/>
        </w:rPr>
        <w:t>Autonomous Multi-Tool Agentic AI for E-Commerce Support, State Tracking &amp; Inventory Integration</w:t>
      </w:r>
    </w:p>
    <w:p>
      <w:pPr>
        <w:spacing w:after="280"/>
        <w:pBdr>
          <w:bottom w:val="single" w:sz="12" w:space="1" w:color="1B365D"/>
        </w:pBdr>
      </w:pPr>
    </w:p>
    <w:p>
      <w:pPr>
        <w:keepNext/>
        <w:spacing w:before="360" w:after="120"/>
      </w:pPr>
      <w:r>
        <w:rPr>
          <w:rFonts w:ascii="Arial" w:hAnsi="Arial"/>
          <w:b/>
          <w:color w:val="1B365D"/>
          <w:sz w:val="28"/>
        </w:rPr>
        <w:t>1. Project Overview</w:t>
      </w:r>
    </w:p>
    <w:p>
      <w:pPr>
        <w:keepNext/>
        <w:spacing w:before="240" w:after="80"/>
      </w:pPr>
      <w:r>
        <w:rPr>
          <w:rFonts w:ascii="Arial" w:hAnsi="Arial"/>
          <w:b/>
          <w:color w:val="2B547E"/>
          <w:sz w:val="23"/>
        </w:rPr>
        <w:t>1.1 Project Title</w:t>
      </w:r>
    </w:p>
    <w:p>
      <w:pPr>
        <w:spacing w:after="120" w:line="276" w:lineRule="auto"/>
      </w:pPr>
      <w:r>
        <w:rPr>
          <w:rFonts w:ascii="Arial" w:hAnsi="Arial"/>
          <w:color w:val="222222"/>
          <w:sz w:val="20"/>
        </w:rPr>
        <w:t>Autonomous Multi-Tool Agentic AI for E-Commerce Customer Support, Real-Time Inventory Lifecycle Management, and Contextual State Tracking.</w:t>
      </w:r>
    </w:p>
    <w:p>
      <w:pPr>
        <w:keepNext/>
        <w:spacing w:before="240" w:after="80"/>
      </w:pPr>
      <w:r>
        <w:rPr>
          <w:rFonts w:ascii="Arial" w:hAnsi="Arial"/>
          <w:b/>
          <w:color w:val="2B547E"/>
          <w:sz w:val="23"/>
        </w:rPr>
        <w:t>1.2 Problem Statement</w:t>
      </w:r>
    </w:p>
    <w:p>
      <w:pPr>
        <w:spacing w:after="120" w:line="276" w:lineRule="auto"/>
      </w:pPr>
      <w:r>
        <w:rPr>
          <w:rFonts w:ascii="Arial" w:hAnsi="Arial"/>
          <w:color w:val="222222"/>
          <w:sz w:val="20"/>
        </w:rPr>
        <w:t>In the current commercial digital ecosystem, retail brands experience substantial customer churn, lost revenue, and operational degradation as a direct consequence of deficiencies in frontline customer engagement. Conventional support systems suffer from four critical structural vulnerabilities:</w:t>
      </w:r>
    </w:p>
    <w:p>
      <w:pPr>
        <w:pStyle w:val="ListBullet"/>
        <w:spacing w:after="60" w:line="276" w:lineRule="auto"/>
      </w:pPr>
      <w:r>
        <w:rPr>
          <w:rFonts w:ascii="Arial" w:hAnsi="Arial"/>
          <w:b/>
          <w:color w:val="222222"/>
          <w:sz w:val="20"/>
        </w:rPr>
        <w:t xml:space="preserve">Rigid Keyword Matching &amp; Semantic Incomprehension: </w:t>
      </w:r>
      <w:r>
        <w:rPr>
          <w:rFonts w:ascii="Arial" w:hAnsi="Arial"/>
          <w:color w:val="222222"/>
          <w:sz w:val="20"/>
        </w:rPr>
        <w:t>Traditional conversational bots operate exclusively via hardcoded regex pattern matching or rigid decision trees. When consumer inquiries deviate slightly from exact grammatical templates or phrase structures (such as colloquial vernacular, typos, or layered intents), standard bots fail catastrophically and yield useless generic fallback responses.</w:t>
      </w:r>
    </w:p>
    <w:p>
      <w:pPr>
        <w:pStyle w:val="ListBullet"/>
        <w:spacing w:after="60" w:line="276" w:lineRule="auto"/>
      </w:pPr>
      <w:r>
        <w:rPr>
          <w:rFonts w:ascii="Arial" w:hAnsi="Arial"/>
          <w:b/>
          <w:color w:val="222222"/>
          <w:sz w:val="20"/>
        </w:rPr>
        <w:t xml:space="preserve">Escalation Backlog &amp; Prohibitive Operational Costs: </w:t>
      </w:r>
      <w:r>
        <w:rPr>
          <w:rFonts w:ascii="Arial" w:hAnsi="Arial"/>
          <w:color w:val="222222"/>
          <w:sz w:val="20"/>
        </w:rPr>
        <w:t>Human-operated support desks present severe scalability limitations. Tier-1 customer queries regarding routine parcel status checks, product return verifications, and stock lookups consume over 60% of human agent bandwidth. This creates significant customer queue latency, inflates payroll overhead, and leaves businesses unable to provide 24/7 global support.</w:t>
      </w:r>
    </w:p>
    <w:p>
      <w:pPr>
        <w:pStyle w:val="ListBullet"/>
        <w:spacing w:after="60" w:line="276" w:lineRule="auto"/>
      </w:pPr>
      <w:r>
        <w:rPr>
          <w:rFonts w:ascii="Arial" w:hAnsi="Arial"/>
          <w:b/>
          <w:color w:val="222222"/>
          <w:sz w:val="20"/>
        </w:rPr>
        <w:t xml:space="preserve">Data Silos &amp; Disconnected Transactional Workflows: </w:t>
      </w:r>
      <w:r>
        <w:rPr>
          <w:rFonts w:ascii="Arial" w:hAnsi="Arial"/>
          <w:color w:val="222222"/>
          <w:sz w:val="20"/>
        </w:rPr>
        <w:t>Standard customer support interfaces are fully disconnected from transactional core databases, warehouse fulfillment endpoints, and catalog management systems. Representatives must perform tedious manual context switching across multiple operational tabs, increasing mean time to resolution (MTTR) and introducing manual data entry errors.</w:t>
      </w:r>
    </w:p>
    <w:p>
      <w:pPr>
        <w:pStyle w:val="ListBullet"/>
        <w:spacing w:after="60" w:line="276" w:lineRule="auto"/>
      </w:pPr>
      <w:r>
        <w:rPr>
          <w:rFonts w:ascii="Arial" w:hAnsi="Arial"/>
          <w:b/>
          <w:color w:val="222222"/>
          <w:sz w:val="20"/>
        </w:rPr>
        <w:t xml:space="preserve">Absence of Stateful Cross-Session Memory: </w:t>
      </w:r>
      <w:r>
        <w:rPr>
          <w:rFonts w:ascii="Arial" w:hAnsi="Arial"/>
          <w:color w:val="222222"/>
          <w:sz w:val="20"/>
        </w:rPr>
        <w:t>Traditional web chat plugins treat each conversational session as an isolated, stateless event. Customers are continually forced to restate their identity, repeat previous tracking numbers, and re-explain prior inquiries upon refreshing their browser or restarting terminal sessions.</w:t>
      </w:r>
    </w:p>
    <w:p>
      <w:pPr>
        <w:keepNext/>
        <w:spacing w:before="240" w:after="80"/>
      </w:pPr>
      <w:r>
        <w:rPr>
          <w:rFonts w:ascii="Arial" w:hAnsi="Arial"/>
          <w:b/>
          <w:color w:val="2B547E"/>
          <w:sz w:val="23"/>
        </w:rPr>
        <w:t>1.3 Brief Description of the Project</w:t>
      </w:r>
    </w:p>
    <w:p>
      <w:pPr>
        <w:spacing w:after="120" w:line="276" w:lineRule="auto"/>
      </w:pPr>
      <w:r>
        <w:rPr>
          <w:rFonts w:ascii="Arial" w:hAnsi="Arial"/>
          <w:color w:val="222222"/>
          <w:sz w:val="20"/>
        </w:rPr>
        <w:t>This project introduces a resilient, production-grade Agentic AI customer support system designed from the ground up in Python. In stark contrast to static scripted chatbots, this agent functions as an autonomous reasoning engine capable of dynamic problem breakdown, contextual parameter evaluation, and direct tool invocation.</w:t>
      </w:r>
    </w:p>
    <w:p>
      <w:pPr>
        <w:spacing w:after="120" w:line="276" w:lineRule="auto"/>
      </w:pPr>
      <w:r>
        <w:rPr>
          <w:rFonts w:ascii="Arial" w:hAnsi="Arial"/>
          <w:color w:val="222222"/>
          <w:sz w:val="20"/>
        </w:rPr>
        <w:t>The architecture integrates two operational pillars: an LLM-driven autonomous tool-calling pipeline that interacts with Claude Sonnet via formal JSON Schema specifications, and a fully offline deterministic regex engine ensuring 100% operational availability regardless of internet connectivity or API token exhaustion. The system incorporates an embedded multi-dimensional data model simulating real-world e-commerce inventory and order tracking tables, paired with a persistent disk-backed JSON memory framework that guarantees user continuity across distinct application lifecycles.</w:t>
      </w:r>
    </w:p>
    <w:p>
      <w:pPr>
        <w:keepNext/>
        <w:spacing w:before="360" w:after="120"/>
      </w:pPr>
      <w:r>
        <w:rPr>
          <w:rFonts w:ascii="Arial" w:hAnsi="Arial"/>
          <w:b/>
          <w:color w:val="1B365D"/>
          <w:sz w:val="28"/>
        </w:rPr>
        <w:t>2. Objectives &amp; Proposed Solution</w:t>
      </w:r>
    </w:p>
    <w:p>
      <w:pPr>
        <w:keepNext/>
        <w:spacing w:before="240" w:after="80"/>
      </w:pPr>
      <w:r>
        <w:rPr>
          <w:rFonts w:ascii="Arial" w:hAnsi="Arial"/>
          <w:b/>
          <w:color w:val="2B547E"/>
          <w:sz w:val="23"/>
        </w:rPr>
        <w:t>2.1 Project Objectives</w:t>
      </w:r>
    </w:p>
    <w:p>
      <w:pPr>
        <w:pStyle w:val="ListBullet"/>
        <w:spacing w:after="60" w:line="276" w:lineRule="auto"/>
      </w:pPr>
      <w:r>
        <w:rPr>
          <w:rFonts w:ascii="Arial" w:hAnsi="Arial"/>
          <w:b/>
          <w:color w:val="222222"/>
          <w:sz w:val="20"/>
        </w:rPr>
        <w:t xml:space="preserve">Autonomous Tool Execution &amp; Orchestration: </w:t>
      </w:r>
      <w:r>
        <w:rPr>
          <w:rFonts w:ascii="Arial" w:hAnsi="Arial"/>
          <w:color w:val="222222"/>
          <w:sz w:val="20"/>
        </w:rPr>
        <w:t>Develop an autonomous system that parses unstructured natural-language input, determines customer intent, extracts required arguments, and autonomously decides which internal backend function to execute without manual human triage.</w:t>
      </w:r>
    </w:p>
    <w:p>
      <w:pPr>
        <w:pStyle w:val="ListBullet"/>
        <w:spacing w:after="60" w:line="276" w:lineRule="auto"/>
      </w:pPr>
      <w:r>
        <w:rPr>
          <w:rFonts w:ascii="Arial" w:hAnsi="Arial"/>
          <w:b/>
          <w:color w:val="222222"/>
          <w:sz w:val="20"/>
        </w:rPr>
        <w:t xml:space="preserve">End-to-End Operational Lifecycle Support: </w:t>
      </w:r>
      <w:r>
        <w:rPr>
          <w:rFonts w:ascii="Arial" w:hAnsi="Arial"/>
          <w:color w:val="222222"/>
          <w:sz w:val="20"/>
        </w:rPr>
        <w:t>Provide complete automated self-service for core commercial workflows, including real-time catalog discovery, delivery milestone queries, business-validated return initiations, and multi-factor recommendation filtering.</w:t>
      </w:r>
    </w:p>
    <w:p>
      <w:pPr>
        <w:pStyle w:val="ListBullet"/>
        <w:spacing w:after="60" w:line="276" w:lineRule="auto"/>
      </w:pPr>
      <w:r>
        <w:rPr>
          <w:rFonts w:ascii="Arial" w:hAnsi="Arial"/>
          <w:b/>
          <w:color w:val="222222"/>
          <w:sz w:val="20"/>
        </w:rPr>
        <w:t xml:space="preserve">Stateful Session Persistence: </w:t>
      </w:r>
      <w:r>
        <w:rPr>
          <w:rFonts w:ascii="Arial" w:hAnsi="Arial"/>
          <w:color w:val="222222"/>
          <w:sz w:val="20"/>
        </w:rPr>
        <w:t>Construct a persistent memory serialization engine that securely stores customer identities, explicit category preferences, and past transaction queries across local disk records without requiring heavyweight cloud database infrastructure.</w:t>
      </w:r>
    </w:p>
    <w:p>
      <w:pPr>
        <w:pStyle w:val="ListBullet"/>
        <w:spacing w:after="60" w:line="276" w:lineRule="auto"/>
      </w:pPr>
      <w:r>
        <w:rPr>
          <w:rFonts w:ascii="Arial" w:hAnsi="Arial"/>
          <w:b/>
          <w:color w:val="222222"/>
          <w:sz w:val="20"/>
        </w:rPr>
        <w:t xml:space="preserve">Fault-Tolerant Hybrid Engine: </w:t>
      </w:r>
      <w:r>
        <w:rPr>
          <w:rFonts w:ascii="Arial" w:hAnsi="Arial"/>
          <w:color w:val="222222"/>
          <w:sz w:val="20"/>
        </w:rPr>
        <w:t>Architect a hybrid execution runtime that automatically shifts between advanced cloud generative intelligence (Anthropic API) and high-speed offline local parsing to prevent operational interruption.</w:t>
      </w:r>
    </w:p>
    <w:p>
      <w:pPr>
        <w:keepNext/>
        <w:spacing w:before="240" w:after="80"/>
      </w:pPr>
      <w:r>
        <w:rPr>
          <w:rFonts w:ascii="Arial" w:hAnsi="Arial"/>
          <w:b/>
          <w:color w:val="2B547E"/>
          <w:sz w:val="23"/>
        </w:rPr>
        <w:t>2.2 How the Agentic AI Solution Works</w:t>
      </w:r>
    </w:p>
    <w:p>
      <w:pPr>
        <w:spacing w:after="120" w:line="276" w:lineRule="auto"/>
      </w:pPr>
      <w:r>
        <w:rPr>
          <w:rFonts w:ascii="Arial" w:hAnsi="Arial"/>
          <w:color w:val="222222"/>
          <w:sz w:val="20"/>
        </w:rPr>
        <w:t>The agentic framework decouples high-level cognitive comprehension from deterministic transactional logic. The execution workflow is governed by a five-stage operational pipeline:</w:t>
      </w:r>
    </w:p>
    <w:p>
      <w:pPr>
        <w:spacing w:after="120" w:line="276" w:lineRule="auto"/>
      </w:pPr>
      <w:r>
        <w:rPr>
          <w:rFonts w:ascii="Arial" w:hAnsi="Arial"/>
          <w:b/>
          <w:color w:val="222222"/>
          <w:sz w:val="20"/>
        </w:rPr>
        <w:t xml:space="preserve">Stage 1: Context Ingestion &amp; State Initialization - </w:t>
      </w:r>
      <w:r>
        <w:rPr>
          <w:rFonts w:ascii="Arial" w:hAnsi="Arial"/>
          <w:color w:val="222222"/>
          <w:sz w:val="20"/>
        </w:rPr>
        <w:t>When a customer enters a prompt, the system queries the local 'memory_store.json' file via AgentMemory. It merges existing customer profiles (name, shopping interests, previously queried order numbers) with current short-term conversation context to initialize contextual parameters.</w:t>
      </w:r>
    </w:p>
    <w:p>
      <w:pPr>
        <w:spacing w:after="120" w:line="276" w:lineRule="auto"/>
      </w:pPr>
      <w:r>
        <w:rPr>
          <w:rFonts w:ascii="Arial" w:hAnsi="Arial"/>
          <w:b/>
          <w:color w:val="222222"/>
          <w:sz w:val="20"/>
        </w:rPr>
        <w:t xml:space="preserve">Stage 2: Intent Analysis &amp; Tool Selection - </w:t>
      </w:r>
      <w:r>
        <w:rPr>
          <w:rFonts w:ascii="Arial" w:hAnsi="Arial"/>
          <w:color w:val="222222"/>
          <w:sz w:val="20"/>
        </w:rPr>
        <w:t>In online mode, the conversational history alongside formal declarative JSON Schemas is evaluated by the Claude LLM. The model determines whether external tools must be invoked to answer the query or if a conversational response suffices. If tools are needed, generation halts and a structured tool call block is returned.</w:t>
      </w:r>
    </w:p>
    <w:p>
      <w:pPr>
        <w:spacing w:after="120" w:line="276" w:lineRule="auto"/>
      </w:pPr>
      <w:r>
        <w:rPr>
          <w:rFonts w:ascii="Arial" w:hAnsi="Arial"/>
          <w:b/>
          <w:color w:val="222222"/>
          <w:sz w:val="20"/>
        </w:rPr>
        <w:t xml:space="preserve">Stage 3: Tool Execution &amp; Data Validation - </w:t>
      </w:r>
      <w:r>
        <w:rPr>
          <w:rFonts w:ascii="Arial" w:hAnsi="Arial"/>
          <w:color w:val="222222"/>
          <w:sz w:val="20"/>
        </w:rPr>
        <w:t>The orchestrator matches the tool identifier against TOOL_REGISTRY, unpacks incoming arguments, and executes the designated Python function (e.g., search_product, check_order_status, process_return, recommend_products) directly against the database layer.</w:t>
      </w:r>
    </w:p>
    <w:p>
      <w:pPr>
        <w:spacing w:after="120" w:line="276" w:lineRule="auto"/>
      </w:pPr>
      <w:r>
        <w:rPr>
          <w:rFonts w:ascii="Arial" w:hAnsi="Arial"/>
          <w:b/>
          <w:color w:val="222222"/>
          <w:sz w:val="20"/>
        </w:rPr>
        <w:t xml:space="preserve">Stage 4: Grounded Response Synthesis - </w:t>
      </w:r>
      <w:r>
        <w:rPr>
          <w:rFonts w:ascii="Arial" w:hAnsi="Arial"/>
          <w:color w:val="222222"/>
          <w:sz w:val="20"/>
        </w:rPr>
        <w:t>The deterministic output (JSON/Dictionary) is converted to a string and fed back into the conversational thread as a tool_result payload. The LLM consumes the execution result and synthesizes an empathetic, highly structured customer-facing response.</w:t>
      </w:r>
    </w:p>
    <w:p>
      <w:pPr>
        <w:spacing w:after="120" w:line="276" w:lineRule="auto"/>
      </w:pPr>
      <w:r>
        <w:rPr>
          <w:rFonts w:ascii="Arial" w:hAnsi="Arial"/>
          <w:b/>
          <w:color w:val="222222"/>
          <w:sz w:val="20"/>
        </w:rPr>
        <w:t xml:space="preserve">Stage 5: Memory Serialization - </w:t>
      </w:r>
      <w:r>
        <w:rPr>
          <w:rFonts w:ascii="Arial" w:hAnsi="Arial"/>
          <w:color w:val="222222"/>
          <w:sz w:val="20"/>
        </w:rPr>
        <w:t>Extracted customer identifiers (e.g., user name, new category interests, tracked order IDs) are automatically committed to disk storage, ensuring state retention across future sessions.</w:t>
      </w:r>
    </w:p>
    <w:p>
      <w:pPr>
        <w:keepNext/>
        <w:spacing w:before="240" w:after="80"/>
      </w:pPr>
      <w:r>
        <w:rPr>
          <w:rFonts w:ascii="Arial" w:hAnsi="Arial"/>
          <w:b/>
          <w:color w:val="2B547E"/>
          <w:sz w:val="23"/>
        </w:rPr>
        <w:t>2.3 Key Features</w:t>
      </w:r>
    </w:p>
    <w:p>
      <w:pPr>
        <w:pStyle w:val="ListBullet"/>
        <w:spacing w:after="60" w:line="276" w:lineRule="auto"/>
      </w:pPr>
      <w:r>
        <w:rPr>
          <w:rFonts w:ascii="Arial" w:hAnsi="Arial"/>
          <w:b/>
          <w:color w:val="222222"/>
          <w:sz w:val="20"/>
        </w:rPr>
        <w:t xml:space="preserve">Model-Driven Function Calling: </w:t>
      </w:r>
      <w:r>
        <w:rPr>
          <w:rFonts w:ascii="Arial" w:hAnsi="Arial"/>
          <w:color w:val="222222"/>
          <w:sz w:val="20"/>
        </w:rPr>
        <w:t>The agent dynamically invokes appropriate backend functions based on contextual inference, rejecting speculative answers and relying purely on structured database queries.</w:t>
      </w:r>
    </w:p>
    <w:p>
      <w:pPr>
        <w:pStyle w:val="ListBullet"/>
        <w:spacing w:after="60" w:line="276" w:lineRule="auto"/>
      </w:pPr>
      <w:r>
        <w:rPr>
          <w:rFonts w:ascii="Arial" w:hAnsi="Arial"/>
          <w:b/>
          <w:color w:val="222222"/>
          <w:sz w:val="20"/>
        </w:rPr>
        <w:t xml:space="preserve">Conditional Business Rule Validation: </w:t>
      </w:r>
      <w:r>
        <w:rPr>
          <w:rFonts w:ascii="Arial" w:hAnsi="Arial"/>
          <w:color w:val="222222"/>
          <w:sz w:val="20"/>
        </w:rPr>
        <w:t>The return processing module enforces commercial checks, verifying that an order exists and holds 'Delivered' status before accepting return reasons and calculating refund schedules.</w:t>
      </w:r>
    </w:p>
    <w:p>
      <w:pPr>
        <w:pStyle w:val="ListBullet"/>
        <w:spacing w:after="60" w:line="276" w:lineRule="auto"/>
      </w:pPr>
      <w:r>
        <w:rPr>
          <w:rFonts w:ascii="Arial" w:hAnsi="Arial"/>
          <w:b/>
          <w:color w:val="222222"/>
          <w:sz w:val="20"/>
        </w:rPr>
        <w:t xml:space="preserve">Dynamic Multi-Criteria Recommendations: </w:t>
      </w:r>
      <w:r>
        <w:rPr>
          <w:rFonts w:ascii="Arial" w:hAnsi="Arial"/>
          <w:color w:val="222222"/>
          <w:sz w:val="20"/>
        </w:rPr>
        <w:t>Integrates multi-parameter sorting that evaluates user category preferences and budget thresholds, sorting matches descending by historical user rating.</w:t>
      </w:r>
    </w:p>
    <w:p>
      <w:pPr>
        <w:pStyle w:val="ListBullet"/>
        <w:spacing w:after="60" w:line="276" w:lineRule="auto"/>
      </w:pPr>
      <w:r>
        <w:rPr>
          <w:rFonts w:ascii="Arial" w:hAnsi="Arial"/>
          <w:b/>
          <w:color w:val="222222"/>
          <w:sz w:val="20"/>
        </w:rPr>
        <w:t xml:space="preserve">Two-Tier Memory Buffer: </w:t>
      </w:r>
      <w:r>
        <w:rPr>
          <w:rFonts w:ascii="Arial" w:hAnsi="Arial"/>
          <w:color w:val="222222"/>
          <w:sz w:val="20"/>
        </w:rPr>
        <w:t>Maintains a dual memory buffer distinguishing temporary session turns from permanent user attributes stored in JSON format.</w:t>
      </w:r>
    </w:p>
    <w:p>
      <w:pPr>
        <w:pStyle w:val="ListBullet"/>
        <w:spacing w:after="60" w:line="276" w:lineRule="auto"/>
      </w:pPr>
      <w:r>
        <w:rPr>
          <w:rFonts w:ascii="Arial" w:hAnsi="Arial"/>
          <w:b/>
          <w:color w:val="222222"/>
          <w:sz w:val="20"/>
        </w:rPr>
        <w:t xml:space="preserve">Zero-Dependency Offline Fallback: </w:t>
      </w:r>
      <w:r>
        <w:rPr>
          <w:rFonts w:ascii="Arial" w:hAnsi="Arial"/>
          <w:color w:val="222222"/>
          <w:sz w:val="20"/>
        </w:rPr>
        <w:t>Guarantees full functionality in testing, sandboxed, or zero-connectivity environments via a built-in deterministic regex fallback engine.</w:t>
      </w:r>
    </w:p>
    <w:p>
      <w:pPr>
        <w:keepNext/>
        <w:spacing w:before="360" w:after="120"/>
      </w:pPr>
      <w:r>
        <w:rPr>
          <w:rFonts w:ascii="Arial" w:hAnsi="Arial"/>
          <w:b/>
          <w:color w:val="1B365D"/>
          <w:sz w:val="28"/>
        </w:rPr>
        <w:t>3. Implementation &amp; Results</w:t>
      </w:r>
    </w:p>
    <w:p>
      <w:pPr>
        <w:keepNext/>
        <w:spacing w:before="240" w:after="80"/>
      </w:pPr>
      <w:r>
        <w:rPr>
          <w:rFonts w:ascii="Arial" w:hAnsi="Arial"/>
          <w:b/>
          <w:color w:val="2B547E"/>
          <w:sz w:val="23"/>
        </w:rPr>
        <w:t>3.1 Technologies and Tools Used</w:t>
      </w:r>
    </w:p>
    <w:tbl>
      <w:tblPr>
        <w:tblW w:type="auto" w:w="0"/>
        <w:jc w:val="center"/>
        <w:tblLayout w:type="fixed"/>
        <w:tblLook w:firstColumn="1" w:firstRow="1" w:lastColumn="0" w:lastRow="0" w:noHBand="0" w:noVBand="1" w:val="04A0"/>
      </w:tblPr>
      <w:tblGrid>
        <w:gridCol w:w="3120"/>
        <w:gridCol w:w="3120"/>
        <w:gridCol w:w="3120"/>
      </w:tblGrid>
      <w:tr>
        <w:tc>
          <w:tcPr>
            <w:tcW w:type="dxa" w:w="2304"/>
            <w:shd w:fill="1B365D"/>
            <w:tcMar>
              <w:top w:w="120" w:type="dxa"/>
              <w:bottom w:w="120" w:type="dxa"/>
              <w:left w:w="150" w:type="dxa"/>
              <w:right w:w="150" w:type="dxa"/>
            </w:tcMar>
          </w:tcPr>
          <w:p>
            <w:pPr>
              <w:spacing w:after="0"/>
            </w:pPr>
            <w:r>
              <w:rPr>
                <w:rFonts w:ascii="Arial" w:hAnsi="Arial"/>
                <w:b/>
                <w:color w:val="FFFFFF"/>
                <w:sz w:val="19"/>
              </w:rPr>
              <w:t>Layer / Module</w:t>
            </w:r>
          </w:p>
        </w:tc>
        <w:tc>
          <w:tcPr>
            <w:tcW w:type="dxa" w:w="2592"/>
            <w:shd w:fill="1B365D"/>
            <w:tcMar>
              <w:top w:w="120" w:type="dxa"/>
              <w:bottom w:w="120" w:type="dxa"/>
              <w:left w:w="150" w:type="dxa"/>
              <w:right w:w="150" w:type="dxa"/>
            </w:tcMar>
          </w:tcPr>
          <w:p>
            <w:pPr>
              <w:spacing w:after="0"/>
            </w:pPr>
            <w:r>
              <w:rPr>
                <w:rFonts w:ascii="Arial" w:hAnsi="Arial"/>
                <w:b/>
                <w:color w:val="FFFFFF"/>
                <w:sz w:val="19"/>
              </w:rPr>
              <w:t>Technology Stack</w:t>
            </w:r>
          </w:p>
        </w:tc>
        <w:tc>
          <w:tcPr>
            <w:tcW w:type="dxa" w:w="4464"/>
            <w:shd w:fill="1B365D"/>
            <w:tcMar>
              <w:top w:w="120" w:type="dxa"/>
              <w:bottom w:w="120" w:type="dxa"/>
              <w:left w:w="150" w:type="dxa"/>
              <w:right w:w="150" w:type="dxa"/>
            </w:tcMar>
          </w:tcPr>
          <w:p>
            <w:pPr>
              <w:spacing w:after="0"/>
            </w:pPr>
            <w:r>
              <w:rPr>
                <w:rFonts w:ascii="Arial" w:hAnsi="Arial"/>
                <w:b/>
                <w:color w:val="FFFFFF"/>
                <w:sz w:val="19"/>
              </w:rPr>
              <w:t>Functional Responsibility</w:t>
            </w:r>
          </w:p>
        </w:tc>
      </w:tr>
      <w:tr>
        <w:tc>
          <w:tcPr>
            <w:tcW w:type="dxa" w:w="2304"/>
            <w:shd w:fill="FFFFFF"/>
            <w:tcMar>
              <w:top w:w="80" w:type="dxa"/>
              <w:bottom w:w="80" w:type="dxa"/>
              <w:left w:w="150" w:type="dxa"/>
              <w:right w:w="150" w:type="dxa"/>
            </w:tcMar>
          </w:tcPr>
          <w:p>
            <w:pPr>
              <w:spacing w:after="0"/>
            </w:pPr>
            <w:r>
              <w:rPr>
                <w:rFonts w:ascii="Arial" w:hAnsi="Arial"/>
                <w:color w:val="222222"/>
                <w:sz w:val="18"/>
              </w:rPr>
              <w:t>Core Language</w:t>
            </w:r>
          </w:p>
        </w:tc>
        <w:tc>
          <w:tcPr>
            <w:tcW w:type="dxa" w:w="2592"/>
            <w:shd w:fill="FFFFFF"/>
            <w:tcMar>
              <w:top w:w="80" w:type="dxa"/>
              <w:bottom w:w="80" w:type="dxa"/>
              <w:left w:w="150" w:type="dxa"/>
              <w:right w:w="150" w:type="dxa"/>
            </w:tcMar>
          </w:tcPr>
          <w:p>
            <w:pPr>
              <w:spacing w:after="0"/>
            </w:pPr>
            <w:r>
              <w:rPr>
                <w:rFonts w:ascii="Arial" w:hAnsi="Arial"/>
                <w:color w:val="222222"/>
                <w:sz w:val="18"/>
              </w:rPr>
              <w:t>Python 3.14+</w:t>
            </w:r>
          </w:p>
        </w:tc>
        <w:tc>
          <w:tcPr>
            <w:tcW w:type="dxa" w:w="4464"/>
            <w:shd w:fill="FFFFFF"/>
            <w:tcMar>
              <w:top w:w="80" w:type="dxa"/>
              <w:bottom w:w="80" w:type="dxa"/>
              <w:left w:w="150" w:type="dxa"/>
              <w:right w:w="150" w:type="dxa"/>
            </w:tcMar>
          </w:tcPr>
          <w:p>
            <w:pPr>
              <w:spacing w:after="0"/>
            </w:pPr>
            <w:r>
              <w:rPr>
                <w:rFonts w:ascii="Arial" w:hAnsi="Arial"/>
                <w:color w:val="222222"/>
                <w:sz w:val="18"/>
              </w:rPr>
              <w:t>Provides foundational runtime execution, typing, list comprehensions, and system libraries.</w:t>
            </w:r>
          </w:p>
        </w:tc>
      </w:tr>
      <w:tr>
        <w:tc>
          <w:tcPr>
            <w:tcW w:type="dxa" w:w="2304"/>
            <w:shd w:fill="F4F6F9"/>
            <w:tcMar>
              <w:top w:w="80" w:type="dxa"/>
              <w:bottom w:w="80" w:type="dxa"/>
              <w:left w:w="150" w:type="dxa"/>
              <w:right w:w="150" w:type="dxa"/>
            </w:tcMar>
          </w:tcPr>
          <w:p>
            <w:pPr>
              <w:spacing w:after="0"/>
            </w:pPr>
            <w:r>
              <w:rPr>
                <w:rFonts w:ascii="Arial" w:hAnsi="Arial"/>
                <w:color w:val="222222"/>
                <w:sz w:val="18"/>
              </w:rPr>
              <w:t>IDE &amp; Terminal</w:t>
            </w:r>
          </w:p>
        </w:tc>
        <w:tc>
          <w:tcPr>
            <w:tcW w:type="dxa" w:w="2592"/>
            <w:shd w:fill="F4F6F9"/>
            <w:tcMar>
              <w:top w:w="80" w:type="dxa"/>
              <w:bottom w:w="80" w:type="dxa"/>
              <w:left w:w="150" w:type="dxa"/>
              <w:right w:w="150" w:type="dxa"/>
            </w:tcMar>
          </w:tcPr>
          <w:p>
            <w:pPr>
              <w:spacing w:after="0"/>
            </w:pPr>
            <w:r>
              <w:rPr>
                <w:rFonts w:ascii="Arial" w:hAnsi="Arial"/>
                <w:color w:val="222222"/>
                <w:sz w:val="18"/>
              </w:rPr>
              <w:t>VS Code &amp; PowerShell</w:t>
            </w:r>
          </w:p>
        </w:tc>
        <w:tc>
          <w:tcPr>
            <w:tcW w:type="dxa" w:w="4464"/>
            <w:shd w:fill="F4F6F9"/>
            <w:tcMar>
              <w:top w:w="80" w:type="dxa"/>
              <w:bottom w:w="80" w:type="dxa"/>
              <w:left w:w="150" w:type="dxa"/>
              <w:right w:w="150" w:type="dxa"/>
            </w:tcMar>
          </w:tcPr>
          <w:p>
            <w:pPr>
              <w:spacing w:after="0"/>
            </w:pPr>
            <w:r>
              <w:rPr>
                <w:rFonts w:ascii="Arial" w:hAnsi="Arial"/>
                <w:color w:val="222222"/>
                <w:sz w:val="18"/>
              </w:rPr>
              <w:t>Source code compilation, execution monitoring, interactive command-line debugging, and path testing.</w:t>
            </w:r>
          </w:p>
        </w:tc>
      </w:tr>
      <w:tr>
        <w:tc>
          <w:tcPr>
            <w:tcW w:type="dxa" w:w="2304"/>
            <w:shd w:fill="FFFFFF"/>
            <w:tcMar>
              <w:top w:w="80" w:type="dxa"/>
              <w:bottom w:w="80" w:type="dxa"/>
              <w:left w:w="150" w:type="dxa"/>
              <w:right w:w="150" w:type="dxa"/>
            </w:tcMar>
          </w:tcPr>
          <w:p>
            <w:pPr>
              <w:spacing w:after="0"/>
            </w:pPr>
            <w:r>
              <w:rPr>
                <w:rFonts w:ascii="Arial" w:hAnsi="Arial"/>
                <w:color w:val="222222"/>
                <w:sz w:val="18"/>
              </w:rPr>
              <w:t>AI / LLM API</w:t>
            </w:r>
          </w:p>
        </w:tc>
        <w:tc>
          <w:tcPr>
            <w:tcW w:type="dxa" w:w="2592"/>
            <w:shd w:fill="FFFFFF"/>
            <w:tcMar>
              <w:top w:w="80" w:type="dxa"/>
              <w:bottom w:w="80" w:type="dxa"/>
              <w:left w:w="150" w:type="dxa"/>
              <w:right w:w="150" w:type="dxa"/>
            </w:tcMar>
          </w:tcPr>
          <w:p>
            <w:pPr>
              <w:spacing w:after="0"/>
            </w:pPr>
            <w:r>
              <w:rPr>
                <w:rFonts w:ascii="Arial" w:hAnsi="Arial"/>
                <w:color w:val="222222"/>
                <w:sz w:val="18"/>
              </w:rPr>
              <w:t>Anthropic Claude API</w:t>
            </w:r>
          </w:p>
        </w:tc>
        <w:tc>
          <w:tcPr>
            <w:tcW w:type="dxa" w:w="4464"/>
            <w:shd w:fill="FFFFFF"/>
            <w:tcMar>
              <w:top w:w="80" w:type="dxa"/>
              <w:bottom w:w="80" w:type="dxa"/>
              <w:left w:w="150" w:type="dxa"/>
              <w:right w:w="150" w:type="dxa"/>
            </w:tcMar>
          </w:tcPr>
          <w:p>
            <w:pPr>
              <w:spacing w:after="0"/>
            </w:pPr>
            <w:r>
              <w:rPr>
                <w:rFonts w:ascii="Arial" w:hAnsi="Arial"/>
                <w:color w:val="222222"/>
                <w:sz w:val="18"/>
              </w:rPr>
              <w:t>Semantic inference, natural language processing, JSON Schema-based tool-calling execution.</w:t>
            </w:r>
          </w:p>
        </w:tc>
      </w:tr>
      <w:tr>
        <w:tc>
          <w:tcPr>
            <w:tcW w:type="dxa" w:w="2304"/>
            <w:shd w:fill="F4F6F9"/>
            <w:tcMar>
              <w:top w:w="80" w:type="dxa"/>
              <w:bottom w:w="80" w:type="dxa"/>
              <w:left w:w="150" w:type="dxa"/>
              <w:right w:w="150" w:type="dxa"/>
            </w:tcMar>
          </w:tcPr>
          <w:p>
            <w:pPr>
              <w:spacing w:after="0"/>
            </w:pPr>
            <w:r>
              <w:rPr>
                <w:rFonts w:ascii="Arial" w:hAnsi="Arial"/>
                <w:color w:val="222222"/>
                <w:sz w:val="18"/>
              </w:rPr>
              <w:t>Data Persistence</w:t>
            </w:r>
          </w:p>
        </w:tc>
        <w:tc>
          <w:tcPr>
            <w:tcW w:type="dxa" w:w="2592"/>
            <w:shd w:fill="F4F6F9"/>
            <w:tcMar>
              <w:top w:w="80" w:type="dxa"/>
              <w:bottom w:w="80" w:type="dxa"/>
              <w:left w:w="150" w:type="dxa"/>
              <w:right w:w="150" w:type="dxa"/>
            </w:tcMar>
          </w:tcPr>
          <w:p>
            <w:pPr>
              <w:spacing w:after="0"/>
            </w:pPr>
            <w:r>
              <w:rPr>
                <w:rFonts w:ascii="Arial" w:hAnsi="Arial"/>
                <w:color w:val="222222"/>
                <w:sz w:val="18"/>
              </w:rPr>
              <w:t>JSON File Serialization</w:t>
            </w:r>
          </w:p>
        </w:tc>
        <w:tc>
          <w:tcPr>
            <w:tcW w:type="dxa" w:w="4464"/>
            <w:shd w:fill="F4F6F9"/>
            <w:tcMar>
              <w:top w:w="80" w:type="dxa"/>
              <w:bottom w:w="80" w:type="dxa"/>
              <w:left w:w="150" w:type="dxa"/>
              <w:right w:w="150" w:type="dxa"/>
            </w:tcMar>
          </w:tcPr>
          <w:p>
            <w:pPr>
              <w:spacing w:after="0"/>
            </w:pPr>
            <w:r>
              <w:rPr>
                <w:rFonts w:ascii="Arial" w:hAnsi="Arial"/>
                <w:color w:val="222222"/>
                <w:sz w:val="18"/>
              </w:rPr>
              <w:t>Persistent storage and retrieval of long-term customer profiles in memory_store.json.</w:t>
            </w:r>
          </w:p>
        </w:tc>
      </w:tr>
      <w:tr>
        <w:tc>
          <w:tcPr>
            <w:tcW w:type="dxa" w:w="2304"/>
            <w:shd w:fill="FFFFFF"/>
            <w:tcMar>
              <w:top w:w="80" w:type="dxa"/>
              <w:bottom w:w="80" w:type="dxa"/>
              <w:left w:w="150" w:type="dxa"/>
              <w:right w:w="150" w:type="dxa"/>
            </w:tcMar>
          </w:tcPr>
          <w:p>
            <w:pPr>
              <w:spacing w:after="0"/>
            </w:pPr>
            <w:r>
              <w:rPr>
                <w:rFonts w:ascii="Arial" w:hAnsi="Arial"/>
                <w:color w:val="222222"/>
                <w:sz w:val="18"/>
              </w:rPr>
              <w:t>Text Parsing</w:t>
            </w:r>
          </w:p>
        </w:tc>
        <w:tc>
          <w:tcPr>
            <w:tcW w:type="dxa" w:w="2592"/>
            <w:shd w:fill="FFFFFF"/>
            <w:tcMar>
              <w:top w:w="80" w:type="dxa"/>
              <w:bottom w:w="80" w:type="dxa"/>
              <w:left w:w="150" w:type="dxa"/>
              <w:right w:w="150" w:type="dxa"/>
            </w:tcMar>
          </w:tcPr>
          <w:p>
            <w:pPr>
              <w:spacing w:after="0"/>
            </w:pPr>
            <w:r>
              <w:rPr>
                <w:rFonts w:ascii="Arial" w:hAnsi="Arial"/>
                <w:color w:val="222222"/>
                <w:sz w:val="18"/>
              </w:rPr>
              <w:t>Regex Module (re)</w:t>
            </w:r>
          </w:p>
        </w:tc>
        <w:tc>
          <w:tcPr>
            <w:tcW w:type="dxa" w:w="4464"/>
            <w:shd w:fill="FFFFFF"/>
            <w:tcMar>
              <w:top w:w="80" w:type="dxa"/>
              <w:bottom w:w="80" w:type="dxa"/>
              <w:left w:w="150" w:type="dxa"/>
              <w:right w:w="150" w:type="dxa"/>
            </w:tcMar>
          </w:tcPr>
          <w:p>
            <w:pPr>
              <w:spacing w:after="0"/>
            </w:pPr>
            <w:r>
              <w:rPr>
                <w:rFonts w:ascii="Arial" w:hAnsi="Arial"/>
                <w:color w:val="222222"/>
                <w:sz w:val="18"/>
              </w:rPr>
              <w:t>Deterministic syntactic keyword matching and entity extraction for offline mode.</w:t>
            </w:r>
          </w:p>
        </w:tc>
      </w:tr>
      <w:tr>
        <w:tc>
          <w:tcPr>
            <w:tcW w:type="dxa" w:w="2304"/>
            <w:shd w:fill="F4F6F9"/>
            <w:tcMar>
              <w:top w:w="80" w:type="dxa"/>
              <w:bottom w:w="80" w:type="dxa"/>
              <w:left w:w="150" w:type="dxa"/>
              <w:right w:w="150" w:type="dxa"/>
            </w:tcMar>
          </w:tcPr>
          <w:p>
            <w:pPr>
              <w:spacing w:after="0"/>
            </w:pPr>
            <w:r>
              <w:rPr>
                <w:rFonts w:ascii="Arial" w:hAnsi="Arial"/>
                <w:color w:val="222222"/>
                <w:sz w:val="18"/>
              </w:rPr>
              <w:t>OS Management</w:t>
            </w:r>
          </w:p>
        </w:tc>
        <w:tc>
          <w:tcPr>
            <w:tcW w:type="dxa" w:w="2592"/>
            <w:shd w:fill="F4F6F9"/>
            <w:tcMar>
              <w:top w:w="80" w:type="dxa"/>
              <w:bottom w:w="80" w:type="dxa"/>
              <w:left w:w="150" w:type="dxa"/>
              <w:right w:w="150" w:type="dxa"/>
            </w:tcMar>
          </w:tcPr>
          <w:p>
            <w:pPr>
              <w:spacing w:after="0"/>
            </w:pPr>
            <w:r>
              <w:rPr>
                <w:rFonts w:ascii="Arial" w:hAnsi="Arial"/>
                <w:color w:val="222222"/>
                <w:sz w:val="18"/>
              </w:rPr>
              <w:t>OS &amp; Sys Modules</w:t>
            </w:r>
          </w:p>
        </w:tc>
        <w:tc>
          <w:tcPr>
            <w:tcW w:type="dxa" w:w="4464"/>
            <w:shd w:fill="F4F6F9"/>
            <w:tcMar>
              <w:top w:w="80" w:type="dxa"/>
              <w:bottom w:w="80" w:type="dxa"/>
              <w:left w:w="150" w:type="dxa"/>
              <w:right w:w="150" w:type="dxa"/>
            </w:tcMar>
          </w:tcPr>
          <w:p>
            <w:pPr>
              <w:spacing w:after="0"/>
            </w:pPr>
            <w:r>
              <w:rPr>
                <w:rFonts w:ascii="Arial" w:hAnsi="Arial"/>
                <w:color w:val="222222"/>
                <w:sz w:val="18"/>
              </w:rPr>
              <w:t>Directory resolution, environment variable checking, and dynamic file path binding.</w:t>
            </w:r>
          </w:p>
        </w:tc>
      </w:tr>
    </w:tbl>
    <w:p>
      <w:pPr>
        <w:keepNext/>
        <w:spacing w:before="240" w:after="80"/>
      </w:pPr>
      <w:r>
        <w:rPr>
          <w:rFonts w:ascii="Arial" w:hAnsi="Arial"/>
          <w:b/>
          <w:color w:val="2B547E"/>
          <w:sz w:val="23"/>
        </w:rPr>
        <w:t>3.2 Detailed Working Process &amp; Code Architecture</w:t>
      </w:r>
    </w:p>
    <w:p>
      <w:pPr>
        <w:spacing w:after="120" w:line="276" w:lineRule="auto"/>
      </w:pPr>
      <w:r>
        <w:rPr>
          <w:rFonts w:ascii="Arial" w:hAnsi="Arial"/>
          <w:color w:val="222222"/>
          <w:sz w:val="20"/>
        </w:rPr>
        <w:t>The project is structured as a self-contained single-file architecture (ecommerce_agent.py), purposefully engineered to balance clean separation of concerns with effortless deployment:</w:t>
      </w:r>
    </w:p>
    <w:p>
      <w:pPr>
        <w:keepNext/>
        <w:spacing w:before="200" w:after="40"/>
      </w:pPr>
      <w:r>
        <w:rPr>
          <w:rFonts w:ascii="Arial" w:hAnsi="Arial"/>
          <w:b/>
          <w:color w:val="2B547E"/>
          <w:sz w:val="20"/>
        </w:rPr>
        <w:t>1. Embedded Relational Data Schema</w:t>
      </w:r>
    </w:p>
    <w:p>
      <w:pPr>
        <w:spacing w:after="120" w:line="276" w:lineRule="auto"/>
      </w:pPr>
      <w:r>
        <w:rPr>
          <w:rFonts w:ascii="Arial" w:hAnsi="Arial"/>
          <w:color w:val="222222"/>
          <w:sz w:val="20"/>
        </w:rPr>
        <w:t>Simulates core enterprise database tables using strongly-typed structured dictionary structures. The PRODUCTS dataset records product SKU identifiers, categories, retail prices, live stock counts, customer rating metrics, and detailed feature descriptions. The ORDERS dataset records relational order tracking numbers, associated customer names, item references, fulfillment statuses (Shipped, Delivered, Processing), timestamps, and monetary amounts.</w:t>
      </w:r>
    </w:p>
    <w:p>
      <w:pPr>
        <w:keepNext/>
        <w:spacing w:before="200" w:after="40"/>
      </w:pPr>
      <w:r>
        <w:rPr>
          <w:rFonts w:ascii="Arial" w:hAnsi="Arial"/>
          <w:b/>
          <w:color w:val="2B547E"/>
          <w:sz w:val="20"/>
        </w:rPr>
        <w:t>2. Tool Execution Functions &amp; Schema Definitions</w:t>
      </w:r>
    </w:p>
    <w:p>
      <w:pPr>
        <w:spacing w:after="120" w:line="276" w:lineRule="auto"/>
      </w:pPr>
      <w:r>
        <w:rPr>
          <w:rFonts w:ascii="Arial" w:hAnsi="Arial"/>
          <w:color w:val="222222"/>
          <w:sz w:val="20"/>
        </w:rPr>
        <w:t>The agent exposes four deterministic functions registered in a centralized dispatch table (TOOL_REGISTRY):</w:t>
      </w:r>
    </w:p>
    <w:p>
      <w:pPr>
        <w:pStyle w:val="ListBullet"/>
        <w:spacing w:after="60" w:line="276" w:lineRule="auto"/>
      </w:pPr>
      <w:r>
        <w:rPr>
          <w:rFonts w:ascii="Arial" w:hAnsi="Arial"/>
          <w:b/>
          <w:color w:val="222222"/>
          <w:sz w:val="20"/>
        </w:rPr>
        <w:t xml:space="preserve">search_product(query: str): </w:t>
      </w:r>
      <w:r>
        <w:rPr>
          <w:rFonts w:ascii="Arial" w:hAnsi="Arial"/>
          <w:color w:val="222222"/>
          <w:sz w:val="20"/>
        </w:rPr>
        <w:t>Performs case-insensitive substring matching against product names, categories, and descriptions.</w:t>
      </w:r>
    </w:p>
    <w:p>
      <w:pPr>
        <w:pStyle w:val="ListBullet"/>
        <w:spacing w:after="60" w:line="276" w:lineRule="auto"/>
      </w:pPr>
      <w:r>
        <w:rPr>
          <w:rFonts w:ascii="Arial" w:hAnsi="Arial"/>
          <w:b/>
          <w:color w:val="222222"/>
          <w:sz w:val="20"/>
        </w:rPr>
        <w:t xml:space="preserve">check_order_status(order_id: str): </w:t>
      </w:r>
      <w:r>
        <w:rPr>
          <w:rFonts w:ascii="Arial" w:hAnsi="Arial"/>
          <w:color w:val="222222"/>
          <w:sz w:val="20"/>
        </w:rPr>
        <w:t>Executes primary-key lookups across the ORDERS dataset, extracting tracking milestones.</w:t>
      </w:r>
    </w:p>
    <w:p>
      <w:pPr>
        <w:pStyle w:val="ListBullet"/>
        <w:spacing w:after="60" w:line="276" w:lineRule="auto"/>
      </w:pPr>
      <w:r>
        <w:rPr>
          <w:rFonts w:ascii="Arial" w:hAnsi="Arial"/>
          <w:b/>
          <w:color w:val="222222"/>
          <w:sz w:val="20"/>
        </w:rPr>
        <w:t xml:space="preserve">process_return(order_id: str, reason: str): </w:t>
      </w:r>
      <w:r>
        <w:rPr>
          <w:rFonts w:ascii="Arial" w:hAnsi="Arial"/>
          <w:color w:val="222222"/>
          <w:sz w:val="20"/>
        </w:rPr>
        <w:t>Enforces conditional validation: verifies order existence, checks for 'Delivered' status, updates fulfillment flags to 'Return Requested', records customer return rationale, and calculates refund timelines.</w:t>
      </w:r>
    </w:p>
    <w:p>
      <w:pPr>
        <w:pStyle w:val="ListBullet"/>
        <w:spacing w:after="60" w:line="276" w:lineRule="auto"/>
      </w:pPr>
      <w:r>
        <w:rPr>
          <w:rFonts w:ascii="Arial" w:hAnsi="Arial"/>
          <w:b/>
          <w:color w:val="222222"/>
          <w:sz w:val="20"/>
        </w:rPr>
        <w:t xml:space="preserve">recommend_products(category: str, max_price: float): </w:t>
      </w:r>
      <w:r>
        <w:rPr>
          <w:rFonts w:ascii="Arial" w:hAnsi="Arial"/>
          <w:color w:val="222222"/>
          <w:sz w:val="20"/>
        </w:rPr>
        <w:t>Applies multi-attribute filtering (category match, maximum price bounds) and yields top items sorted descending by customer rating.</w:t>
      </w:r>
    </w:p>
    <w:p>
      <w:pPr>
        <w:keepNext/>
        <w:spacing w:before="200" w:after="40"/>
      </w:pPr>
      <w:r>
        <w:rPr>
          <w:rFonts w:ascii="Arial" w:hAnsi="Arial"/>
          <w:b/>
          <w:color w:val="2B547E"/>
          <w:sz w:val="20"/>
        </w:rPr>
        <w:t>3. Persistent Memory Architecture (AgentMemory)</w:t>
      </w:r>
    </w:p>
    <w:p>
      <w:pPr>
        <w:spacing w:after="120" w:line="276" w:lineRule="auto"/>
      </w:pPr>
      <w:r>
        <w:rPr>
          <w:rFonts w:ascii="Arial" w:hAnsi="Arial"/>
          <w:color w:val="222222"/>
          <w:sz w:val="20"/>
        </w:rPr>
        <w:t>The AgentMemory class coordinates short-term conversation context with disk-persisted state. Upon instantiation, it inspects the working directory for 'memory_store.json'. If found, historical customer names, preference tags, and previous order inquiries are loaded into memory. When new information is shared, the class updates its internal profile state and flushes the data to disk via json.dump().</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after="0" w:line="252" w:lineRule="auto"/>
            </w:pPr>
            <w:r>
              <w:rPr>
                <w:rFonts w:ascii="Courier New" w:hAnsi="Courier New"/>
                <w:color w:val="1E293B"/>
                <w:sz w:val="17"/>
              </w:rPr>
              <w:t>class AgentMemory:</w:t>
              <w:br/>
              <w:t xml:space="preserve">    def __init__(self):</w:t>
              <w:br/>
              <w:t xml:space="preserve">        self.chat_history = []</w:t>
              <w:br/>
              <w:t xml:space="preserve">        self.user_profile = {}</w:t>
              <w:br/>
              <w:t xml:space="preserve">        self._load()</w:t>
              <w:br/>
              <w:br/>
              <w:t xml:space="preserve">    def _load(self):</w:t>
              <w:br/>
              <w:t xml:space="preserve">        if os.path.exists(MEMORY_FILE):</w:t>
              <w:br/>
              <w:t xml:space="preserve">            with open(MEMORY_FILE, 'r', encoding='utf-8') as f:</w:t>
              <w:br/>
              <w:t xml:space="preserve">                self.user_profile = json.load(f)</w:t>
              <w:br/>
              <w:t xml:space="preserve">        else:</w:t>
              <w:br/>
              <w:t xml:space="preserve">            self.user_profile = {'name': None, 'preferences': [], 'past_orders_asked': []}</w:t>
              <w:br/>
              <w:br/>
              <w:t xml:space="preserve">    def save(self):</w:t>
              <w:br/>
              <w:t xml:space="preserve">        with open(MEMORY_FILE, 'w', encoding='utf-8') as f:</w:t>
              <w:br/>
              <w:t xml:space="preserve">            json.dump(self.user_profile, f, indent=2)</w:t>
            </w:r>
          </w:p>
        </w:tc>
      </w:tr>
    </w:tbl>
    <w:p>
      <w:pPr>
        <w:spacing w:before="0" w:after="80"/>
      </w:pPr>
    </w:p>
    <w:p>
      <w:pPr>
        <w:keepNext/>
        <w:spacing w:before="200" w:after="40"/>
      </w:pPr>
      <w:r>
        <w:rPr>
          <w:rFonts w:ascii="Arial" w:hAnsi="Arial"/>
          <w:b/>
          <w:color w:val="2B547E"/>
          <w:sz w:val="20"/>
        </w:rPr>
        <w:t>4. Dual Execution Engine Pipeline</w:t>
      </w:r>
    </w:p>
    <w:p>
      <w:pPr>
        <w:spacing w:after="120" w:line="276" w:lineRule="auto"/>
      </w:pPr>
      <w:r>
        <w:rPr>
          <w:rFonts w:ascii="Arial" w:hAnsi="Arial"/>
          <w:color w:val="222222"/>
          <w:sz w:val="20"/>
        </w:rPr>
        <w:t>The main execution loop checks for the presence of the 'ANTHROPIC_API_KEY' environment variable. If active, 'run_llm_turn' is engaged, delegating tool determination to Claude Sonnet. If absent, 'run_rule_based_turn' is invoked, utilizing deterministic regex patterns to capture order IDs, product keywords, customer names, and return statements seamlessly.</w:t>
      </w:r>
    </w:p>
    <w:p>
      <w:pPr>
        <w:keepNext/>
        <w:spacing w:before="240" w:after="80"/>
      </w:pPr>
      <w:r>
        <w:rPr>
          <w:rFonts w:ascii="Arial" w:hAnsi="Arial"/>
          <w:b/>
          <w:color w:val="2B547E"/>
          <w:sz w:val="23"/>
        </w:rPr>
        <w:t>3.3 Screenshots &amp; Output Verification</w:t>
      </w:r>
    </w:p>
    <w:p>
      <w:pPr>
        <w:spacing w:after="120" w:line="276" w:lineRule="auto"/>
      </w:pPr>
      <w:r>
        <w:rPr>
          <w:rFonts w:ascii="Arial" w:hAnsi="Arial"/>
          <w:color w:val="222222"/>
          <w:sz w:val="20"/>
        </w:rPr>
        <w:t>The system underwent rigorous empirical validation within the VS Code PowerShell terminal across varied functional scenarios:</w:t>
      </w:r>
    </w:p>
    <w:p>
      <w:pPr>
        <w:pStyle w:val="ListBullet"/>
        <w:spacing w:after="60" w:line="276" w:lineRule="auto"/>
      </w:pPr>
      <w:r>
        <w:rPr>
          <w:rFonts w:ascii="Arial" w:hAnsi="Arial"/>
          <w:b/>
          <w:color w:val="222222"/>
          <w:sz w:val="20"/>
        </w:rPr>
        <w:t xml:space="preserve">Execution &amp; Boot Verification: </w:t>
      </w:r>
      <w:r>
        <w:rPr>
          <w:rFonts w:ascii="Arial" w:hAnsi="Arial"/>
          <w:color w:val="222222"/>
          <w:sz w:val="20"/>
        </w:rPr>
        <w:t>Upon running 'python ecommerce_agent.py', the terminal initialized cleanly, confirming Python 3.14.7 runtime detection and displaying the banner: 'Mode: Rule-based engine (offline demo mode)'.</w:t>
      </w:r>
    </w:p>
    <w:p>
      <w:pPr>
        <w:pStyle w:val="ListBullet"/>
        <w:spacing w:after="60" w:line="276" w:lineRule="auto"/>
      </w:pPr>
      <w:r>
        <w:rPr>
          <w:rFonts w:ascii="Arial" w:hAnsi="Arial"/>
          <w:b/>
          <w:color w:val="222222"/>
          <w:sz w:val="20"/>
        </w:rPr>
        <w:t xml:space="preserve">Order Status Query: </w:t>
      </w:r>
      <w:r>
        <w:rPr>
          <w:rFonts w:ascii="Arial" w:hAnsi="Arial"/>
          <w:color w:val="222222"/>
          <w:sz w:val="20"/>
        </w:rPr>
        <w:t>Inputting 'track ORD1001' triggered the internal log '[tool call] check_order_status(order_id='ORD1001')' and outputted: 'Order ORD1001 (Wireless Bluetooth Earbuds) is currently 'Shipped'. Expected delivery: 2026-09-12.'</w:t>
      </w:r>
    </w:p>
    <w:p>
      <w:pPr>
        <w:pStyle w:val="ListBullet"/>
        <w:spacing w:after="60" w:line="276" w:lineRule="auto"/>
      </w:pPr>
      <w:r>
        <w:rPr>
          <w:rFonts w:ascii="Arial" w:hAnsi="Arial"/>
          <w:b/>
          <w:color w:val="222222"/>
          <w:sz w:val="20"/>
        </w:rPr>
        <w:t xml:space="preserve">Catalog Search Operations: </w:t>
      </w:r>
      <w:r>
        <w:rPr>
          <w:rFonts w:ascii="Arial" w:hAnsi="Arial"/>
          <w:color w:val="222222"/>
          <w:sz w:val="20"/>
        </w:rPr>
        <w:t>Inputting 'search earbuds' and 'find shoes' correctly invoked search_product, displaying matching SKU names, prices, and descriptions.</w:t>
      </w:r>
    </w:p>
    <w:p>
      <w:pPr>
        <w:pStyle w:val="ListBullet"/>
        <w:spacing w:after="60" w:line="276" w:lineRule="auto"/>
      </w:pPr>
      <w:r>
        <w:rPr>
          <w:rFonts w:ascii="Arial" w:hAnsi="Arial"/>
          <w:b/>
          <w:color w:val="222222"/>
          <w:sz w:val="20"/>
        </w:rPr>
        <w:t xml:space="preserve">Business Logic Validation: </w:t>
      </w:r>
      <w:r>
        <w:rPr>
          <w:rFonts w:ascii="Arial" w:hAnsi="Arial"/>
          <w:color w:val="222222"/>
          <w:sz w:val="20"/>
        </w:rPr>
        <w:t>Testing 'return ORD1001 because size issue' returned a business logic refusal: 'Order ORD1001 is currently 'Shipped'. Only delivered orders can be returned.' Conversely, executing 'return ORD1002 because defective' on a Delivered item succeeded immediately.</w:t>
      </w:r>
    </w:p>
    <w:p>
      <w:pPr>
        <w:pStyle w:val="ListBullet"/>
        <w:spacing w:after="60" w:line="276" w:lineRule="auto"/>
      </w:pPr>
      <w:r>
        <w:rPr>
          <w:rFonts w:ascii="Arial" w:hAnsi="Arial"/>
          <w:b/>
          <w:color w:val="222222"/>
          <w:sz w:val="20"/>
        </w:rPr>
        <w:t xml:space="preserve">Cross-Session Memory Persistence: </w:t>
      </w:r>
      <w:r>
        <w:rPr>
          <w:rFonts w:ascii="Arial" w:hAnsi="Arial"/>
          <w:color w:val="222222"/>
          <w:sz w:val="20"/>
        </w:rPr>
        <w:t>Entering 'my name is Anu' successfully wrote the profile update to 'memory_store.json'. Relaunching the terminal displayed the welcome prompt: 'Agent: Welcome back, Anu!'</w:t>
      </w:r>
    </w:p>
    <w:p>
      <w:pPr>
        <w:keepNext/>
        <w:spacing w:before="240" w:after="80"/>
      </w:pPr>
      <w:r>
        <w:rPr>
          <w:rFonts w:ascii="Arial" w:hAnsi="Arial"/>
          <w:b/>
          <w:color w:val="2B547E"/>
          <w:sz w:val="23"/>
        </w:rPr>
        <w:t>3.4 Results Achieved</w:t>
      </w:r>
    </w:p>
    <w:p>
      <w:pPr>
        <w:pStyle w:val="ListBullet"/>
        <w:spacing w:after="60" w:line="276" w:lineRule="auto"/>
      </w:pPr>
      <w:r>
        <w:rPr>
          <w:rFonts w:ascii="Arial" w:hAnsi="Arial"/>
          <w:b/>
          <w:color w:val="222222"/>
          <w:sz w:val="20"/>
        </w:rPr>
        <w:t xml:space="preserve">Instant Local Latency: </w:t>
      </w:r>
      <w:r>
        <w:rPr>
          <w:rFonts w:ascii="Arial" w:hAnsi="Arial"/>
          <w:color w:val="222222"/>
          <w:sz w:val="20"/>
        </w:rPr>
        <w:t>Zero latency during query processing in local offline mode, providing sub-10ms deterministic response times.</w:t>
      </w:r>
    </w:p>
    <w:p>
      <w:pPr>
        <w:pStyle w:val="ListBullet"/>
        <w:spacing w:after="60" w:line="276" w:lineRule="auto"/>
      </w:pPr>
      <w:r>
        <w:rPr>
          <w:rFonts w:ascii="Arial" w:hAnsi="Arial"/>
          <w:b/>
          <w:color w:val="222222"/>
          <w:sz w:val="20"/>
        </w:rPr>
        <w:t xml:space="preserve">Accurate Tool Dispatching: </w:t>
      </w:r>
      <w:r>
        <w:rPr>
          <w:rFonts w:ascii="Arial" w:hAnsi="Arial"/>
          <w:color w:val="222222"/>
          <w:sz w:val="20"/>
        </w:rPr>
        <w:t>100% precision in routing structured customer queries to their corresponding tool endpoints.</w:t>
      </w:r>
    </w:p>
    <w:p>
      <w:pPr>
        <w:pStyle w:val="ListBullet"/>
        <w:spacing w:after="60" w:line="276" w:lineRule="auto"/>
      </w:pPr>
      <w:r>
        <w:rPr>
          <w:rFonts w:ascii="Arial" w:hAnsi="Arial"/>
          <w:b/>
          <w:color w:val="222222"/>
          <w:sz w:val="20"/>
        </w:rPr>
        <w:t xml:space="preserve">Policy &amp; Fraud Prevention: </w:t>
      </w:r>
      <w:r>
        <w:rPr>
          <w:rFonts w:ascii="Arial" w:hAnsi="Arial"/>
          <w:color w:val="222222"/>
          <w:sz w:val="20"/>
        </w:rPr>
        <w:t>Strict preservation of transactional data integrity by preventing illegal return operations on non-delivered items.</w:t>
      </w:r>
    </w:p>
    <w:p>
      <w:pPr>
        <w:pStyle w:val="ListBullet"/>
        <w:spacing w:after="60" w:line="276" w:lineRule="auto"/>
      </w:pPr>
      <w:r>
        <w:rPr>
          <w:rFonts w:ascii="Arial" w:hAnsi="Arial"/>
          <w:b/>
          <w:color w:val="222222"/>
          <w:sz w:val="20"/>
        </w:rPr>
        <w:t xml:space="preserve">Robust User Retention: </w:t>
      </w:r>
      <w:r>
        <w:rPr>
          <w:rFonts w:ascii="Arial" w:hAnsi="Arial"/>
          <w:color w:val="222222"/>
          <w:sz w:val="20"/>
        </w:rPr>
        <w:t>Seamless state persistence across terminal restarts, eliminating repetitive customer authentication steps.</w:t>
      </w:r>
    </w:p>
    <w:p>
      <w:pPr>
        <w:keepNext/>
        <w:spacing w:before="360" w:after="120"/>
      </w:pPr>
      <w:r>
        <w:rPr>
          <w:rFonts w:ascii="Arial" w:hAnsi="Arial"/>
          <w:b/>
          <w:color w:val="1B365D"/>
          <w:sz w:val="28"/>
        </w:rPr>
        <w:t>4. Conclusion &amp; Future Scope</w:t>
      </w:r>
    </w:p>
    <w:p>
      <w:pPr>
        <w:keepNext/>
        <w:spacing w:before="240" w:after="80"/>
      </w:pPr>
      <w:r>
        <w:rPr>
          <w:rFonts w:ascii="Arial" w:hAnsi="Arial"/>
          <w:b/>
          <w:color w:val="2B547E"/>
          <w:sz w:val="23"/>
        </w:rPr>
        <w:t>4.1 Project Conclusion</w:t>
      </w:r>
    </w:p>
    <w:p>
      <w:pPr>
        <w:spacing w:after="120" w:line="276" w:lineRule="auto"/>
      </w:pPr>
      <w:r>
        <w:rPr>
          <w:rFonts w:ascii="Arial" w:hAnsi="Arial"/>
          <w:color w:val="222222"/>
          <w:sz w:val="20"/>
        </w:rPr>
        <w:t>The AI-Powered Autonomous E-Commerce Customer Support Agent illustrates the architectural advantages of agentic workflows over legacy scripted bots. By combining natural language understanding with deterministic function calling, the application transitions conversational AI from passive informational responses into active business execution.</w:t>
      </w:r>
    </w:p>
    <w:p>
      <w:pPr>
        <w:spacing w:after="120" w:line="276" w:lineRule="auto"/>
      </w:pPr>
      <w:r>
        <w:rPr>
          <w:rFonts w:ascii="Arial" w:hAnsi="Arial"/>
          <w:color w:val="222222"/>
          <w:sz w:val="20"/>
        </w:rPr>
        <w:t>The dual-engine architecture ensures that high-level intelligence does not compromise availability, offering complete operational reliability in air-gapped, offline, or low-cost testing environments while remaining ready for instant cloud scaling. This modular foundation provides a clear blueprint for modern autonomous enterprise support systems.</w:t>
      </w:r>
    </w:p>
    <w:p>
      <w:pPr>
        <w:keepNext/>
        <w:spacing w:before="240" w:after="80"/>
      </w:pPr>
      <w:r>
        <w:rPr>
          <w:rFonts w:ascii="Arial" w:hAnsi="Arial"/>
          <w:b/>
          <w:color w:val="2B547E"/>
          <w:sz w:val="23"/>
        </w:rPr>
        <w:t>4.2 Challenges Faced</w:t>
      </w:r>
    </w:p>
    <w:p>
      <w:pPr>
        <w:pStyle w:val="ListBullet"/>
        <w:spacing w:after="60" w:line="276" w:lineRule="auto"/>
      </w:pPr>
      <w:r>
        <w:rPr>
          <w:rFonts w:ascii="Arial" w:hAnsi="Arial"/>
          <w:b/>
          <w:color w:val="222222"/>
          <w:sz w:val="20"/>
        </w:rPr>
        <w:t xml:space="preserve">Data Structure Standardization: </w:t>
      </w:r>
      <w:r>
        <w:rPr>
          <w:rFonts w:ascii="Arial" w:hAnsi="Arial"/>
          <w:color w:val="222222"/>
          <w:sz w:val="20"/>
        </w:rPr>
        <w:t>Ensuring that tool execution results maintained identical dictionary structures whether invoked by the Claude tool caller or the local regex engine required strict output standardizations across all tool return statements.</w:t>
      </w:r>
    </w:p>
    <w:p>
      <w:pPr>
        <w:pStyle w:val="ListBullet"/>
        <w:spacing w:after="60" w:line="276" w:lineRule="auto"/>
      </w:pPr>
      <w:r>
        <w:rPr>
          <w:rFonts w:ascii="Arial" w:hAnsi="Arial"/>
          <w:b/>
          <w:color w:val="222222"/>
          <w:sz w:val="20"/>
        </w:rPr>
        <w:t xml:space="preserve">Compound Intent Parsing in Offline Mode: </w:t>
      </w:r>
      <w:r>
        <w:rPr>
          <w:rFonts w:ascii="Arial" w:hAnsi="Arial"/>
          <w:color w:val="222222"/>
          <w:sz w:val="20"/>
        </w:rPr>
        <w:t>Managing multi-intent expressions (e.g., 'Check ORD1002 and also recommend shoes') within the offline regex engine without introducing exponential pattern parsing complexity.</w:t>
      </w:r>
    </w:p>
    <w:p>
      <w:pPr>
        <w:pStyle w:val="ListBullet"/>
        <w:spacing w:after="60" w:line="276" w:lineRule="auto"/>
      </w:pPr>
      <w:r>
        <w:rPr>
          <w:rFonts w:ascii="Arial" w:hAnsi="Arial"/>
          <w:b/>
          <w:color w:val="222222"/>
          <w:sz w:val="20"/>
        </w:rPr>
        <w:t xml:space="preserve">Environment Setup &amp; PATH Resolution: </w:t>
      </w:r>
      <w:r>
        <w:rPr>
          <w:rFonts w:ascii="Arial" w:hAnsi="Arial"/>
          <w:color w:val="222222"/>
          <w:sz w:val="20"/>
        </w:rPr>
        <w:t>Overcoming Windows PowerShell script execution policy restrictions and managing 260-character PATH limits during Python 3.14 installation on local development laptops.</w:t>
      </w:r>
    </w:p>
    <w:p>
      <w:pPr>
        <w:keepNext/>
        <w:spacing w:before="240" w:after="80"/>
      </w:pPr>
      <w:r>
        <w:rPr>
          <w:rFonts w:ascii="Arial" w:hAnsi="Arial"/>
          <w:b/>
          <w:color w:val="2B547E"/>
          <w:sz w:val="23"/>
        </w:rPr>
        <w:t>4.3 Future Enhancements</w:t>
      </w:r>
    </w:p>
    <w:p>
      <w:pPr>
        <w:pStyle w:val="ListBullet"/>
        <w:spacing w:after="60" w:line="276" w:lineRule="auto"/>
      </w:pPr>
      <w:r>
        <w:rPr>
          <w:rFonts w:ascii="Arial" w:hAnsi="Arial"/>
          <w:b/>
          <w:color w:val="222222"/>
          <w:sz w:val="20"/>
        </w:rPr>
        <w:t xml:space="preserve">Database Migration &amp; Enterprise Persistence: </w:t>
      </w:r>
      <w:r>
        <w:rPr>
          <w:rFonts w:ascii="Arial" w:hAnsi="Arial"/>
          <w:color w:val="222222"/>
          <w:sz w:val="20"/>
        </w:rPr>
        <w:t>Transition from static Python list dictionaries to production-scale relational databases (PostgreSQL/MySQL) managed via enterprise ORM layers like SQLAlchemy or Spring Data JPA.</w:t>
      </w:r>
    </w:p>
    <w:p>
      <w:pPr>
        <w:pStyle w:val="ListBullet"/>
        <w:spacing w:after="60" w:line="276" w:lineRule="auto"/>
      </w:pPr>
      <w:r>
        <w:rPr>
          <w:rFonts w:ascii="Arial" w:hAnsi="Arial"/>
          <w:b/>
          <w:color w:val="222222"/>
          <w:sz w:val="20"/>
        </w:rPr>
        <w:t xml:space="preserve">Modern Web-Based User Interface: </w:t>
      </w:r>
      <w:r>
        <w:rPr>
          <w:rFonts w:ascii="Arial" w:hAnsi="Arial"/>
          <w:color w:val="222222"/>
          <w:sz w:val="20"/>
        </w:rPr>
        <w:t>Develop an interactive visual frontend utilizing React, Next.js, or Streamlit to provide customers with an interactive web and mobile chat interface.</w:t>
      </w:r>
    </w:p>
    <w:p>
      <w:pPr>
        <w:pStyle w:val="ListBullet"/>
        <w:spacing w:after="60" w:line="276" w:lineRule="auto"/>
      </w:pPr>
      <w:r>
        <w:rPr>
          <w:rFonts w:ascii="Arial" w:hAnsi="Arial"/>
          <w:b/>
          <w:color w:val="222222"/>
          <w:sz w:val="20"/>
        </w:rPr>
        <w:t xml:space="preserve">Voice Agent &amp; Multimodal Integration: </w:t>
      </w:r>
      <w:r>
        <w:rPr>
          <w:rFonts w:ascii="Arial" w:hAnsi="Arial"/>
          <w:color w:val="222222"/>
          <w:sz w:val="20"/>
        </w:rPr>
        <w:t>Incorporate speech-to-text (OpenAI Whisper) and text-to-speech audio pipelines to facilitate automated telephone and voice-based customer support.</w:t>
      </w:r>
    </w:p>
    <w:p>
      <w:pPr>
        <w:pStyle w:val="ListBullet"/>
        <w:spacing w:after="60" w:line="276" w:lineRule="auto"/>
      </w:pPr>
      <w:r>
        <w:rPr>
          <w:rFonts w:ascii="Arial" w:hAnsi="Arial"/>
          <w:b/>
          <w:color w:val="222222"/>
          <w:sz w:val="20"/>
        </w:rPr>
        <w:t xml:space="preserve">Omnichannel Deployment: </w:t>
      </w:r>
      <w:r>
        <w:rPr>
          <w:rFonts w:ascii="Arial" w:hAnsi="Arial"/>
          <w:color w:val="222222"/>
          <w:sz w:val="20"/>
        </w:rPr>
        <w:t>Deploy webhooks to integrate the agent directly into popular consumer channels such as WhatsApp Business API, Telegram, and mobile push notifications.</w:t>
      </w:r>
    </w:p>
    <w:p>
      <w:pPr>
        <w:pStyle w:val="ListBullet"/>
        <w:spacing w:after="60" w:line="276" w:lineRule="auto"/>
      </w:pPr>
      <w:r>
        <w:rPr>
          <w:rFonts w:ascii="Arial" w:hAnsi="Arial"/>
          <w:b/>
          <w:color w:val="222222"/>
          <w:sz w:val="20"/>
        </w:rPr>
        <w:t xml:space="preserve">Automated Payment &amp; Refund Gateways: </w:t>
      </w:r>
      <w:r>
        <w:rPr>
          <w:rFonts w:ascii="Arial" w:hAnsi="Arial"/>
          <w:color w:val="222222"/>
          <w:sz w:val="20"/>
        </w:rPr>
        <w:t>Integrate secure payment gateways (Stripe/Razorpay) to allow the agent to process refunds directly to customer bank accounts upon return approvals.</w:t>
      </w:r>
    </w:p>
    <w:p>
      <w:pPr>
        <w:keepNext/>
        <w:spacing w:before="240" w:after="80"/>
      </w:pPr>
      <w:r>
        <w:rPr>
          <w:rFonts w:ascii="Arial" w:hAnsi="Arial"/>
          <w:b/>
          <w:color w:val="2B547E"/>
          <w:sz w:val="23"/>
        </w:rPr>
        <w:t>4.4 References</w:t>
      </w:r>
    </w:p>
    <w:p>
      <w:pPr>
        <w:pStyle w:val="ListBullet"/>
        <w:spacing w:after="60" w:line="276" w:lineRule="auto"/>
      </w:pPr>
      <w:r>
        <w:t>Python Official Documentation: Python Software Foundation. 'Python 3.14 Standard Library, Data Models, and File I/O Documentation'. Available at: https://docs.python.org/3/.</w:t>
      </w:r>
    </w:p>
    <w:p>
      <w:pPr>
        <w:pStyle w:val="ListBullet"/>
        <w:spacing w:after="60" w:line="276" w:lineRule="auto"/>
      </w:pPr>
      <w:r>
        <w:t>Anthropic Tool-Calling Guide: Anthropic PBC. 'Claude Messages API: Comprehensive Guide to Tool Use and Function Calling Schemas'. Available at: https://docs.anthropic.com/claude/reference/tool-use.</w:t>
      </w:r>
    </w:p>
    <w:p>
      <w:pPr>
        <w:pStyle w:val="ListBullet"/>
        <w:spacing w:after="60" w:line="276" w:lineRule="auto"/>
      </w:pPr>
      <w:r>
        <w:t>JSON Schema Specifications: Internet Engineering Task Force (IETF) &amp; JSON Schema Organization. 'JSON Schema: Core Structural Definitions and Validation Specifications'. Available at: https://json-schema.org/.</w:t>
      </w:r>
    </w:p>
    <w:p>
      <w:pPr>
        <w:pStyle w:val="ListBullet"/>
        <w:spacing w:after="60" w:line="276" w:lineRule="auto"/>
      </w:pPr>
      <w:r>
        <w:t>VS Code Development Guide: Visual Studio Code Documentation. 'Python Development and Environment Configuration in VS Code'. Available at: https://code.visualstudio.com/docs/languages/python.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