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eastAsia="Arial"/>
          <w:b/>
          <w:i w:val="0"/>
          <w:color w:val="2F6E54"/>
          <w:sz w:val="39"/>
        </w:rPr>
        <w:t>RGB časosběr - analýza porostu</w:t>
      </w:r>
    </w:p>
    <w:p>
      <w:pPr>
        <w:keepNext/>
        <w:spacing w:before="0" w:after="80"/>
      </w:pPr>
      <w:r>
        <w:rPr>
          <w:rFonts w:ascii="Arial" w:hAnsi="Arial" w:eastAsia="Arial"/>
          <w:b w:val="0"/>
          <w:i w:val="0"/>
          <w:color w:val="5F6360"/>
          <w:sz w:val="21"/>
        </w:rPr>
        <w:t>Projekt „Vliv frézování půdy po těžbě dřeva na růst sazenic“ · kamera Brinno TLC2000</w:t>
      </w:r>
    </w:p>
    <w:p>
      <w:pPr>
        <w:spacing w:before="0" w:after="340"/>
      </w:pPr>
      <w:r>
        <w:rPr>
          <w:rFonts w:ascii="Arial" w:hAnsi="Arial" w:eastAsia="Arial"/>
          <w:b w:val="0"/>
          <w:i w:val="0"/>
          <w:color w:val="5F6360"/>
          <w:sz w:val="20"/>
        </w:rPr>
        <w:t>Zpracováno 25. 08. 2026</w:t>
      </w:r>
    </w:p>
    <w:p>
      <w:pPr>
        <w:pStyle w:val="Heading1"/>
        <w:keepNext/>
        <w:spacing w:before="160" w:after="100"/>
      </w:pPr>
      <w:r>
        <w:rPr>
          <w:rFonts w:ascii="Arial" w:hAnsi="Arial" w:eastAsia="Arial"/>
          <w:b/>
          <w:i w:val="0"/>
          <w:color w:val="2F6E54"/>
          <w:sz w:val="31"/>
        </w:rPr>
        <w:t>1. Přehled zpracování</w:t>
      </w:r>
    </w:p>
    <w:tbl>
      <w:tblPr>
        <w:tblW w:type="dxa" w:w="9411"/>
        <w:tblLayout w:type="fixed"/>
        <w:tblLook w:firstColumn="1" w:firstRow="1" w:lastColumn="0" w:lastRow="0" w:noHBand="0" w:noVBand="1" w:val="04A0"/>
        <w:jc w:val="left"/>
        <w:tblInd w:w="0" w:type="dxa"/>
        <w:tblBorders>
          <w:top w:val="single" w:sz="4" w:space="0" w:color="CDD4D0"/>
          <w:left w:val="single" w:sz="4" w:space="0" w:color="CDD4D0"/>
          <w:bottom w:val="single" w:sz="4" w:space="0" w:color="CDD4D0"/>
          <w:right w:val="single" w:sz="4" w:space="0" w:color="CDD4D0"/>
          <w:insideH w:val="single" w:sz="4" w:space="0" w:color="CDD4D0"/>
          <w:insideV w:val="single" w:sz="4" w:space="0" w:color="CDD4D0"/>
        </w:tblBorders>
      </w:tblPr>
      <w:tblGrid>
        <w:gridCol w:w="1701"/>
        <w:gridCol w:w="1757"/>
        <w:gridCol w:w="964"/>
        <w:gridCol w:w="1134"/>
        <w:gridCol w:w="1417"/>
        <w:gridCol w:w="964"/>
        <w:gridCol w:w="1474"/>
      </w:tblGrid>
      <w:tr>
        <w:trPr>
          <w:cantSplit/>
          <w:tblHeader w:val="true"/>
          <w:cantSplit/>
        </w:trPr>
        <w:tc>
          <w:tcPr>
            <w:tcW w:type="dxa" w:w="1701"/>
            <w:shd w:fill="E7EFEA"/>
            <w:vAlign w:val="center"/>
            <w:tcMar>
              <w:top w:w="75" w:type="dxa"/>
              <w:start w:w="100" w:type="dxa"/>
              <w:bottom w:w="75" w:type="dxa"/>
              <w:end w:w="100" w:type="dxa"/>
            </w:tcMar>
          </w:tcPr>
          <w:p>
            <w:pPr>
              <w:spacing w:before="0" w:after="0" w:line="240" w:lineRule="auto"/>
              <w:jc w:val="left"/>
            </w:pPr>
            <w:r/>
            <w:r>
              <w:rPr>
                <w:rFonts w:ascii="Arial" w:hAnsi="Arial" w:eastAsia="Arial"/>
                <w:b/>
                <w:i w:val="0"/>
                <w:color w:val="2F6E54"/>
                <w:sz w:val="15"/>
              </w:rPr>
              <w:t>Plocha</w:t>
            </w:r>
          </w:p>
        </w:tc>
        <w:tc>
          <w:tcPr>
            <w:tcW w:type="dxa" w:w="1757"/>
            <w:shd w:fill="E7EFEA"/>
            <w:vAlign w:val="center"/>
            <w:tcMar>
              <w:top w:w="75" w:type="dxa"/>
              <w:start w:w="100" w:type="dxa"/>
              <w:bottom w:w="75" w:type="dxa"/>
              <w:end w:w="100" w:type="dxa"/>
            </w:tcMar>
          </w:tcPr>
          <w:p>
            <w:pPr>
              <w:spacing w:before="0" w:after="0" w:line="240" w:lineRule="auto"/>
              <w:jc w:val="center"/>
            </w:pPr>
            <w:r/>
            <w:r>
              <w:rPr>
                <w:rFonts w:ascii="Arial" w:hAnsi="Arial" w:eastAsia="Arial"/>
                <w:b/>
                <w:i w:val="0"/>
                <w:color w:val="2F6E54"/>
                <w:sz w:val="15"/>
              </w:rPr>
              <w:t>Období</w:t>
            </w:r>
          </w:p>
        </w:tc>
        <w:tc>
          <w:tcPr>
            <w:tcW w:type="dxa" w:w="964"/>
            <w:shd w:fill="E7EFEA"/>
            <w:vAlign w:val="center"/>
            <w:tcMar>
              <w:top w:w="75" w:type="dxa"/>
              <w:start w:w="100" w:type="dxa"/>
              <w:bottom w:w="75" w:type="dxa"/>
              <w:end w:w="100" w:type="dxa"/>
            </w:tcMar>
          </w:tcPr>
          <w:p>
            <w:pPr>
              <w:spacing w:before="0" w:after="0" w:line="240" w:lineRule="auto"/>
              <w:jc w:val="center"/>
            </w:pPr>
            <w:r/>
            <w:r>
              <w:rPr>
                <w:rFonts w:ascii="Arial" w:hAnsi="Arial" w:eastAsia="Arial"/>
                <w:b/>
                <w:i w:val="0"/>
                <w:color w:val="2F6E54"/>
                <w:sz w:val="15"/>
              </w:rPr>
              <w:t>Zachytů</w:t>
            </w:r>
          </w:p>
        </w:tc>
        <w:tc>
          <w:tcPr>
            <w:tcW w:type="dxa" w:w="1134"/>
            <w:shd w:fill="E7EFEA"/>
            <w:vAlign w:val="center"/>
            <w:tcMar>
              <w:top w:w="75" w:type="dxa"/>
              <w:start w:w="100" w:type="dxa"/>
              <w:bottom w:w="75" w:type="dxa"/>
              <w:end w:w="100" w:type="dxa"/>
            </w:tcMar>
          </w:tcPr>
          <w:p>
            <w:pPr>
              <w:spacing w:before="0" w:after="0" w:line="240" w:lineRule="auto"/>
              <w:jc w:val="center"/>
            </w:pPr>
            <w:r/>
            <w:r>
              <w:rPr>
                <w:rFonts w:ascii="Arial" w:hAnsi="Arial" w:eastAsia="Arial"/>
                <w:b/>
                <w:i w:val="0"/>
                <w:color w:val="2F6E54"/>
                <w:sz w:val="15"/>
              </w:rPr>
              <w:t>Ponecháno</w:t>
            </w:r>
          </w:p>
        </w:tc>
        <w:tc>
          <w:tcPr>
            <w:tcW w:type="dxa" w:w="1417"/>
            <w:shd w:fill="E7EFEA"/>
            <w:vAlign w:val="center"/>
            <w:tcMar>
              <w:top w:w="75" w:type="dxa"/>
              <w:start w:w="100" w:type="dxa"/>
              <w:bottom w:w="75" w:type="dxa"/>
              <w:end w:w="100" w:type="dxa"/>
            </w:tcMar>
          </w:tcPr>
          <w:p>
            <w:pPr>
              <w:spacing w:before="0" w:after="0" w:line="240" w:lineRule="auto"/>
              <w:jc w:val="center"/>
            </w:pPr>
            <w:r/>
            <w:r>
              <w:rPr>
                <w:rFonts w:ascii="Arial" w:hAnsi="Arial" w:eastAsia="Arial"/>
                <w:b/>
                <w:i w:val="0"/>
                <w:color w:val="2F6E54"/>
                <w:sz w:val="15"/>
              </w:rPr>
              <w:t>Vyřazeno nocí</w:t>
            </w:r>
          </w:p>
        </w:tc>
        <w:tc>
          <w:tcPr>
            <w:tcW w:type="dxa" w:w="964"/>
            <w:shd w:fill="E7EFEA"/>
            <w:vAlign w:val="center"/>
            <w:tcMar>
              <w:top w:w="75" w:type="dxa"/>
              <w:start w:w="100" w:type="dxa"/>
              <w:bottom w:w="75" w:type="dxa"/>
              <w:end w:w="100" w:type="dxa"/>
            </w:tcMar>
          </w:tcPr>
          <w:p>
            <w:pPr>
              <w:spacing w:before="0" w:after="0" w:line="240" w:lineRule="auto"/>
              <w:jc w:val="center"/>
            </w:pPr>
            <w:r/>
            <w:r>
              <w:rPr>
                <w:rFonts w:ascii="Arial" w:hAnsi="Arial" w:eastAsia="Arial"/>
                <w:b/>
                <w:i w:val="0"/>
                <w:color w:val="2F6E54"/>
                <w:sz w:val="15"/>
              </w:rPr>
              <w:t>Interval</w:t>
            </w:r>
          </w:p>
        </w:tc>
        <w:tc>
          <w:tcPr>
            <w:tcW w:type="dxa" w:w="1474"/>
            <w:shd w:fill="E7EFEA"/>
            <w:vAlign w:val="center"/>
            <w:tcMar>
              <w:top w:w="75" w:type="dxa"/>
              <w:start w:w="100" w:type="dxa"/>
              <w:bottom w:w="75" w:type="dxa"/>
              <w:end w:w="100" w:type="dxa"/>
            </w:tcMar>
          </w:tcPr>
          <w:p>
            <w:pPr>
              <w:spacing w:before="0" w:after="0" w:line="240" w:lineRule="auto"/>
              <w:jc w:val="center"/>
            </w:pPr>
            <w:r/>
            <w:r>
              <w:rPr>
                <w:rFonts w:ascii="Arial" w:hAnsi="Arial" w:eastAsia="Arial"/>
                <w:b/>
                <w:i w:val="0"/>
                <w:color w:val="2F6E54"/>
                <w:sz w:val="15"/>
              </w:rPr>
              <w:t>Délka videa</w:t>
            </w:r>
          </w:p>
        </w:tc>
      </w:tr>
      <w:tr>
        <w:trPr>
          <w:cantSplit/>
        </w:trPr>
        <w:tc>
          <w:tcPr>
            <w:tcW w:type="dxa" w:w="1701"/>
            <w:vAlign w:val="center"/>
            <w:tcMar>
              <w:top w:w="75" w:type="dxa"/>
              <w:start w:w="100" w:type="dxa"/>
              <w:bottom w:w="75" w:type="dxa"/>
              <w:end w:w="100" w:type="dxa"/>
            </w:tcMar>
          </w:tcPr>
          <w:p>
            <w:pPr>
              <w:spacing w:before="0" w:after="0" w:line="240" w:lineRule="auto"/>
              <w:jc w:val="left"/>
            </w:pPr>
            <w:r/>
            <w:r>
              <w:rPr>
                <w:rFonts w:ascii="Arial" w:hAnsi="Arial" w:eastAsia="Arial"/>
                <w:b w:val="0"/>
                <w:i w:val="0"/>
                <w:color w:val="111111"/>
                <w:sz w:val="16"/>
              </w:rPr>
              <w:t>Frézovaný 2022</w:t>
            </w:r>
          </w:p>
        </w:tc>
        <w:tc>
          <w:tcPr>
            <w:tcW w:type="dxa" w:w="1757"/>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20.05. - 21.08.2026</w:t>
            </w:r>
          </w:p>
        </w:tc>
        <w:tc>
          <w:tcPr>
            <w:tcW w:type="dxa" w:w="964"/>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1113</w:t>
            </w:r>
          </w:p>
        </w:tc>
        <w:tc>
          <w:tcPr>
            <w:tcW w:type="dxa" w:w="1134"/>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786</w:t>
            </w:r>
          </w:p>
        </w:tc>
        <w:tc>
          <w:tcPr>
            <w:tcW w:type="dxa" w:w="1417"/>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327 (29%)</w:t>
            </w:r>
          </w:p>
        </w:tc>
        <w:tc>
          <w:tcPr>
            <w:tcW w:type="dxa" w:w="964"/>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2.01 h</w:t>
            </w:r>
          </w:p>
        </w:tc>
        <w:tc>
          <w:tcPr>
            <w:tcW w:type="dxa" w:w="1474"/>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79 s @ 10 fps</w:t>
            </w:r>
          </w:p>
        </w:tc>
      </w:tr>
      <w:tr>
        <w:trPr>
          <w:cantSplit/>
        </w:trPr>
        <w:tc>
          <w:tcPr>
            <w:tcW w:type="dxa" w:w="1701"/>
            <w:shd w:fill="F8FAF9"/>
            <w:vAlign w:val="center"/>
            <w:tcMar>
              <w:top w:w="75" w:type="dxa"/>
              <w:start w:w="100" w:type="dxa"/>
              <w:bottom w:w="75" w:type="dxa"/>
              <w:end w:w="100" w:type="dxa"/>
            </w:tcMar>
          </w:tcPr>
          <w:p>
            <w:pPr>
              <w:spacing w:before="0" w:after="0" w:line="240" w:lineRule="auto"/>
              <w:jc w:val="left"/>
            </w:pPr>
            <w:r/>
            <w:r>
              <w:rPr>
                <w:rFonts w:ascii="Arial" w:hAnsi="Arial" w:eastAsia="Arial"/>
                <w:b w:val="0"/>
                <w:i w:val="0"/>
                <w:color w:val="111111"/>
                <w:sz w:val="16"/>
              </w:rPr>
              <w:t>Nefrézovaný 2022</w:t>
            </w:r>
          </w:p>
        </w:tc>
        <w:tc>
          <w:tcPr>
            <w:tcW w:type="dxa" w:w="1757"/>
            <w:shd w:fill="F8FAF9"/>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20.05. - 21.08.2026</w:t>
            </w:r>
          </w:p>
        </w:tc>
        <w:tc>
          <w:tcPr>
            <w:tcW w:type="dxa" w:w="964"/>
            <w:shd w:fill="F8FAF9"/>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1121</w:t>
            </w:r>
          </w:p>
        </w:tc>
        <w:tc>
          <w:tcPr>
            <w:tcW w:type="dxa" w:w="1134"/>
            <w:shd w:fill="F8FAF9"/>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786</w:t>
            </w:r>
          </w:p>
        </w:tc>
        <w:tc>
          <w:tcPr>
            <w:tcW w:type="dxa" w:w="1417"/>
            <w:shd w:fill="F8FAF9"/>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335 (30%)</w:t>
            </w:r>
          </w:p>
        </w:tc>
        <w:tc>
          <w:tcPr>
            <w:tcW w:type="dxa" w:w="964"/>
            <w:shd w:fill="F8FAF9"/>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2.00 h</w:t>
            </w:r>
          </w:p>
        </w:tc>
        <w:tc>
          <w:tcPr>
            <w:tcW w:type="dxa" w:w="1474"/>
            <w:shd w:fill="F8FAF9"/>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79 s @ 10 fps</w:t>
            </w:r>
          </w:p>
        </w:tc>
      </w:tr>
    </w:tbl>
    <w:p>
      <w:pPr>
        <w:spacing w:before="100" w:after="80" w:line="278" w:lineRule="auto"/>
      </w:pPr>
      <w:r>
        <w:rPr>
          <w:rFonts w:ascii="Arial" w:hAnsi="Arial" w:eastAsia="Arial"/>
          <w:b w:val="0"/>
          <w:i w:val="0"/>
          <w:color w:val="111111"/>
          <w:sz w:val="21"/>
        </w:rPr>
        <w:t>Noční řez vyřazuje snímky pořízené mezi 22:00 a 05:00. Čas se čte z časového razítka vypáleného kamerou do každého snímku, nikoli z pořadí snímku - interval mezi zachyty totiž není přesně dvouhodinový a čas záběru se během sezony posouvá.</w:t>
      </w:r>
    </w:p>
    <w:p>
      <w:pPr>
        <w:spacing w:before="0" w:after="40" w:line="278" w:lineRule="auto"/>
      </w:pPr>
      <w:r>
        <w:rPr>
          <w:rFonts w:ascii="Arial" w:hAnsi="Arial" w:eastAsia="Arial"/>
          <w:b w:val="0"/>
          <w:i w:val="0"/>
          <w:color w:val="5F6360"/>
          <w:sz w:val="18"/>
        </w:rPr>
        <w:t>Frézovaný 2022: přeskočené soubory - TLC00001.AVI (jen 1 snimek - restart kamery), TLC00002.AVI (jen 1 snimek - restart kamery), TLC00004.AVI (jen 1 snimek - restart kamery).</w:t>
      </w:r>
    </w:p>
    <w:p>
      <w:pPr>
        <w:spacing w:before="0" w:after="80" w:line="278" w:lineRule="auto"/>
      </w:pPr>
      <w:r>
        <w:rPr>
          <w:rFonts w:ascii="Arial" w:hAnsi="Arial" w:eastAsia="Arial"/>
          <w:b w:val="0"/>
          <w:i w:val="0"/>
          <w:color w:val="5F6360"/>
          <w:sz w:val="18"/>
        </w:rPr>
        <w:t>Nefrézovaný 2022: přeskočené soubory - TLC00002.AVI (jen 1 snimek - restart kamery).</w:t>
      </w:r>
    </w:p>
    <w:p>
      <w:pPr>
        <w:pStyle w:val="Heading1"/>
        <w:keepNext/>
        <w:spacing w:before="160" w:after="100"/>
      </w:pPr>
      <w:r>
        <w:rPr>
          <w:rFonts w:ascii="Arial" w:hAnsi="Arial" w:eastAsia="Arial"/>
          <w:b/>
          <w:i w:val="0"/>
          <w:color w:val="2F6E54"/>
          <w:sz w:val="31"/>
        </w:rPr>
        <w:t>2. Fenologický vývoj zelenosti</w:t>
      </w:r>
    </w:p>
    <w:p>
      <w:pPr>
        <w:spacing w:before="0" w:after="60" w:line="278" w:lineRule="auto"/>
      </w:pPr>
      <w:r>
        <w:rPr>
          <w:rFonts w:ascii="Arial" w:hAnsi="Arial" w:eastAsia="Arial"/>
          <w:b w:val="0"/>
          <w:i w:val="0"/>
          <w:color w:val="111111"/>
          <w:sz w:val="21"/>
        </w:rPr>
        <w:t>GCC (green chromatic coordinate) je podíl zeleného kanálu na součtu všech tří kanálů. Tím se krátí vliv okamžitého osvětlení, takže index popisuje stav vegetace, ne počasí. ExG (excess green) reaguje silněji na přechod mezi holou půdou a vegetací. Obě řady jsou agregované jako denní 90. percentil z denních snímků, což je standardní postup sítě PhenoCam pro potlačení snímků se stínem, mlhou a nízkým sluncem.</w:t>
      </w:r>
    </w:p>
    <w:p>
      <w:pPr>
        <w:spacing w:before="80" w:after="100"/>
        <w:jc w:val="center"/>
      </w:pPr>
      <w:r>
        <w:drawing>
          <wp:inline xmlns:a="http://schemas.openxmlformats.org/drawingml/2006/main" xmlns:pic="http://schemas.openxmlformats.org/drawingml/2006/picture">
            <wp:extent cx="5436000" cy="3609047"/>
            <wp:docPr id="1" name="Picture 1" descr="Sezónní vývoj GCC a ExG na plochách Frézovaný 2022 a Nefrézovaný 2022."/>
            <wp:cNvGraphicFramePr>
              <a:graphicFrameLocks noChangeAspect="1"/>
            </wp:cNvGraphicFramePr>
            <a:graphic>
              <a:graphicData uri="http://schemas.openxmlformats.org/drawingml/2006/picture">
                <pic:pic>
                  <pic:nvPicPr>
                    <pic:cNvPr id="0" name="chart-000.png"/>
                    <pic:cNvPicPr/>
                  </pic:nvPicPr>
                  <pic:blipFill>
                    <a:blip r:embed="rId9"/>
                    <a:stretch>
                      <a:fillRect/>
                    </a:stretch>
                  </pic:blipFill>
                  <pic:spPr>
                    <a:xfrm>
                      <a:off x="0" y="0"/>
                      <a:ext cx="5436000" cy="3609047"/>
                    </a:xfrm>
                    <a:prstGeom prst="rect"/>
                  </pic:spPr>
                </pic:pic>
              </a:graphicData>
            </a:graphic>
          </wp:inline>
        </w:drawing>
      </w:r>
    </w:p>
    <w:p>
      <w:pPr>
        <w:spacing w:before="0" w:after="0" w:line="278" w:lineRule="auto"/>
      </w:pPr>
      <w:r>
        <w:rPr>
          <w:rFonts w:ascii="Arial" w:hAnsi="Arial" w:eastAsia="Arial"/>
          <w:b w:val="0"/>
          <w:i w:val="0"/>
          <w:color w:val="5F6360"/>
          <w:sz w:val="18"/>
        </w:rPr>
        <w:t>Absolutní hodnoty GCC ze dvou různých kamer nejsou přímo srovnatelné - liší se senzor, automatická expozice, výřez a podíl oblohy ve scéně. Srovnávat lze tvar a trend křivky, nikoli absolutní úroveň.</w:t>
      </w:r>
    </w:p>
    <w:p>
      <w:pPr>
        <w:spacing w:after="0"/>
      </w:pPr>
      <w:r>
        <w:br w:type="page"/>
      </w:r>
    </w:p>
    <w:p>
      <w:pPr>
        <w:pStyle w:val="Heading1"/>
        <w:keepNext/>
        <w:spacing w:before="160" w:after="100"/>
      </w:pPr>
      <w:r>
        <w:rPr>
          <w:rFonts w:ascii="Arial" w:hAnsi="Arial" w:eastAsia="Arial"/>
          <w:b/>
          <w:i w:val="0"/>
          <w:color w:val="2F6E54"/>
          <w:sz w:val="31"/>
        </w:rPr>
        <w:t>3. Sezónní ukazatele</w:t>
      </w:r>
    </w:p>
    <w:tbl>
      <w:tblPr>
        <w:tblW w:type="dxa" w:w="9412"/>
        <w:tblLayout w:type="fixed"/>
        <w:tblLook w:firstColumn="1" w:firstRow="1" w:lastColumn="0" w:lastRow="0" w:noHBand="0" w:noVBand="1" w:val="04A0"/>
        <w:jc w:val="left"/>
        <w:tblInd w:w="0" w:type="dxa"/>
        <w:tblBorders>
          <w:top w:val="single" w:sz="4" w:space="0" w:color="CDD4D0"/>
          <w:left w:val="single" w:sz="4" w:space="0" w:color="CDD4D0"/>
          <w:bottom w:val="single" w:sz="4" w:space="0" w:color="CDD4D0"/>
          <w:right w:val="single" w:sz="4" w:space="0" w:color="CDD4D0"/>
          <w:insideH w:val="single" w:sz="4" w:space="0" w:color="CDD4D0"/>
          <w:insideV w:val="single" w:sz="4" w:space="0" w:color="CDD4D0"/>
        </w:tblBorders>
      </w:tblPr>
      <w:tblGrid>
        <w:gridCol w:w="1644"/>
        <w:gridCol w:w="964"/>
        <w:gridCol w:w="964"/>
        <w:gridCol w:w="1191"/>
        <w:gridCol w:w="1134"/>
        <w:gridCol w:w="1587"/>
        <w:gridCol w:w="1928"/>
      </w:tblGrid>
      <w:tr>
        <w:trPr>
          <w:cantSplit/>
          <w:tblHeader w:val="true"/>
          <w:cantSplit/>
        </w:trPr>
        <w:tc>
          <w:tcPr>
            <w:tcW w:type="dxa" w:w="1644"/>
            <w:shd w:fill="E7EFEA"/>
            <w:vAlign w:val="center"/>
            <w:tcMar>
              <w:top w:w="75" w:type="dxa"/>
              <w:start w:w="100" w:type="dxa"/>
              <w:bottom w:w="75" w:type="dxa"/>
              <w:end w:w="100" w:type="dxa"/>
            </w:tcMar>
          </w:tcPr>
          <w:p>
            <w:pPr>
              <w:spacing w:before="0" w:after="0" w:line="240" w:lineRule="auto"/>
              <w:jc w:val="left"/>
            </w:pPr>
            <w:r/>
            <w:r>
              <w:rPr>
                <w:rFonts w:ascii="Arial" w:hAnsi="Arial" w:eastAsia="Arial"/>
                <w:b/>
                <w:i w:val="0"/>
                <w:color w:val="2F6E54"/>
                <w:sz w:val="15"/>
              </w:rPr>
              <w:t>Plocha</w:t>
            </w:r>
          </w:p>
        </w:tc>
        <w:tc>
          <w:tcPr>
            <w:tcW w:type="dxa" w:w="964"/>
            <w:shd w:fill="E7EFEA"/>
            <w:vAlign w:val="center"/>
            <w:tcMar>
              <w:top w:w="75" w:type="dxa"/>
              <w:start w:w="100" w:type="dxa"/>
              <w:bottom w:w="75" w:type="dxa"/>
              <w:end w:w="100" w:type="dxa"/>
            </w:tcMar>
          </w:tcPr>
          <w:p>
            <w:pPr>
              <w:spacing w:before="0" w:after="0" w:line="240" w:lineRule="auto"/>
              <w:jc w:val="center"/>
            </w:pPr>
            <w:r/>
            <w:r>
              <w:rPr>
                <w:rFonts w:ascii="Arial" w:hAnsi="Arial" w:eastAsia="Arial"/>
                <w:b/>
                <w:i w:val="0"/>
                <w:color w:val="2F6E54"/>
                <w:sz w:val="15"/>
              </w:rPr>
              <w:t>GCC min</w:t>
            </w:r>
          </w:p>
        </w:tc>
        <w:tc>
          <w:tcPr>
            <w:tcW w:type="dxa" w:w="964"/>
            <w:shd w:fill="E7EFEA"/>
            <w:vAlign w:val="center"/>
            <w:tcMar>
              <w:top w:w="75" w:type="dxa"/>
              <w:start w:w="100" w:type="dxa"/>
              <w:bottom w:w="75" w:type="dxa"/>
              <w:end w:w="100" w:type="dxa"/>
            </w:tcMar>
          </w:tcPr>
          <w:p>
            <w:pPr>
              <w:spacing w:before="0" w:after="0" w:line="240" w:lineRule="auto"/>
              <w:jc w:val="center"/>
            </w:pPr>
            <w:r/>
            <w:r>
              <w:rPr>
                <w:rFonts w:ascii="Arial" w:hAnsi="Arial" w:eastAsia="Arial"/>
                <w:b/>
                <w:i w:val="0"/>
                <w:color w:val="2F6E54"/>
                <w:sz w:val="15"/>
              </w:rPr>
              <w:t>GCC max</w:t>
            </w:r>
          </w:p>
        </w:tc>
        <w:tc>
          <w:tcPr>
            <w:tcW w:type="dxa" w:w="1191"/>
            <w:shd w:fill="E7EFEA"/>
            <w:vAlign w:val="center"/>
            <w:tcMar>
              <w:top w:w="75" w:type="dxa"/>
              <w:start w:w="100" w:type="dxa"/>
              <w:bottom w:w="75" w:type="dxa"/>
              <w:end w:w="100" w:type="dxa"/>
            </w:tcMar>
          </w:tcPr>
          <w:p>
            <w:pPr>
              <w:spacing w:before="0" w:after="0" w:line="240" w:lineRule="auto"/>
              <w:jc w:val="center"/>
            </w:pPr>
            <w:r/>
            <w:r>
              <w:rPr>
                <w:rFonts w:ascii="Arial" w:hAnsi="Arial" w:eastAsia="Arial"/>
                <w:b/>
                <w:i w:val="0"/>
                <w:color w:val="2F6E54"/>
                <w:sz w:val="15"/>
              </w:rPr>
              <w:t>GCC průměr</w:t>
            </w:r>
          </w:p>
        </w:tc>
        <w:tc>
          <w:tcPr>
            <w:tcW w:type="dxa" w:w="1134"/>
            <w:shd w:fill="E7EFEA"/>
            <w:vAlign w:val="center"/>
            <w:tcMar>
              <w:top w:w="75" w:type="dxa"/>
              <w:start w:w="100" w:type="dxa"/>
              <w:bottom w:w="75" w:type="dxa"/>
              <w:end w:w="100" w:type="dxa"/>
            </w:tcMar>
          </w:tcPr>
          <w:p>
            <w:pPr>
              <w:spacing w:before="0" w:after="0" w:line="240" w:lineRule="auto"/>
              <w:jc w:val="center"/>
            </w:pPr>
            <w:r/>
            <w:r>
              <w:rPr>
                <w:rFonts w:ascii="Arial" w:hAnsi="Arial" w:eastAsia="Arial"/>
                <w:b/>
                <w:i w:val="0"/>
                <w:color w:val="2F6E54"/>
                <w:sz w:val="15"/>
              </w:rPr>
              <w:t>Amplituda</w:t>
            </w:r>
          </w:p>
        </w:tc>
        <w:tc>
          <w:tcPr>
            <w:tcW w:type="dxa" w:w="1587"/>
            <w:shd w:fill="E7EFEA"/>
            <w:vAlign w:val="center"/>
            <w:tcMar>
              <w:top w:w="75" w:type="dxa"/>
              <w:start w:w="100" w:type="dxa"/>
              <w:bottom w:w="75" w:type="dxa"/>
              <w:end w:w="100" w:type="dxa"/>
            </w:tcMar>
          </w:tcPr>
          <w:p>
            <w:pPr>
              <w:spacing w:before="0" w:after="0" w:line="240" w:lineRule="auto"/>
              <w:jc w:val="center"/>
            </w:pPr>
            <w:r/>
            <w:r>
              <w:rPr>
                <w:rFonts w:ascii="Arial" w:hAnsi="Arial" w:eastAsia="Arial"/>
                <w:b/>
                <w:i w:val="0"/>
                <w:color w:val="2F6E54"/>
                <w:sz w:val="15"/>
              </w:rPr>
              <w:t>Vrchol zelenosti</w:t>
            </w:r>
          </w:p>
        </w:tc>
        <w:tc>
          <w:tcPr>
            <w:tcW w:type="dxa" w:w="1928"/>
            <w:shd w:fill="E7EFEA"/>
            <w:vAlign w:val="center"/>
            <w:tcMar>
              <w:top w:w="75" w:type="dxa"/>
              <w:start w:w="100" w:type="dxa"/>
              <w:bottom w:w="75" w:type="dxa"/>
              <w:end w:w="100" w:type="dxa"/>
            </w:tcMar>
          </w:tcPr>
          <w:p>
            <w:pPr>
              <w:spacing w:before="0" w:after="0" w:line="240" w:lineRule="auto"/>
              <w:jc w:val="center"/>
            </w:pPr>
            <w:r/>
            <w:r>
              <w:rPr>
                <w:rFonts w:ascii="Arial" w:hAnsi="Arial" w:eastAsia="Arial"/>
                <w:b/>
                <w:i w:val="0"/>
                <w:color w:val="2F6E54"/>
                <w:sz w:val="15"/>
              </w:rPr>
              <w:t>Trend GCC / měsíc</w:t>
            </w:r>
          </w:p>
        </w:tc>
      </w:tr>
      <w:tr>
        <w:trPr>
          <w:cantSplit/>
        </w:trPr>
        <w:tc>
          <w:tcPr>
            <w:tcW w:type="dxa" w:w="1644"/>
            <w:vAlign w:val="center"/>
            <w:tcMar>
              <w:top w:w="75" w:type="dxa"/>
              <w:start w:w="100" w:type="dxa"/>
              <w:bottom w:w="75" w:type="dxa"/>
              <w:end w:w="100" w:type="dxa"/>
            </w:tcMar>
          </w:tcPr>
          <w:p>
            <w:pPr>
              <w:spacing w:before="0" w:after="0" w:line="240" w:lineRule="auto"/>
              <w:jc w:val="left"/>
            </w:pPr>
            <w:r/>
            <w:r>
              <w:rPr>
                <w:rFonts w:ascii="Arial" w:hAnsi="Arial" w:eastAsia="Arial"/>
                <w:b w:val="0"/>
                <w:i w:val="0"/>
                <w:color w:val="111111"/>
                <w:sz w:val="16"/>
              </w:rPr>
              <w:t>Frézovaný 2022</w:t>
            </w:r>
          </w:p>
        </w:tc>
        <w:tc>
          <w:tcPr>
            <w:tcW w:type="dxa" w:w="964"/>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0.3707</w:t>
            </w:r>
          </w:p>
        </w:tc>
        <w:tc>
          <w:tcPr>
            <w:tcW w:type="dxa" w:w="964"/>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0.4206</w:t>
            </w:r>
          </w:p>
        </w:tc>
        <w:tc>
          <w:tcPr>
            <w:tcW w:type="dxa" w:w="1191"/>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0.3980</w:t>
            </w:r>
          </w:p>
        </w:tc>
        <w:tc>
          <w:tcPr>
            <w:tcW w:type="dxa" w:w="1134"/>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0.0499</w:t>
            </w:r>
          </w:p>
        </w:tc>
        <w:tc>
          <w:tcPr>
            <w:tcW w:type="dxa" w:w="1587"/>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21. 07. 2026</w:t>
            </w:r>
          </w:p>
        </w:tc>
        <w:tc>
          <w:tcPr>
            <w:tcW w:type="dxa" w:w="1928"/>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+0.0112</w:t>
            </w:r>
          </w:p>
        </w:tc>
      </w:tr>
      <w:tr>
        <w:trPr>
          <w:cantSplit/>
        </w:trPr>
        <w:tc>
          <w:tcPr>
            <w:tcW w:type="dxa" w:w="1644"/>
            <w:shd w:fill="F8FAF9"/>
            <w:vAlign w:val="center"/>
            <w:tcMar>
              <w:top w:w="75" w:type="dxa"/>
              <w:start w:w="100" w:type="dxa"/>
              <w:bottom w:w="75" w:type="dxa"/>
              <w:end w:w="100" w:type="dxa"/>
            </w:tcMar>
          </w:tcPr>
          <w:p>
            <w:pPr>
              <w:spacing w:before="0" w:after="0" w:line="240" w:lineRule="auto"/>
              <w:jc w:val="left"/>
            </w:pPr>
            <w:r/>
            <w:r>
              <w:rPr>
                <w:rFonts w:ascii="Arial" w:hAnsi="Arial" w:eastAsia="Arial"/>
                <w:b w:val="0"/>
                <w:i w:val="0"/>
                <w:color w:val="111111"/>
                <w:sz w:val="16"/>
              </w:rPr>
              <w:t>Nefrézovaný 2022</w:t>
            </w:r>
          </w:p>
        </w:tc>
        <w:tc>
          <w:tcPr>
            <w:tcW w:type="dxa" w:w="964"/>
            <w:shd w:fill="F8FAF9"/>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0.3469</w:t>
            </w:r>
          </w:p>
        </w:tc>
        <w:tc>
          <w:tcPr>
            <w:tcW w:type="dxa" w:w="964"/>
            <w:shd w:fill="F8FAF9"/>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0.4356</w:t>
            </w:r>
          </w:p>
        </w:tc>
        <w:tc>
          <w:tcPr>
            <w:tcW w:type="dxa" w:w="1191"/>
            <w:shd w:fill="F8FAF9"/>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0.3985</w:t>
            </w:r>
          </w:p>
        </w:tc>
        <w:tc>
          <w:tcPr>
            <w:tcW w:type="dxa" w:w="1134"/>
            <w:shd w:fill="F8FAF9"/>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0.0887</w:t>
            </w:r>
          </w:p>
        </w:tc>
        <w:tc>
          <w:tcPr>
            <w:tcW w:type="dxa" w:w="1587"/>
            <w:shd w:fill="F8FAF9"/>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20. 05. 2026</w:t>
            </w:r>
          </w:p>
        </w:tc>
        <w:tc>
          <w:tcPr>
            <w:tcW w:type="dxa" w:w="1928"/>
            <w:shd w:fill="F8FAF9"/>
            <w:vAlign w:val="center"/>
            <w:tcMar>
              <w:top w:w="75" w:type="dxa"/>
              <w:start w:w="100" w:type="dxa"/>
              <w:bottom w:w="75" w:type="dxa"/>
              <w:end w:w="100" w:type="dxa"/>
            </w:tcMar>
          </w:tcPr>
          <w:p>
            <w:pPr>
              <w:spacing w:before="0" w:after="0" w:line="240" w:lineRule="auto"/>
              <w:jc w:val="center"/>
            </w:pPr>
            <w:r/>
            <w:r>
              <w:rPr>
                <w:rFonts w:ascii="Arial" w:hAnsi="Arial" w:eastAsia="Arial"/>
                <w:b w:val="0"/>
                <w:i w:val="0"/>
                <w:color w:val="111111"/>
                <w:sz w:val="16"/>
              </w:rPr>
              <w:t>-0.0219</w:t>
            </w:r>
          </w:p>
        </w:tc>
      </w:tr>
    </w:tbl>
    <w:p>
      <w:pPr>
        <w:spacing w:before="100" w:after="80" w:line="278" w:lineRule="auto"/>
      </w:pPr>
      <w:r>
        <w:rPr>
          <w:rFonts w:ascii="Arial" w:hAnsi="Arial" w:eastAsia="Arial"/>
          <w:b w:val="0"/>
          <w:i w:val="0"/>
          <w:color w:val="111111"/>
          <w:sz w:val="21"/>
        </w:rPr>
        <w:t>Záporný trend GCC v letním úseku neznamená automaticky poškození porostu - u jehličnatých kultur jde běžně o kombinaci dozrávání jehličí, zasychání bylinného patra a rostoucího podílu suchých zbytků ve scéně. Interpretovat je proto nutné společně s daty o půdní vlhkosti a teplotě.</w:t>
      </w:r>
    </w:p>
    <w:p>
      <w:pPr>
        <w:pStyle w:val="Heading1"/>
        <w:keepNext/>
        <w:spacing w:before="160" w:after="100"/>
      </w:pPr>
      <w:r>
        <w:rPr>
          <w:rFonts w:ascii="Arial" w:hAnsi="Arial" w:eastAsia="Arial"/>
          <w:b/>
          <w:i w:val="0"/>
          <w:color w:val="2F6E54"/>
          <w:sz w:val="31"/>
        </w:rPr>
        <w:t>Pokrytí záznamu - Frézovaný 2022</w:t>
      </w:r>
    </w:p>
    <w:p>
      <w:pPr>
        <w:spacing w:before="80" w:after="100"/>
        <w:jc w:val="center"/>
      </w:pPr>
      <w:r>
        <w:drawing>
          <wp:inline xmlns:a="http://schemas.openxmlformats.org/drawingml/2006/main" xmlns:pic="http://schemas.openxmlformats.org/drawingml/2006/picture">
            <wp:extent cx="5616000" cy="1327112"/>
            <wp:docPr id="2" name="Picture 2" descr="Denní pokrytí záznamu pro plochu Frézovaný 2022."/>
            <wp:cNvGraphicFramePr>
              <a:graphicFrameLocks noChangeAspect="1"/>
            </wp:cNvGraphicFramePr>
            <a:graphic>
              <a:graphicData uri="http://schemas.openxmlformats.org/drawingml/2006/picture">
                <pic:pic>
                  <pic:nvPicPr>
                    <pic:cNvPr id="0" name="chart-002.png"/>
                    <pic:cNvPicPr/>
                  </pic:nvPicPr>
                  <pic:blipFill>
                    <a:blip r:embed="rId10"/>
                    <a:stretch>
                      <a:fillRect/>
                    </a:stretch>
                  </pic:blipFill>
                  <pic:spPr>
                    <a:xfrm>
                      <a:off x="0" y="0"/>
                      <a:ext cx="5616000" cy="1327112"/>
                    </a:xfrm>
                    <a:prstGeom prst="rect"/>
                  </pic:spPr>
                </pic:pic>
              </a:graphicData>
            </a:graphic>
          </wp:inline>
        </w:drawing>
      </w:r>
    </w:p>
    <w:p>
      <w:pPr>
        <w:pStyle w:val="Heading1"/>
        <w:keepNext/>
        <w:spacing w:before="160" w:after="100"/>
      </w:pPr>
      <w:r>
        <w:rPr>
          <w:rFonts w:ascii="Arial" w:hAnsi="Arial" w:eastAsia="Arial"/>
          <w:b/>
          <w:i w:val="0"/>
          <w:color w:val="2F6E54"/>
          <w:sz w:val="31"/>
        </w:rPr>
        <w:t>Pokrytí záznamu - Nefrézovaný 2022</w:t>
      </w:r>
    </w:p>
    <w:p>
      <w:pPr>
        <w:spacing w:before="80" w:after="100"/>
        <w:jc w:val="center"/>
      </w:pPr>
      <w:r>
        <w:drawing>
          <wp:inline xmlns:a="http://schemas.openxmlformats.org/drawingml/2006/main" xmlns:pic="http://schemas.openxmlformats.org/drawingml/2006/picture">
            <wp:extent cx="5616000" cy="1326117"/>
            <wp:docPr id="3" name="Picture 3" descr="Denní pokrytí záznamu pro plochu Nefrézovaný 2022."/>
            <wp:cNvGraphicFramePr>
              <a:graphicFrameLocks noChangeAspect="1"/>
            </wp:cNvGraphicFramePr>
            <a:graphic>
              <a:graphicData uri="http://schemas.openxmlformats.org/drawingml/2006/picture">
                <pic:pic>
                  <pic:nvPicPr>
                    <pic:cNvPr id="0" name="chart-004.png"/>
                    <pic:cNvPicPr/>
                  </pic:nvPicPr>
                  <pic:blipFill>
                    <a:blip r:embed="rId11"/>
                    <a:stretch>
                      <a:fillRect/>
                    </a:stretch>
                  </pic:blipFill>
                  <pic:spPr>
                    <a:xfrm>
                      <a:off x="0" y="0"/>
                      <a:ext cx="5616000" cy="1326117"/>
                    </a:xfrm>
                    <a:prstGeom prst="rect"/>
                  </pic:spPr>
                </pic:pic>
              </a:graphicData>
            </a:graphic>
          </wp:inline>
        </w:drawing>
      </w:r>
    </w:p>
    <w:p>
      <w:pPr>
        <w:spacing w:after="0"/>
      </w:pPr>
      <w:r>
        <w:br w:type="page"/>
      </w:r>
    </w:p>
    <w:p>
      <w:pPr>
        <w:pStyle w:val="Heading1"/>
        <w:keepNext/>
        <w:spacing w:before="160" w:after="100"/>
      </w:pPr>
      <w:r>
        <w:rPr>
          <w:rFonts w:ascii="Arial" w:hAnsi="Arial" w:eastAsia="Arial"/>
          <w:b/>
          <w:i w:val="0"/>
          <w:color w:val="2F6E54"/>
          <w:sz w:val="31"/>
        </w:rPr>
        <w:t>4. Metodika a výhrady</w:t>
      </w:r>
    </w:p>
    <w:p>
      <w:pPr>
        <w:spacing w:before="0" w:after="80" w:line="278" w:lineRule="auto"/>
      </w:pPr>
      <w:r>
        <w:rPr>
          <w:rFonts w:ascii="Arial" w:hAnsi="Arial" w:eastAsia="Arial"/>
          <w:b w:val="0"/>
          <w:i w:val="0"/>
          <w:color w:val="111111"/>
          <w:sz w:val="21"/>
        </w:rPr>
        <w:t>Srovnání ploch Frézovaný 2022 a Nefrézovaný 2022 není čistým efektem frézování. Podle zprávy „Analýza senzorických dat z 21082026 - projekt LES“ leží F2022 v geologické skupině Ca, zatímco NF2022 ve skupině Ka zhruba 2,5 km daleko, s odlišným (grusovějším a drenážnějším) podložím. Rozdíl mezi plochami proto spojuje vliv zásahu s vlivem stanoviště.</w:t>
      </w:r>
    </w:p>
    <w:p>
      <w:pPr>
        <w:spacing w:before="0" w:after="80" w:line="278" w:lineRule="auto"/>
      </w:pPr>
      <w:r>
        <w:rPr>
          <w:rFonts w:ascii="Arial" w:hAnsi="Arial" w:eastAsia="Arial"/>
          <w:b w:val="0"/>
          <w:i w:val="0"/>
          <w:color w:val="111111"/>
          <w:sz w:val="21"/>
        </w:rPr>
        <w:t>Analyzuje se pouze výřez snímku pod obzorem a nad vypáleným časovým pruhem; obloha do indexu zelenosti vnáší pouze šum. Snímky s průměrným jasem mimo rozsah 25-245 (soumrak, přesvícená scéna) jsou z denního kompozitu vyloučeny.</w:t>
      </w:r>
    </w:p>
    <w:p>
      <w:pPr>
        <w:spacing w:before="0" w:after="140" w:line="278" w:lineRule="auto"/>
      </w:pPr>
      <w:r>
        <w:rPr>
          <w:rFonts w:ascii="Arial" w:hAnsi="Arial" w:eastAsia="Arial"/>
          <w:b w:val="0"/>
          <w:i w:val="0"/>
          <w:color w:val="111111"/>
          <w:sz w:val="21"/>
        </w:rPr>
        <w:t>Video: 1 snímek videa = 1 zachyt v terénu. Zdrojové AVI má 30 fps, ale jeden snímek pokrývá zhruba dvě hodiny reality - násobič rychlosti proto nemá smysl a rychlost se řídí výstupním fps. Při 10 fps odpovídá 1 sekunda videa přibližně 20 hodinám reality.</w:t>
      </w:r>
    </w:p>
    <w:tbl>
      <w:tblPr>
        <w:tblW w:type="dxa" w:w="9411"/>
        <w:tblLayout w:type="fixed"/>
        <w:tblLook w:firstColumn="1" w:firstRow="1" w:lastColumn="0" w:lastRow="0" w:noHBand="0" w:noVBand="1" w:val="04A0"/>
        <w:jc w:val="left"/>
        <w:tblInd w:w="0" w:type="dxa"/>
        <w:tblBorders>
          <w:top w:val="single" w:sz="4" w:space="0" w:color="CDD4D0"/>
          <w:left w:val="single" w:sz="4" w:space="0" w:color="CDD4D0"/>
          <w:bottom w:val="single" w:sz="4" w:space="0" w:color="CDD4D0"/>
          <w:right w:val="single" w:sz="4" w:space="0" w:color="CDD4D0"/>
          <w:insideH w:val="single" w:sz="4" w:space="0" w:color="CDD4D0"/>
          <w:insideV w:val="single" w:sz="4" w:space="0" w:color="CDD4D0"/>
        </w:tblBorders>
      </w:tblPr>
      <w:tblGrid>
        <w:gridCol w:w="1644"/>
        <w:gridCol w:w="3855"/>
        <w:gridCol w:w="3912"/>
      </w:tblGrid>
      <w:tr>
        <w:trPr>
          <w:cantSplit/>
          <w:tblHeader w:val="true"/>
          <w:cantSplit/>
        </w:trPr>
        <w:tc>
          <w:tcPr>
            <w:tcW w:type="dxa" w:w="1644"/>
            <w:shd w:fill="E7EFEA"/>
            <w:vAlign w:val="center"/>
            <w:tcMar>
              <w:top w:w="75" w:type="dxa"/>
              <w:start w:w="100" w:type="dxa"/>
              <w:bottom w:w="75" w:type="dxa"/>
              <w:end w:w="100" w:type="dxa"/>
            </w:tcMar>
          </w:tcPr>
          <w:p>
            <w:pPr>
              <w:spacing w:before="0" w:after="0" w:line="240" w:lineRule="auto"/>
              <w:jc w:val="left"/>
            </w:pPr>
            <w:r/>
            <w:r>
              <w:rPr>
                <w:rFonts w:ascii="Arial" w:hAnsi="Arial" w:eastAsia="Arial"/>
                <w:b/>
                <w:i w:val="0"/>
                <w:color w:val="2F6E54"/>
                <w:sz w:val="16"/>
              </w:rPr>
              <w:t>Plocha</w:t>
            </w:r>
          </w:p>
        </w:tc>
        <w:tc>
          <w:tcPr>
            <w:tcW w:type="dxa" w:w="3855"/>
            <w:shd w:fill="E7EFEA"/>
            <w:vAlign w:val="center"/>
            <w:tcMar>
              <w:top w:w="75" w:type="dxa"/>
              <w:start w:w="100" w:type="dxa"/>
              <w:bottom w:w="75" w:type="dxa"/>
              <w:end w:w="100" w:type="dxa"/>
            </w:tcMar>
          </w:tcPr>
          <w:p>
            <w:pPr>
              <w:spacing w:before="0" w:after="0" w:line="240" w:lineRule="auto"/>
              <w:jc w:val="left"/>
            </w:pPr>
            <w:r/>
            <w:r>
              <w:rPr>
                <w:rFonts w:ascii="Arial" w:hAnsi="Arial" w:eastAsia="Arial"/>
                <w:b/>
                <w:i w:val="0"/>
                <w:color w:val="2F6E54"/>
                <w:sz w:val="16"/>
              </w:rPr>
              <w:t>Zdrojová složka</w:t>
            </w:r>
          </w:p>
        </w:tc>
        <w:tc>
          <w:tcPr>
            <w:tcW w:type="dxa" w:w="3912"/>
            <w:shd w:fill="E7EFEA"/>
            <w:vAlign w:val="center"/>
            <w:tcMar>
              <w:top w:w="75" w:type="dxa"/>
              <w:start w:w="100" w:type="dxa"/>
              <w:bottom w:w="75" w:type="dxa"/>
              <w:end w:w="100" w:type="dxa"/>
            </w:tcMar>
          </w:tcPr>
          <w:p>
            <w:pPr>
              <w:spacing w:before="0" w:after="0" w:line="240" w:lineRule="auto"/>
              <w:jc w:val="left"/>
            </w:pPr>
            <w:r/>
            <w:r>
              <w:rPr>
                <w:rFonts w:ascii="Arial" w:hAnsi="Arial" w:eastAsia="Arial"/>
                <w:b/>
                <w:i w:val="0"/>
                <w:color w:val="2F6E54"/>
                <w:sz w:val="16"/>
              </w:rPr>
              <w:t>Výstupní video</w:t>
            </w:r>
          </w:p>
        </w:tc>
      </w:tr>
      <w:tr>
        <w:trPr>
          <w:cantSplit/>
        </w:trPr>
        <w:tc>
          <w:tcPr>
            <w:tcW w:type="dxa" w:w="1644"/>
            <w:vAlign w:val="center"/>
            <w:tcMar>
              <w:top w:w="75" w:type="dxa"/>
              <w:start w:w="100" w:type="dxa"/>
              <w:bottom w:w="75" w:type="dxa"/>
              <w:end w:w="100" w:type="dxa"/>
            </w:tcMar>
          </w:tcPr>
          <w:p>
            <w:pPr>
              <w:spacing w:before="0" w:after="0" w:line="240" w:lineRule="auto"/>
              <w:jc w:val="left"/>
            </w:pPr>
            <w:r/>
            <w:r>
              <w:rPr>
                <w:rFonts w:ascii="Arial" w:hAnsi="Arial" w:eastAsia="Arial"/>
                <w:b w:val="0"/>
                <w:i w:val="0"/>
                <w:color w:val="111111"/>
                <w:sz w:val="15"/>
              </w:rPr>
              <w:t>Frézovaný 2022</w:t>
            </w:r>
          </w:p>
        </w:tc>
        <w:tc>
          <w:tcPr>
            <w:tcW w:type="dxa" w:w="3855"/>
            <w:vAlign w:val="center"/>
            <w:tcMar>
              <w:top w:w="75" w:type="dxa"/>
              <w:start w:w="100" w:type="dxa"/>
              <w:bottom w:w="75" w:type="dxa"/>
              <w:end w:w="100" w:type="dxa"/>
            </w:tcMar>
          </w:tcPr>
          <w:p>
            <w:pPr>
              <w:spacing w:before="0" w:after="0" w:line="240" w:lineRule="auto"/>
              <w:jc w:val="left"/>
            </w:pPr>
            <w:r/>
            <w:r>
              <w:rPr>
                <w:rFonts w:ascii="Arial" w:hAnsi="Arial" w:eastAsia="Arial"/>
                <w:b w:val="0"/>
                <w:i w:val="0"/>
                <w:color w:val="111111"/>
                <w:sz w:val="15"/>
              </w:rPr>
              <w:t>C:\Users\mspan\Desktop\Sběr data 21082026_LES\</w:t>
              <w:br/>
              <w:t>kamery\lokalita freza\RGB</w:t>
            </w:r>
          </w:p>
        </w:tc>
        <w:tc>
          <w:tcPr>
            <w:tcW w:type="dxa" w:w="3912"/>
            <w:vAlign w:val="center"/>
            <w:tcMar>
              <w:top w:w="75" w:type="dxa"/>
              <w:start w:w="100" w:type="dxa"/>
              <w:bottom w:w="75" w:type="dxa"/>
              <w:end w:w="100" w:type="dxa"/>
            </w:tcMar>
          </w:tcPr>
          <w:p>
            <w:pPr>
              <w:spacing w:before="0" w:after="0" w:line="240" w:lineRule="auto"/>
              <w:jc w:val="left"/>
            </w:pPr>
            <w:r/>
            <w:r>
              <w:rPr>
                <w:rFonts w:ascii="Arial" w:hAnsi="Arial" w:eastAsia="Arial"/>
                <w:b w:val="0"/>
                <w:i w:val="0"/>
                <w:color w:val="111111"/>
                <w:sz w:val="15"/>
              </w:rPr>
              <w:t>C:\Users\mspan\Desktop\Projekt_les_frezovani\</w:t>
              <w:br/>
              <w:t>Analysis_pictures_RGB\</w:t>
              <w:br/>
              <w:t>TIMELAPSEVID_data21082026_RGB_F2022.mp4</w:t>
            </w:r>
          </w:p>
        </w:tc>
      </w:tr>
      <w:tr>
        <w:trPr>
          <w:cantSplit/>
        </w:trPr>
        <w:tc>
          <w:tcPr>
            <w:tcW w:type="dxa" w:w="1644"/>
            <w:shd w:fill="F8FAF9"/>
            <w:vAlign w:val="center"/>
            <w:tcMar>
              <w:top w:w="75" w:type="dxa"/>
              <w:start w:w="100" w:type="dxa"/>
              <w:bottom w:w="75" w:type="dxa"/>
              <w:end w:w="100" w:type="dxa"/>
            </w:tcMar>
          </w:tcPr>
          <w:p>
            <w:pPr>
              <w:spacing w:before="0" w:after="0" w:line="240" w:lineRule="auto"/>
              <w:jc w:val="left"/>
            </w:pPr>
            <w:r/>
            <w:r>
              <w:rPr>
                <w:rFonts w:ascii="Arial" w:hAnsi="Arial" w:eastAsia="Arial"/>
                <w:b w:val="0"/>
                <w:i w:val="0"/>
                <w:color w:val="111111"/>
                <w:sz w:val="15"/>
              </w:rPr>
              <w:t>Nefrézovaný 2022</w:t>
            </w:r>
          </w:p>
        </w:tc>
        <w:tc>
          <w:tcPr>
            <w:tcW w:type="dxa" w:w="3855"/>
            <w:shd w:fill="F8FAF9"/>
            <w:vAlign w:val="center"/>
            <w:tcMar>
              <w:top w:w="75" w:type="dxa"/>
              <w:start w:w="100" w:type="dxa"/>
              <w:bottom w:w="75" w:type="dxa"/>
              <w:end w:w="100" w:type="dxa"/>
            </w:tcMar>
          </w:tcPr>
          <w:p>
            <w:pPr>
              <w:spacing w:before="0" w:after="0" w:line="240" w:lineRule="auto"/>
              <w:jc w:val="left"/>
            </w:pPr>
            <w:r/>
            <w:r>
              <w:rPr>
                <w:rFonts w:ascii="Arial" w:hAnsi="Arial" w:eastAsia="Arial"/>
                <w:b w:val="0"/>
                <w:i w:val="0"/>
                <w:color w:val="111111"/>
                <w:sz w:val="15"/>
              </w:rPr>
              <w:t>C:\Users\mspan\Desktop\Sběr data 21082026_LES\</w:t>
              <w:br/>
              <w:t>kamery\lokalita nefreza\RGB</w:t>
            </w:r>
          </w:p>
        </w:tc>
        <w:tc>
          <w:tcPr>
            <w:tcW w:type="dxa" w:w="3912"/>
            <w:shd w:fill="F8FAF9"/>
            <w:vAlign w:val="center"/>
            <w:tcMar>
              <w:top w:w="75" w:type="dxa"/>
              <w:start w:w="100" w:type="dxa"/>
              <w:bottom w:w="75" w:type="dxa"/>
              <w:end w:w="100" w:type="dxa"/>
            </w:tcMar>
          </w:tcPr>
          <w:p>
            <w:pPr>
              <w:spacing w:before="0" w:after="0" w:line="240" w:lineRule="auto"/>
              <w:jc w:val="left"/>
            </w:pPr>
            <w:r/>
            <w:r>
              <w:rPr>
                <w:rFonts w:ascii="Arial" w:hAnsi="Arial" w:eastAsia="Arial"/>
                <w:b w:val="0"/>
                <w:i w:val="0"/>
                <w:color w:val="111111"/>
                <w:sz w:val="15"/>
              </w:rPr>
              <w:t>C:\Users\mspan\Desktop\Projekt_les_frezovani\</w:t>
              <w:br/>
              <w:t>Analysis_pictures_RGB\</w:t>
              <w:br/>
              <w:t>TIMELAPSEVID_data21082026_RGB_NF2022.mp4</w:t>
            </w:r>
          </w:p>
        </w:tc>
      </w:tr>
    </w:tbl>
    <w:sectPr w:rsidR="00FC693F" w:rsidRPr="0006063C" w:rsidSect="00034616">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8"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6E54"/>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RGB časosběr - analýza porostu</dc:title>
  <dc:subject>Projekt LES - kamera Brinno TLC2000</dc:subject>
  <dc:creator>CRA s.r.o.</dc:creator>
  <cp:keywords/>
  <dc:description>Opravená sazba tabulek a editovatelná verze.</dc:description>
  <cp:lastModifiedBy/>
  <cp:revision>1</cp:revision>
  <dcterms:created xsi:type="dcterms:W3CDTF">2013-12-23T23:15:00Z</dcterms:created>
  <dcterms:modified xsi:type="dcterms:W3CDTF">2013-12-23T23:15:00Z</dcterms:modified>
  <cp:category/>
</cp:coreProperties>
</file>