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 w:eastAsia="Arial"/>
          <w:b/>
          <w:i w:val="0"/>
          <w:color w:val="2F6E54"/>
          <w:sz w:val="39"/>
        </w:rPr>
        <w:t>Sledovaný biotop - NIR analýza a mikroklima</w:t>
      </w:r>
    </w:p>
    <w:p>
      <w:pPr>
        <w:keepNext/>
        <w:spacing w:before="0" w:after="80"/>
      </w:pPr>
      <w:r>
        <w:rPr>
          <w:rFonts w:ascii="Arial" w:hAnsi="Arial" w:eastAsia="Arial"/>
          <w:b w:val="0"/>
          <w:i w:val="0"/>
          <w:color w:val="5F6360"/>
          <w:sz w:val="21"/>
        </w:rPr>
        <w:t>Plocha Frézovaný 2022 · kamera MAPIR Survey 3N · půdní čidla TOMST TMS</w:t>
      </w:r>
    </w:p>
    <w:p>
      <w:pPr>
        <w:spacing w:before="0" w:after="360"/>
      </w:pPr>
      <w:r>
        <w:rPr>
          <w:rFonts w:ascii="Arial" w:hAnsi="Arial" w:eastAsia="Arial"/>
          <w:b w:val="0"/>
          <w:i w:val="0"/>
          <w:color w:val="5F6360"/>
          <w:sz w:val="20"/>
        </w:rPr>
        <w:t>Projekt „Vliv frézování půdy po těžbě dřeva na růst sazenic“ · zpracováno 25. 08. 2026</w:t>
      </w:r>
    </w:p>
    <w:p>
      <w:pPr>
        <w:pStyle w:val="Heading1"/>
        <w:keepNext/>
        <w:spacing w:before="160" w:after="100"/>
      </w:pPr>
      <w:r>
        <w:rPr>
          <w:rFonts w:ascii="Arial" w:hAnsi="Arial" w:eastAsia="Arial"/>
          <w:b/>
          <w:i w:val="0"/>
          <w:color w:val="2F6E54"/>
          <w:sz w:val="31"/>
        </w:rPr>
        <w:t>1. Shrnutí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Obrazová sada pokrývá období 14. 07. - 21. 08. 2026 (809 zachytů, medián intervalu 1.1 h). Z toho 410 denních snímků vstoupilo do NIR analýzy a 399 nočních bylo vyřazeno - bez osvětleného pásma Red je NDVI neplatné.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Relativní NDVI je v celém období mírně rostoucí: z 0.777 na 0.815, s maximem 19. 08. 2026. Porost je po celou dobu v pásmu husté zapojené vegetace, takže NDVI je blízko saturace a reaguje spíš na strukturu a osvětlení scény než na drobné změny vitality.</w:t>
      </w:r>
    </w:p>
    <w:p>
      <w:pPr>
        <w:spacing w:before="0" w:after="120" w:line="278" w:lineRule="auto"/>
      </w:pPr>
      <w:r>
        <w:rPr>
          <w:rFonts w:ascii="Arial" w:hAnsi="Arial" w:eastAsia="Arial"/>
          <w:b w:val="0"/>
          <w:i w:val="0"/>
          <w:color w:val="5F6360"/>
          <w:sz w:val="19"/>
        </w:rPr>
        <w:t>5 snímků mělo resetované hodiny kamery (datum 2024) a do časové řady nevstupuje.</w:t>
      </w:r>
    </w:p>
    <w:p>
      <w:pPr>
        <w:pStyle w:val="Heading1"/>
        <w:keepNext/>
        <w:spacing w:before="160" w:after="100"/>
      </w:pPr>
      <w:r>
        <w:rPr>
          <w:rFonts w:ascii="Arial" w:hAnsi="Arial" w:eastAsia="Arial"/>
          <w:b/>
          <w:i w:val="0"/>
          <w:color w:val="2F6E54"/>
          <w:sz w:val="31"/>
        </w:rPr>
        <w:t>2. Časosběrné video</w:t>
      </w:r>
    </w:p>
    <w:p>
      <w:pPr>
        <w:spacing w:before="0" w:after="10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Video vzniklo z JPG náhledů celé sady bez časového řezu, tedy včetně nočních snímků - ty ve videu dokládají denní rytmus stanoviště, i když pro NDVI použitelné nejsou. Při 10 fps trvá zhruba 81 sekund.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space="0" w:color="CDD4D0"/>
          <w:left w:val="single" w:sz="4" w:space="0" w:color="CDD4D0"/>
          <w:bottom w:val="single" w:sz="4" w:space="0" w:color="CDD4D0"/>
          <w:right w:val="single" w:sz="4" w:space="0" w:color="CDD4D0"/>
          <w:insideH w:val="single" w:sz="4" w:space="0" w:color="CDD4D0"/>
          <w:insideV w:val="single" w:sz="4" w:space="0" w:color="CDD4D0"/>
        </w:tblBorders>
      </w:tblPr>
      <w:tblGrid>
        <w:gridCol w:w="2098"/>
        <w:gridCol w:w="7540"/>
      </w:tblGrid>
      <w:tr>
        <w:trPr>
          <w:cantSplit/>
          <w:tblHeader w:val="true"/>
          <w:cantSplit/>
        </w:trPr>
        <w:tc>
          <w:tcPr>
            <w:tcW w:type="dxa" w:w="2098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Zdrojová složka</w:t>
            </w:r>
          </w:p>
        </w:tc>
        <w:tc>
          <w:tcPr>
            <w:tcW w:type="dxa" w:w="7540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C:\Users\mspan\Desktop\Sběr data 21082026_LES\kamery\lokalita freza\Photo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Výstupní video</w:t>
            </w:r>
          </w:p>
        </w:tc>
        <w:tc>
          <w:tcPr>
            <w:tcW w:type="dxa" w:w="75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C:\Users\mspan\Desktop\Projekt_les_frezovani\</w:t>
              <w:br/>
              <w:t>analysis_pictues_MAPIR\TIMELAPSEVID_data21082026_NIR_F2022.mp4</w:t>
            </w:r>
          </w:p>
        </w:tc>
      </w:tr>
      <w:tr>
        <w:trPr>
          <w:cantSplit/>
        </w:trPr>
        <w:tc>
          <w:tcPr>
            <w:tcW w:type="dxa" w:w="2098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Snímků ve videu</w:t>
            </w:r>
          </w:p>
        </w:tc>
        <w:tc>
          <w:tcPr>
            <w:tcW w:type="dxa" w:w="754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809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Rychlost</w:t>
            </w:r>
          </w:p>
        </w:tc>
        <w:tc>
          <w:tcPr>
            <w:tcW w:type="dxa" w:w="75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10 fps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spacing w:before="160" w:after="100"/>
      </w:pPr>
      <w:r>
        <w:rPr>
          <w:rFonts w:ascii="Arial" w:hAnsi="Arial" w:eastAsia="Arial"/>
          <w:b/>
          <w:i w:val="0"/>
          <w:color w:val="2F6E54"/>
          <w:sz w:val="31"/>
        </w:rPr>
        <w:t>3. Vegetační indexy z NIR snímků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NDVI je počítáno z nekalibrovaných RAW snímků - v sadě není u každého zachytu kalibrační terčík. NDVI je poměrový index, takže konstantní zisk se v čitateli i jmenovateli krátí a relativní vývoj v čase je platný. Absolutní hodnotu ale nelze číst jako přesnou odrazivost ani ji srovnávat s měřením z jiné kamery či jiné sezony.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NDVI se počítá přímo ze surových pásem RAW souboru. Z JPG náhledu by NDVI vyjít nemohlo - MAPIR do něj aplikuje vyvážení bílé, které pásma Red a NIR slije dohromady a index by vycházel kolem nuly bez ohledu na stav porostu.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285"/>
            <wp:docPr id="1" name="Picture 1" descr="Vývoj relativního NDVI na ploše Frézovaný 202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2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space="0" w:color="CDD4D0"/>
          <w:left w:val="single" w:sz="4" w:space="0" w:color="CDD4D0"/>
          <w:bottom w:val="single" w:sz="4" w:space="0" w:color="CDD4D0"/>
          <w:right w:val="single" w:sz="4" w:space="0" w:color="CDD4D0"/>
          <w:insideH w:val="single" w:sz="4" w:space="0" w:color="CDD4D0"/>
          <w:insideV w:val="single" w:sz="4" w:space="0" w:color="CDD4D0"/>
        </w:tblBorders>
      </w:tblPr>
      <w:tblGrid>
        <w:gridCol w:w="4932"/>
        <w:gridCol w:w="4422"/>
      </w:tblGrid>
      <w:tr>
        <w:trPr>
          <w:cantSplit/>
          <w:tblHeader w:val="true"/>
          <w:cantSplit/>
        </w:trPr>
        <w:tc>
          <w:tcPr>
            <w:tcW w:type="dxa" w:w="4932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7"/>
              </w:rPr>
              <w:t>Ukazatel</w:t>
            </w:r>
          </w:p>
        </w:tc>
        <w:tc>
          <w:tcPr>
            <w:tcW w:type="dxa" w:w="4422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7"/>
              </w:rPr>
              <w:t>Hodnota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Dnů s použitelnými snímky</w:t>
            </w:r>
          </w:p>
        </w:tc>
        <w:tc>
          <w:tcPr>
            <w:tcW w:type="dxa" w:w="442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4932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NDVI minimum / maximum</w:t>
            </w:r>
          </w:p>
        </w:tc>
        <w:tc>
          <w:tcPr>
            <w:tcW w:type="dxa" w:w="4422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0.622 / 0.902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NDVI průměr</w:t>
            </w:r>
          </w:p>
        </w:tc>
        <w:tc>
          <w:tcPr>
            <w:tcW w:type="dxa" w:w="442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0.771</w:t>
            </w:r>
          </w:p>
        </w:tc>
      </w:tr>
      <w:tr>
        <w:trPr>
          <w:cantSplit/>
        </w:trPr>
        <w:tc>
          <w:tcPr>
            <w:tcW w:type="dxa" w:w="4932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NDVI na začátku / na konci</w:t>
            </w:r>
          </w:p>
        </w:tc>
        <w:tc>
          <w:tcPr>
            <w:tcW w:type="dxa" w:w="4422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0.777 / 0.815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OSAVI průměr</w:t>
            </w:r>
          </w:p>
        </w:tc>
        <w:tc>
          <w:tcPr>
            <w:tcW w:type="dxa" w:w="442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0.611</w:t>
            </w:r>
          </w:p>
        </w:tc>
      </w:tr>
      <w:tr>
        <w:trPr>
          <w:cantSplit/>
        </w:trPr>
        <w:tc>
          <w:tcPr>
            <w:tcW w:type="dxa" w:w="4932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RDVI průměr</w:t>
            </w:r>
          </w:p>
        </w:tc>
        <w:tc>
          <w:tcPr>
            <w:tcW w:type="dxa" w:w="4422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0.617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spacing w:before="160" w:after="100"/>
      </w:pPr>
      <w:r>
        <w:rPr>
          <w:rFonts w:ascii="Arial" w:hAnsi="Arial" w:eastAsia="Arial"/>
          <w:b/>
          <w:i w:val="0"/>
          <w:color w:val="2F6E54"/>
          <w:sz w:val="31"/>
        </w:rPr>
        <w:t>4. Půdní vlhkost a teplota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Vlhkostní kanál TOMST je surový TMS count, nikoli % objemové vlhkosti. Bez lokální kalibrace nelze tvrdit „tato plocha má o X % více vody“. Srovnatelný je tvar křivky: reakce po srážce, rychlost vysychání a změna v rámci jednoho čidla. Absolutní úroveň mezi čidly ovlivňuje kontakt s půdou, dutiny, kořeny, kamenitost a stárnutí kontaktu.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space="0" w:color="CDD4D0"/>
          <w:left w:val="single" w:sz="4" w:space="0" w:color="CDD4D0"/>
          <w:bottom w:val="single" w:sz="4" w:space="0" w:color="CDD4D0"/>
          <w:right w:val="single" w:sz="4" w:space="0" w:color="CDD4D0"/>
          <w:insideH w:val="single" w:sz="4" w:space="0" w:color="CDD4D0"/>
          <w:insideV w:val="single" w:sz="4" w:space="0" w:color="CDD4D0"/>
        </w:tblBorders>
      </w:tblPr>
      <w:tblGrid>
        <w:gridCol w:w="850"/>
        <w:gridCol w:w="794"/>
        <w:gridCol w:w="794"/>
        <w:gridCol w:w="850"/>
        <w:gridCol w:w="794"/>
        <w:gridCol w:w="1417"/>
        <w:gridCol w:w="1191"/>
        <w:gridCol w:w="964"/>
        <w:gridCol w:w="850"/>
        <w:gridCol w:w="1134"/>
      </w:tblGrid>
      <w:tr>
        <w:trPr>
          <w:cantSplit/>
          <w:tblHeader w:val="true"/>
          <w:cantSplit/>
        </w:trPr>
        <w:tc>
          <w:tcPr>
            <w:tcW w:type="dxa" w:w="850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Čidlo</w:t>
            </w:r>
          </w:p>
        </w:tc>
        <w:tc>
          <w:tcPr>
            <w:tcW w:type="dxa" w:w="794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Plocha</w:t>
            </w:r>
          </w:p>
        </w:tc>
        <w:tc>
          <w:tcPr>
            <w:tcW w:type="dxa" w:w="794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Zásah</w:t>
            </w:r>
          </w:p>
        </w:tc>
        <w:tc>
          <w:tcPr>
            <w:tcW w:type="dxa" w:w="850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Hloubka</w:t>
            </w:r>
          </w:p>
        </w:tc>
        <w:tc>
          <w:tcPr>
            <w:tcW w:type="dxa" w:w="794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Skupina</w:t>
            </w:r>
          </w:p>
        </w:tc>
        <w:tc>
          <w:tcPr>
            <w:tcW w:type="dxa" w:w="141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Interpretovat od</w:t>
            </w:r>
          </w:p>
        </w:tc>
        <w:tc>
          <w:tcPr>
            <w:tcW w:type="dxa" w:w="1191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Vlhkost první</w:t>
            </w:r>
          </w:p>
        </w:tc>
        <w:tc>
          <w:tcPr>
            <w:tcW w:type="dxa" w:w="964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Poslední</w:t>
            </w:r>
          </w:p>
        </w:tc>
        <w:tc>
          <w:tcPr>
            <w:tcW w:type="dxa" w:w="850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Změna</w:t>
            </w:r>
          </w:p>
        </w:tc>
        <w:tc>
          <w:tcPr>
            <w:tcW w:type="dxa" w:w="1134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4"/>
              </w:rPr>
              <w:t>Trend/den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T10F22</w:t>
            </w:r>
          </w:p>
        </w:tc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F2022</w:t>
            </w:r>
          </w:p>
        </w:tc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fréza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10 cm</w:t>
            </w:r>
          </w:p>
        </w:tc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Ca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17. 03.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1226</w:t>
            </w:r>
          </w:p>
        </w:tc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1170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-56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-1.10</w:t>
            </w:r>
          </w:p>
        </w:tc>
      </w:tr>
      <w:tr>
        <w:trPr>
          <w:cantSplit/>
        </w:trPr>
        <w:tc>
          <w:tcPr>
            <w:tcW w:type="dxa" w:w="85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T48F22</w:t>
            </w:r>
          </w:p>
        </w:tc>
        <w:tc>
          <w:tcPr>
            <w:tcW w:type="dxa" w:w="79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F2022</w:t>
            </w:r>
          </w:p>
        </w:tc>
        <w:tc>
          <w:tcPr>
            <w:tcW w:type="dxa" w:w="79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fréza</w:t>
            </w:r>
          </w:p>
        </w:tc>
        <w:tc>
          <w:tcPr>
            <w:tcW w:type="dxa" w:w="85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48 cm</w:t>
            </w:r>
          </w:p>
        </w:tc>
        <w:tc>
          <w:tcPr>
            <w:tcW w:type="dxa" w:w="79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Ca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17. 03.</w:t>
            </w:r>
          </w:p>
        </w:tc>
        <w:tc>
          <w:tcPr>
            <w:tcW w:type="dxa" w:w="119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1434</w:t>
            </w:r>
          </w:p>
        </w:tc>
        <w:tc>
          <w:tcPr>
            <w:tcW w:type="dxa" w:w="96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1022</w:t>
            </w:r>
          </w:p>
        </w:tc>
        <w:tc>
          <w:tcPr>
            <w:tcW w:type="dxa" w:w="85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-412</w:t>
            </w:r>
          </w:p>
        </w:tc>
        <w:tc>
          <w:tcPr>
            <w:tcW w:type="dxa" w:w="113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-4.02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T10NF22</w:t>
            </w:r>
          </w:p>
        </w:tc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NF2022</w:t>
            </w:r>
          </w:p>
        </w:tc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nefréza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10 cm</w:t>
            </w:r>
          </w:p>
        </w:tc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Ka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17. 03.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1586</w:t>
            </w:r>
          </w:p>
        </w:tc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995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-592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-4.85</w:t>
            </w:r>
          </w:p>
        </w:tc>
      </w:tr>
      <w:tr>
        <w:trPr>
          <w:cantSplit/>
        </w:trPr>
        <w:tc>
          <w:tcPr>
            <w:tcW w:type="dxa" w:w="85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T48NF22</w:t>
            </w:r>
          </w:p>
        </w:tc>
        <w:tc>
          <w:tcPr>
            <w:tcW w:type="dxa" w:w="79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NF2022</w:t>
            </w:r>
          </w:p>
        </w:tc>
        <w:tc>
          <w:tcPr>
            <w:tcW w:type="dxa" w:w="79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nefréza</w:t>
            </w:r>
          </w:p>
        </w:tc>
        <w:tc>
          <w:tcPr>
            <w:tcW w:type="dxa" w:w="85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48 cm</w:t>
            </w:r>
          </w:p>
        </w:tc>
        <w:tc>
          <w:tcPr>
            <w:tcW w:type="dxa" w:w="79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Ka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15. 04.</w:t>
            </w:r>
          </w:p>
        </w:tc>
        <w:tc>
          <w:tcPr>
            <w:tcW w:type="dxa" w:w="119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2154</w:t>
            </w:r>
          </w:p>
        </w:tc>
        <w:tc>
          <w:tcPr>
            <w:tcW w:type="dxa" w:w="96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1449</w:t>
            </w:r>
          </w:p>
        </w:tc>
        <w:tc>
          <w:tcPr>
            <w:tcW w:type="dxa" w:w="85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-705</w:t>
            </w:r>
          </w:p>
        </w:tc>
        <w:tc>
          <w:tcPr>
            <w:tcW w:type="dxa" w:w="1134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-3.20</w:t>
            </w:r>
          </w:p>
        </w:tc>
      </w:tr>
    </w:tbl>
    <w:p>
      <w:pPr>
        <w:spacing w:before="0" w:after="40" w:line="278" w:lineRule="auto"/>
      </w:pPr>
      <w:r>
        <w:rPr>
          <w:rFonts w:ascii="Arial" w:hAnsi="Arial" w:eastAsia="Arial"/>
          <w:b w:val="0"/>
          <w:i w:val="0"/>
          <w:color w:val="5F6360"/>
          <w:sz w:val="18"/>
        </w:rPr>
        <w:t>T48F22: trvalý zlom raw vlhkosti 20. 5. - před a po se nesmí spojovat do jedné absolutní řady.</w:t>
      </w:r>
    </w:p>
    <w:p>
      <w:pPr>
        <w:spacing w:before="0" w:after="60" w:line="278" w:lineRule="auto"/>
      </w:pPr>
      <w:r>
        <w:rPr>
          <w:rFonts w:ascii="Arial" w:hAnsi="Arial" w:eastAsia="Arial"/>
          <w:b w:val="0"/>
          <w:i w:val="0"/>
          <w:color w:val="5F6360"/>
          <w:sz w:val="18"/>
        </w:rPr>
        <w:t>T48NF22: do 14. 4. neinterpretovatelný raw signál.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724000" cy="3295376"/>
            <wp:docPr id="2" name="Picture 2" descr="Raw půdní vlhkost v mělké a hlubší vrstvě na plochách F2022 a NF202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9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82520"/>
            <wp:docPr id="3" name="Picture 3" descr="Přízemní stresový kanál T3 a teplota půdního profilu T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82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8785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space="0" w:color="CDD4D0"/>
          <w:left w:val="single" w:sz="4" w:space="0" w:color="CDD4D0"/>
          <w:bottom w:val="single" w:sz="4" w:space="0" w:color="CDD4D0"/>
          <w:right w:val="single" w:sz="4" w:space="0" w:color="CDD4D0"/>
          <w:insideH w:val="single" w:sz="4" w:space="0" w:color="CDD4D0"/>
          <w:insideV w:val="single" w:sz="4" w:space="0" w:color="CDD4D0"/>
        </w:tblBorders>
      </w:tblPr>
      <w:tblGrid>
        <w:gridCol w:w="1077"/>
        <w:gridCol w:w="1020"/>
        <w:gridCol w:w="1020"/>
        <w:gridCol w:w="1417"/>
        <w:gridCol w:w="1417"/>
        <w:gridCol w:w="1417"/>
        <w:gridCol w:w="1417"/>
      </w:tblGrid>
      <w:tr>
        <w:trPr>
          <w:cantSplit/>
          <w:tblHeader w:val="true"/>
          <w:cantSplit/>
        </w:trPr>
        <w:tc>
          <w:tcPr>
            <w:tcW w:type="dxa" w:w="107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Čidlo</w:t>
            </w:r>
          </w:p>
        </w:tc>
        <w:tc>
          <w:tcPr>
            <w:tcW w:type="dxa" w:w="1020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T3 min</w:t>
            </w:r>
          </w:p>
        </w:tc>
        <w:tc>
          <w:tcPr>
            <w:tcW w:type="dxa" w:w="1020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T3 max</w:t>
            </w:r>
          </w:p>
        </w:tc>
        <w:tc>
          <w:tcPr>
            <w:tcW w:type="dxa" w:w="141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Dnů T3&gt;30</w:t>
            </w:r>
          </w:p>
        </w:tc>
        <w:tc>
          <w:tcPr>
            <w:tcW w:type="dxa" w:w="141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Dnů T3&gt;35</w:t>
            </w:r>
          </w:p>
        </w:tc>
        <w:tc>
          <w:tcPr>
            <w:tcW w:type="dxa" w:w="141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Dnů T3&gt;40</w:t>
            </w:r>
          </w:p>
        </w:tc>
        <w:tc>
          <w:tcPr>
            <w:tcW w:type="dxa" w:w="141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Dnů T3&lt;0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T10F22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-4.6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49.3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82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46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21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07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T48F22</w:t>
            </w:r>
          </w:p>
        </w:tc>
        <w:tc>
          <w:tcPr>
            <w:tcW w:type="dxa" w:w="102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-8.2</w:t>
            </w:r>
          </w:p>
        </w:tc>
        <w:tc>
          <w:tcPr>
            <w:tcW w:type="dxa" w:w="102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48.5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83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44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19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42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T10NF22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-3.6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48.2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56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36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19</w:t>
            </w:r>
          </w:p>
        </w:tc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107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T48NF22</w:t>
            </w:r>
          </w:p>
        </w:tc>
        <w:tc>
          <w:tcPr>
            <w:tcW w:type="dxa" w:w="102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-8.1</w:t>
            </w:r>
          </w:p>
        </w:tc>
        <w:tc>
          <w:tcPr>
            <w:tcW w:type="dxa" w:w="1020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50.5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86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54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25</w:t>
            </w:r>
          </w:p>
        </w:tc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6"/>
              </w:rPr>
              <w:t>17</w:t>
            </w:r>
          </w:p>
        </w:tc>
      </w:tr>
    </w:tbl>
    <w:p>
      <w:pPr>
        <w:spacing w:before="100" w:after="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Přízemní kanál T3 není půdní teplota v hloubce - zachycuje přízemní mrazíky a denní přehřívání u povrchu. Právě proto je rozhodující pro čerstvou výsadbu: opakované překročení 35 °C se časově překrývá s poklesem mělké vlhkosti.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160" w:after="100"/>
      </w:pPr>
      <w:r>
        <w:rPr>
          <w:rFonts w:ascii="Arial" w:hAnsi="Arial" w:eastAsia="Arial"/>
          <w:b/>
          <w:i w:val="0"/>
          <w:color w:val="2F6E54"/>
          <w:sz w:val="31"/>
        </w:rPr>
        <w:t>5. Meteorologický rámec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Na plochách není lokální srážkoměr, takže meteorologická data slouží jako regionální rámec (Podolí I. / Milevsko), nikoli jako přesný denní srážkový záznam u čidla. U lokálních bouřek může být rozdíl mezi stanicí a pozemkem zásadní; vlastní vlhkostní pulzy TOMST proto slouží zároveň jako indikátor skutečné lokální infiltrační události.</w:t>
      </w:r>
    </w:p>
    <w:tbl>
      <w:tblPr>
        <w:tblW w:type="dxa" w:w="9637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space="0" w:color="CDD4D0"/>
          <w:left w:val="single" w:sz="4" w:space="0" w:color="CDD4D0"/>
          <w:bottom w:val="single" w:sz="4" w:space="0" w:color="CDD4D0"/>
          <w:right w:val="single" w:sz="4" w:space="0" w:color="CDD4D0"/>
          <w:insideH w:val="single" w:sz="4" w:space="0" w:color="CDD4D0"/>
          <w:insideV w:val="single" w:sz="4" w:space="0" w:color="CDD4D0"/>
        </w:tblBorders>
      </w:tblPr>
      <w:tblGrid>
        <w:gridCol w:w="1417"/>
        <w:gridCol w:w="2211"/>
        <w:gridCol w:w="3118"/>
        <w:gridCol w:w="2891"/>
      </w:tblGrid>
      <w:tr>
        <w:trPr>
          <w:cantSplit/>
          <w:tblHeader w:val="true"/>
          <w:cantSplit/>
        </w:trPr>
        <w:tc>
          <w:tcPr>
            <w:tcW w:type="dxa" w:w="141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Období</w:t>
            </w:r>
          </w:p>
        </w:tc>
        <w:tc>
          <w:tcPr>
            <w:tcW w:type="dxa" w:w="2211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Charakter</w:t>
            </w:r>
          </w:p>
        </w:tc>
        <w:tc>
          <w:tcPr>
            <w:tcW w:type="dxa" w:w="3118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Údaj ČHMÚ</w:t>
            </w:r>
          </w:p>
        </w:tc>
        <w:tc>
          <w:tcPr>
            <w:tcW w:type="dxa" w:w="2891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6"/>
              </w:rPr>
              <w:t>Dopad na interpretaci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březen 2026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srážkově podnormální</w:t>
            </w:r>
          </w:p>
        </w:tc>
        <w:tc>
          <w:tcPr>
            <w:tcW w:type="dxa" w:w="311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19 mm, 41 % normálu; 5. nejsušší březen od 1961</w:t>
            </w:r>
          </w:p>
        </w:tc>
        <w:tc>
          <w:tcPr>
            <w:tcW w:type="dxa" w:w="28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suchý start sezony</w:t>
            </w:r>
          </w:p>
        </w:tc>
      </w:tr>
      <w:tr>
        <w:trPr>
          <w:cantSplit/>
        </w:trPr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duben 2026</w:t>
            </w:r>
          </w:p>
        </w:tc>
        <w:tc>
          <w:tcPr>
            <w:tcW w:type="dxa" w:w="221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srážkově silně podnormální</w:t>
            </w:r>
          </w:p>
        </w:tc>
        <w:tc>
          <w:tcPr>
            <w:tcW w:type="dxa" w:w="3118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13 mm, 33 % normálu</w:t>
            </w:r>
          </w:p>
        </w:tc>
        <w:tc>
          <w:tcPr>
            <w:tcW w:type="dxa" w:w="289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prohloubení deficitu před aktivním růstem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květen 2026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srážkově normální, teplotně nadnormální</w:t>
            </w:r>
          </w:p>
        </w:tc>
        <w:tc>
          <w:tcPr>
            <w:tcW w:type="dxa" w:w="311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57 mm, 81 % normálu; mělká podzemní voda mimořádně podnormální</w:t>
            </w:r>
          </w:p>
        </w:tc>
        <w:tc>
          <w:tcPr>
            <w:tcW w:type="dxa" w:w="28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srážkové pulzy bez plného odstranění deficitu</w:t>
            </w:r>
          </w:p>
        </w:tc>
      </w:tr>
      <w:tr>
        <w:trPr>
          <w:cantSplit/>
        </w:trPr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červen 2026</w:t>
            </w:r>
          </w:p>
        </w:tc>
        <w:tc>
          <w:tcPr>
            <w:tcW w:type="dxa" w:w="221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teplotně silně nadnormální, srážkově normální</w:t>
            </w:r>
          </w:p>
        </w:tc>
        <w:tc>
          <w:tcPr>
            <w:tcW w:type="dxa" w:w="3118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71 mm, 87 % normálu; horká vlna 18.-30. 6.; lokální bouřky</w:t>
            </w:r>
          </w:p>
        </w:tc>
        <w:tc>
          <w:tcPr>
            <w:tcW w:type="dxa" w:w="289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rychlý růst buřeně a vysoký evapotranspirační tlak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červenec 2026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srážkově podnormální</w:t>
            </w:r>
          </w:p>
        </w:tc>
        <w:tc>
          <w:tcPr>
            <w:tcW w:type="dxa" w:w="311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51 mm, 57 % normálu</w:t>
            </w:r>
          </w:p>
        </w:tc>
        <w:tc>
          <w:tcPr>
            <w:tcW w:type="dxa" w:w="28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silný červencový pokles mělké vlhkosti</w:t>
            </w:r>
          </w:p>
        </w:tc>
      </w:tr>
      <w:tr>
        <w:trPr>
          <w:cantSplit/>
        </w:trPr>
        <w:tc>
          <w:tcPr>
            <w:tcW w:type="dxa" w:w="141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srpen do 21. 8.</w:t>
            </w:r>
          </w:p>
        </w:tc>
        <w:tc>
          <w:tcPr>
            <w:tcW w:type="dxa" w:w="221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přetrvávající hydrologické sucho</w:t>
            </w:r>
          </w:p>
        </w:tc>
        <w:tc>
          <w:tcPr>
            <w:tcW w:type="dxa" w:w="3118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ČHMÚ 19. 8.: hydrologické sucho přetrvává na většině území</w:t>
            </w:r>
          </w:p>
        </w:tc>
        <w:tc>
          <w:tcPr>
            <w:tcW w:type="dxa" w:w="289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stav při odečtu je už letní stresový stav</w:t>
            </w:r>
          </w:p>
        </w:tc>
      </w:tr>
    </w:tbl>
    <w:p>
      <w:pPr>
        <w:spacing w:before="0" w:after="0" w:line="278" w:lineRule="auto"/>
      </w:pPr>
      <w:r>
        <w:rPr>
          <w:rFonts w:ascii="Arial" w:hAnsi="Arial" w:eastAsia="Arial"/>
          <w:b w:val="0"/>
          <w:i/>
          <w:color w:val="5F6360"/>
          <w:sz w:val="18"/>
        </w:rPr>
        <w:t>Zdroj: zpráva „Analýza senzorických dat z 21082026 - projekt LES“, tabulka 3.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160" w:after="100"/>
      </w:pPr>
      <w:r>
        <w:rPr>
          <w:rFonts w:ascii="Arial" w:hAnsi="Arial" w:eastAsia="Arial"/>
          <w:b/>
          <w:i w:val="0"/>
          <w:color w:val="2F6E54"/>
          <w:sz w:val="31"/>
        </w:rPr>
        <w:t>6. Souvislost obrazu, vláhy a teploty</w:t>
      </w:r>
    </w:p>
    <w:tbl>
      <w:tblPr>
        <w:tblW w:type="dxa" w:w="9637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space="0" w:color="CDD4D0"/>
          <w:left w:val="single" w:sz="4" w:space="0" w:color="CDD4D0"/>
          <w:bottom w:val="single" w:sz="4" w:space="0" w:color="CDD4D0"/>
          <w:right w:val="single" w:sz="4" w:space="0" w:color="CDD4D0"/>
          <w:insideH w:val="single" w:sz="4" w:space="0" w:color="CDD4D0"/>
          <w:insideV w:val="single" w:sz="4" w:space="0" w:color="CDD4D0"/>
        </w:tblBorders>
      </w:tblPr>
      <w:tblGrid>
        <w:gridCol w:w="1757"/>
        <w:gridCol w:w="2721"/>
        <w:gridCol w:w="2211"/>
        <w:gridCol w:w="2948"/>
      </w:tblGrid>
      <w:tr>
        <w:trPr>
          <w:cantSplit/>
          <w:tblHeader w:val="true"/>
          <w:cantSplit/>
        </w:trPr>
        <w:tc>
          <w:tcPr>
            <w:tcW w:type="dxa" w:w="1757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7"/>
              </w:rPr>
              <w:t>Čidlo</w:t>
            </w:r>
          </w:p>
        </w:tc>
        <w:tc>
          <w:tcPr>
            <w:tcW w:type="dxa" w:w="2721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7"/>
              </w:rPr>
              <w:t>NDVI × raw vlhkost</w:t>
            </w:r>
          </w:p>
        </w:tc>
        <w:tc>
          <w:tcPr>
            <w:tcW w:type="dxa" w:w="2211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7"/>
              </w:rPr>
              <w:t>NDVI × T1</w:t>
            </w:r>
          </w:p>
        </w:tc>
        <w:tc>
          <w:tcPr>
            <w:tcW w:type="dxa" w:w="2948"/>
            <w:shd w:fill="E7EFEA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2F6E54"/>
                <w:sz w:val="17"/>
              </w:rPr>
              <w:t>NDVI × denní max T3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T10F22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+0.30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+0.09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-0.41</w:t>
            </w:r>
          </w:p>
        </w:tc>
      </w:tr>
      <w:tr>
        <w:trPr>
          <w:cantSplit/>
        </w:trPr>
        <w:tc>
          <w:tcPr>
            <w:tcW w:type="dxa" w:w="1757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T48F22</w:t>
            </w:r>
          </w:p>
        </w:tc>
        <w:tc>
          <w:tcPr>
            <w:tcW w:type="dxa" w:w="272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+0.25</w:t>
            </w:r>
          </w:p>
        </w:tc>
        <w:tc>
          <w:tcPr>
            <w:tcW w:type="dxa" w:w="2211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+0.01</w:t>
            </w:r>
          </w:p>
        </w:tc>
        <w:tc>
          <w:tcPr>
            <w:tcW w:type="dxa" w:w="2948"/>
            <w:shd w:fill="F8FAF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-0.34</w:t>
            </w:r>
          </w:p>
        </w:tc>
      </w:tr>
    </w:tbl>
    <w:p>
      <w:pPr>
        <w:spacing w:before="10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Uvedeny jsou Spearmanovy korelace na společných dnech. Jde o souběh, nikoli o důkaz příčiny: obrazová sada pokrývá jen letní úsek, kdy NDVI, půdní teplota i vlhkost sdílejí společný sezónní trend. Krátká společná řada navíc znamená, že jednotlivá epizoda může korelaci výrazně posunout.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24999"/>
            <wp:docPr id="4" name="Picture 4" descr="Vývoj NDVI a raw půdní vlhkosti na monitorované ploš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0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pStyle w:val="Heading1"/>
        <w:keepNext/>
        <w:spacing w:before="160" w:after="100"/>
      </w:pPr>
      <w:r>
        <w:rPr>
          <w:rFonts w:ascii="Arial" w:hAnsi="Arial" w:eastAsia="Arial"/>
          <w:b/>
          <w:i w:val="0"/>
          <w:color w:val="2F6E54"/>
          <w:sz w:val="31"/>
        </w:rPr>
        <w:t>7. Závěry a výhrady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Srovnání F2022 vs. NF2022 není čistým efektem frézování. F2022 leží v geologické skupině Ca (moldanubikum, pararula/migmatit), NF2022 ve skupině Ka (granodiorit/durbachit, grusové zvětrávání) zhruba 2,5 km daleko. Rozdíl mezi plochami tedy spojuje vliv zásahu s vlivem odlišného stanoviště. Nejčistším experimentálním párem je podle zprávy z 21. 8. 2026 dvojice F2026 vs. NF2026, kterou ale obrazová sada MAPIR nepokrývá.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Obrazová sada MAPIR existuje pouze pro plochu Frézovaný 2022 - druhá kamera nefungovala. Srovnávací plocha proto vstupuje do reportu jen přes data z půdních čidel, nikoli obrazem. Jakýkoli závěr o rozdílu porostů mezi plochami by potřeboval obrazovou sadu z obou.</w:t>
      </w:r>
    </w:p>
    <w:p>
      <w:pPr>
        <w:spacing w:before="0" w:after="80" w:line="278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Pro plné hodnocení efektu frézování doporučuji navázat na dvojici F2026 vs. NF2026, která leží ve stejné geologické skupině těsně vedle sebe a je podle zprávy z 21. 8. 2026 nejsilnějším experimentálním párem v projektu.</w:t>
      </w:r>
    </w:p>
    <w:sectPr w:rsidR="00FC693F" w:rsidRPr="0006063C" w:rsidSect="00034616"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6E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Sledovaný biotop - NIR analýza a mikroklima</dc:title>
  <dc:subject>Plocha Frézovaný 2022 - MAPIR NIR a TOMST TMS</dc:subject>
  <dc:creator>CRA s.r.o.</dc:creator>
  <cp:keywords/>
  <dc:description>Opravená sazba tabulek a editovatelná verze.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