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14FEE" w14:textId="0485D025" w:rsidR="00995B56" w:rsidRPr="00824F3E" w:rsidRDefault="00E105D6" w:rsidP="00E105D6">
      <w:pPr>
        <w:jc w:val="center"/>
        <w:rPr>
          <w:rFonts w:ascii="Times New Roman" w:hAnsi="Times New Roman" w:cs="Times New Roman"/>
          <w:sz w:val="40"/>
          <w:szCs w:val="40"/>
        </w:rPr>
      </w:pPr>
      <w:r w:rsidRPr="00824F3E">
        <w:rPr>
          <w:rFonts w:ascii="Times New Roman" w:hAnsi="Times New Roman" w:cs="Times New Roman"/>
          <w:sz w:val="40"/>
          <w:szCs w:val="40"/>
        </w:rPr>
        <w:t>M</w:t>
      </w:r>
      <w:r w:rsidR="00824F3E">
        <w:rPr>
          <w:rFonts w:ascii="Times New Roman" w:hAnsi="Times New Roman" w:cs="Times New Roman"/>
          <w:sz w:val="40"/>
          <w:szCs w:val="40"/>
        </w:rPr>
        <w:t>ATERIAL</w:t>
      </w:r>
      <w:r w:rsidRPr="00824F3E">
        <w:rPr>
          <w:rFonts w:ascii="Times New Roman" w:hAnsi="Times New Roman" w:cs="Times New Roman"/>
          <w:sz w:val="40"/>
          <w:szCs w:val="40"/>
        </w:rPr>
        <w:t xml:space="preserve"> </w:t>
      </w:r>
      <w:r w:rsidR="00824F3E">
        <w:rPr>
          <w:rFonts w:ascii="Times New Roman" w:hAnsi="Times New Roman" w:cs="Times New Roman"/>
          <w:sz w:val="40"/>
          <w:szCs w:val="40"/>
        </w:rPr>
        <w:t>PARA</w:t>
      </w:r>
      <w:r w:rsidRPr="00824F3E">
        <w:rPr>
          <w:rFonts w:ascii="Times New Roman" w:hAnsi="Times New Roman" w:cs="Times New Roman"/>
          <w:sz w:val="40"/>
          <w:szCs w:val="40"/>
        </w:rPr>
        <w:t xml:space="preserve"> </w:t>
      </w:r>
      <w:r w:rsidR="00824F3E">
        <w:rPr>
          <w:rFonts w:ascii="Times New Roman" w:hAnsi="Times New Roman" w:cs="Times New Roman"/>
          <w:sz w:val="40"/>
          <w:szCs w:val="40"/>
        </w:rPr>
        <w:t>LA</w:t>
      </w:r>
      <w:r w:rsidRPr="00824F3E">
        <w:rPr>
          <w:rFonts w:ascii="Times New Roman" w:hAnsi="Times New Roman" w:cs="Times New Roman"/>
          <w:sz w:val="40"/>
          <w:szCs w:val="40"/>
        </w:rPr>
        <w:t xml:space="preserve"> </w:t>
      </w:r>
      <w:r w:rsidR="00824F3E">
        <w:rPr>
          <w:rFonts w:ascii="Times New Roman" w:hAnsi="Times New Roman" w:cs="Times New Roman"/>
          <w:sz w:val="40"/>
          <w:szCs w:val="40"/>
        </w:rPr>
        <w:t>FABRICA</w:t>
      </w:r>
      <w:r w:rsidRPr="00824F3E">
        <w:rPr>
          <w:rFonts w:ascii="Times New Roman" w:hAnsi="Times New Roman" w:cs="Times New Roman"/>
          <w:sz w:val="40"/>
          <w:szCs w:val="40"/>
        </w:rPr>
        <w:t xml:space="preserve"> </w:t>
      </w:r>
      <w:r w:rsidR="00824F3E">
        <w:rPr>
          <w:rFonts w:ascii="Times New Roman" w:hAnsi="Times New Roman" w:cs="Times New Roman"/>
          <w:sz w:val="40"/>
          <w:szCs w:val="40"/>
        </w:rPr>
        <w:t>DE</w:t>
      </w:r>
      <w:r w:rsidRPr="00824F3E">
        <w:rPr>
          <w:rFonts w:ascii="Times New Roman" w:hAnsi="Times New Roman" w:cs="Times New Roman"/>
          <w:sz w:val="40"/>
          <w:szCs w:val="40"/>
        </w:rPr>
        <w:t xml:space="preserve"> </w:t>
      </w:r>
      <w:r w:rsidR="00824F3E">
        <w:rPr>
          <w:rFonts w:ascii="Times New Roman" w:hAnsi="Times New Roman" w:cs="Times New Roman"/>
          <w:sz w:val="40"/>
          <w:szCs w:val="40"/>
        </w:rPr>
        <w:t>ATUN</w:t>
      </w:r>
      <w:r w:rsidRPr="00824F3E">
        <w:rPr>
          <w:rFonts w:ascii="Times New Roman" w:hAnsi="Times New Roman" w:cs="Times New Roman"/>
          <w:sz w:val="40"/>
          <w:szCs w:val="40"/>
        </w:rPr>
        <w:t xml:space="preserve"> </w:t>
      </w:r>
      <w:r w:rsidR="00824F3E">
        <w:rPr>
          <w:rFonts w:ascii="Times New Roman" w:hAnsi="Times New Roman" w:cs="Times New Roman"/>
          <w:sz w:val="40"/>
          <w:szCs w:val="40"/>
        </w:rPr>
        <w:t>DE</w:t>
      </w:r>
      <w:r w:rsidRPr="00824F3E">
        <w:rPr>
          <w:rFonts w:ascii="Times New Roman" w:hAnsi="Times New Roman" w:cs="Times New Roman"/>
          <w:sz w:val="40"/>
          <w:szCs w:val="40"/>
        </w:rPr>
        <w:t xml:space="preserve"> A</w:t>
      </w:r>
      <w:r w:rsidR="00824F3E">
        <w:rPr>
          <w:rFonts w:ascii="Times New Roman" w:hAnsi="Times New Roman" w:cs="Times New Roman"/>
          <w:sz w:val="40"/>
          <w:szCs w:val="40"/>
        </w:rPr>
        <w:t xml:space="preserve">NNOBON </w:t>
      </w:r>
    </w:p>
    <w:p w14:paraId="319A0F11" w14:textId="77777777" w:rsidR="00E105D6" w:rsidRPr="002E73B4" w:rsidRDefault="00E105D6" w:rsidP="00E105D6">
      <w:pPr>
        <w:rPr>
          <w:rFonts w:ascii="Times New Roman" w:hAnsi="Times New Roman" w:cs="Times New Roman"/>
          <w:sz w:val="36"/>
          <w:szCs w:val="36"/>
        </w:rPr>
      </w:pPr>
    </w:p>
    <w:p w14:paraId="66B68D8B" w14:textId="77777777" w:rsidR="00E105D6" w:rsidRPr="002E73B4" w:rsidRDefault="00E105D6" w:rsidP="00E10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Relación de Materiales:</w:t>
      </w:r>
    </w:p>
    <w:p w14:paraId="0460F640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Tubería de acero inoxidable</w:t>
      </w:r>
    </w:p>
    <w:p w14:paraId="16D3A62E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Tubería de cobre</w:t>
      </w:r>
    </w:p>
    <w:p w14:paraId="509AFDA3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Tubería flexible aislada</w:t>
      </w:r>
    </w:p>
    <w:p w14:paraId="650148A1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Canaletas de montaje</w:t>
      </w:r>
    </w:p>
    <w:p w14:paraId="7D4C3056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Bandejas eléctricas</w:t>
      </w:r>
    </w:p>
    <w:p w14:paraId="6EE74A00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Bobinas de cables eléctricos</w:t>
      </w:r>
    </w:p>
    <w:p w14:paraId="3A0EDE75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Herramientas de trabajo</w:t>
      </w:r>
    </w:p>
    <w:p w14:paraId="6778FD1A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Bidones de 25 litros de depuradores de agua</w:t>
      </w:r>
    </w:p>
    <w:p w14:paraId="2792BD0B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Rodantes de PVC</w:t>
      </w:r>
    </w:p>
    <w:p w14:paraId="436B065E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25 garrafas de 20 litros de gasolina</w:t>
      </w:r>
    </w:p>
    <w:p w14:paraId="7BE026E7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8 bombonas de gas</w:t>
      </w:r>
    </w:p>
    <w:p w14:paraId="61415531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Cuatro sacos con material de la fábrica</w:t>
      </w:r>
    </w:p>
    <w:p w14:paraId="226E1A96" w14:textId="77777777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Un saco con accesorios de las bombonas de gas</w:t>
      </w:r>
    </w:p>
    <w:p w14:paraId="74FEA18A" w14:textId="5E75E141" w:rsidR="00E105D6" w:rsidRPr="002E73B4" w:rsidRDefault="00E105D6" w:rsidP="00E1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Una garrafa de aceite de motor </w:t>
      </w:r>
    </w:p>
    <w:p w14:paraId="67881C0C" w14:textId="77777777" w:rsidR="00E105D6" w:rsidRPr="002E73B4" w:rsidRDefault="00E105D6" w:rsidP="00E10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Volumen total: 8 m³ (aproximadamente)</w:t>
      </w:r>
    </w:p>
    <w:p w14:paraId="6BA8EE5E" w14:textId="77777777" w:rsidR="00E105D6" w:rsidRPr="002E73B4" w:rsidRDefault="00E105D6" w:rsidP="00E10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E73B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Peso total: 2000 kg</w:t>
      </w:r>
    </w:p>
    <w:p w14:paraId="1822E804" w14:textId="77777777" w:rsidR="00E105D6" w:rsidRPr="00E105D6" w:rsidRDefault="00E105D6" w:rsidP="00E105D6">
      <w:pPr>
        <w:rPr>
          <w:rFonts w:ascii="Times New Roman" w:hAnsi="Times New Roman" w:cs="Times New Roman"/>
        </w:rPr>
      </w:pPr>
    </w:p>
    <w:sectPr w:rsidR="00E105D6" w:rsidRPr="00E1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82669"/>
    <w:multiLevelType w:val="multilevel"/>
    <w:tmpl w:val="A47A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77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D6"/>
    <w:rsid w:val="002E73B4"/>
    <w:rsid w:val="00802765"/>
    <w:rsid w:val="00824F3E"/>
    <w:rsid w:val="00995B56"/>
    <w:rsid w:val="00E105D6"/>
    <w:rsid w:val="00E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BED1"/>
  <w15:chartTrackingRefBased/>
  <w15:docId w15:val="{8F0F5CB2-398A-4A8A-9E7F-722FA2D4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E10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105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Textoennegrita">
    <w:name w:val="Strong"/>
    <w:basedOn w:val="Fuentedeprrafopredeter"/>
    <w:uiPriority w:val="22"/>
    <w:qFormat/>
    <w:rsid w:val="00E105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12</cp:revision>
  <dcterms:created xsi:type="dcterms:W3CDTF">2024-07-16T14:03:00Z</dcterms:created>
  <dcterms:modified xsi:type="dcterms:W3CDTF">2024-07-17T11:10:00Z</dcterms:modified>
</cp:coreProperties>
</file>