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https://wwwn.cdc.gov/nchs/nhanes/search/datapage.aspx?Component=Demographics&amp;Cycle=2017-2020</w:t>
        </w:r>
      </w:hyperlink>
    </w:p>
    <w:p w14:paraId="75D6CF8A" w14:textId="7E8F0D7C" w:rsidR="00BD5324" w:rsidRDefault="00000000">
      <w:pPr>
        <w:rPr>
          <w:rFonts w:ascii="Times New Roman" w:hAnsi="Times New Roman" w:cs="Times New Roman"/>
          <w:sz w:val="24"/>
          <w:szCs w:val="24"/>
        </w:rPr>
      </w:pPr>
      <w:hyperlink r:id="rId6" w:history="1">
        <w:r w:rsidR="00FD6769" w:rsidRPr="00F0276D">
          <w:rPr>
            <w:rStyle w:val="Hyperlink"/>
            <w:rFonts w:ascii="Times New Roman" w:hAnsi="Times New Roman" w:cs="Times New Roman"/>
            <w:sz w:val="24"/>
            <w:szCs w:val="24"/>
          </w:rPr>
          <w:t>https://wwwn.cdc.gov/nchs/nhanes/search/datapage.aspx?Component=Questionnaire&amp;Cycle=2017-2020</w:t>
        </w:r>
      </w:hyperlink>
    </w:p>
    <w:p w14:paraId="32D72616" w14:textId="0EE730E0"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BB568B" w:rsidRPr="00A22D2D">
          <w:rPr>
            <w:rStyle w:val="Hyperlink"/>
            <w:rFonts w:ascii="Times New Roman" w:hAnsi="Times New Roman" w:cs="Times New Roman"/>
            <w:sz w:val="24"/>
            <w:szCs w:val="24"/>
          </w:rPr>
          <w:t>https://wwwn.cdc.gov/Nchs/Nhanes/2017-2018/P_DEMO.htm</w:t>
        </w:r>
      </w:hyperlink>
    </w:p>
    <w:p w14:paraId="7872AB24" w14:textId="1FA4E671" w:rsidR="00BD5324" w:rsidRDefault="0096039F" w:rsidP="0028257B">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B568B" w:rsidRPr="00A22D2D">
          <w:rPr>
            <w:rStyle w:val="Hyperlink"/>
            <w:rFonts w:ascii="Times New Roman" w:hAnsi="Times New Roman" w:cs="Times New Roman"/>
            <w:sz w:val="24"/>
            <w:szCs w:val="24"/>
          </w:rPr>
          <w:t>https://wwwn.cdc.gov/Nchs/Nhanes/2017-2018/P_DIQ.htm</w:t>
        </w:r>
      </w:hyperlink>
      <w:r w:rsidR="0028257B">
        <w:rPr>
          <w:rFonts w:ascii="Times New Roman" w:hAnsi="Times New Roman" w:cs="Times New Roman"/>
          <w:sz w:val="24"/>
          <w:szCs w:val="24"/>
        </w:rPr>
        <w:t xml:space="preserve"> </w:t>
      </w:r>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 xml:space="preserve">2017-2018 </w:t>
      </w:r>
      <w:proofErr w:type="spellStart"/>
      <w:r>
        <w:rPr>
          <w:rFonts w:ascii="Times New Roman" w:hAnsi="Times New Roman" w:cs="Times New Roman"/>
          <w:sz w:val="24"/>
          <w:szCs w:val="24"/>
        </w:rPr>
        <w:t>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proofErr w:type="spellEnd"/>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 xml:space="preserve">No. of records in 2017-2018 </w:t>
      </w:r>
      <w:proofErr w:type="spellStart"/>
      <w:r>
        <w:rPr>
          <w:rFonts w:ascii="Times New Roman" w:hAnsi="Times New Roman" w:cs="Times New Roman"/>
          <w:sz w:val="24"/>
          <w:szCs w:val="24"/>
        </w:rPr>
        <w:t>diabetic_questionnaire</w:t>
      </w:r>
      <w:proofErr w:type="spellEnd"/>
      <w:r>
        <w:rPr>
          <w:rFonts w:ascii="Times New Roman" w:hAnsi="Times New Roman" w:cs="Times New Roman"/>
          <w:sz w:val="24"/>
          <w:szCs w:val="24"/>
        </w:rPr>
        <w:t xml:space="preserv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t xml:space="preserve">Distributions of Age, Gender, Race, Ethnicity,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 xml:space="preserve">.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Distributions of Age, Race, </w:t>
      </w:r>
      <w:proofErr w:type="spellStart"/>
      <w:r>
        <w:rPr>
          <w:rFonts w:ascii="Times New Roman" w:hAnsi="Times New Roman" w:cs="Times New Roman"/>
          <w:color w:val="000000"/>
          <w:sz w:val="24"/>
          <w:szCs w:val="24"/>
        </w:rPr>
        <w:t>Edn</w:t>
      </w:r>
      <w:proofErr w:type="spellEnd"/>
      <w:r>
        <w:rPr>
          <w:rFonts w:ascii="Times New Roman" w:hAnsi="Times New Roman" w:cs="Times New Roman"/>
          <w:color w:val="000000"/>
          <w:sz w:val="24"/>
          <w:szCs w:val="24"/>
        </w:rPr>
        <w:t xml:space="preserve">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DM</w:t>
      </w:r>
      <w:proofErr w:type="spellEnd"/>
      <w:r>
        <w:rPr>
          <w:rFonts w:ascii="Times New Roman" w:hAnsi="Times New Roman" w:cs="Times New Roman"/>
          <w:color w:val="000000"/>
          <w:sz w:val="24"/>
          <w:szCs w:val="24"/>
        </w:rPr>
        <w:t xml:space="preserve">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JAMA </w:t>
      </w:r>
      <w:proofErr w:type="spellStart"/>
      <w:r>
        <w:rPr>
          <w:rFonts w:ascii="Times New Roman" w:hAnsi="Times New Roman" w:cs="Times New Roman"/>
          <w:sz w:val="24"/>
          <w:szCs w:val="24"/>
        </w:rPr>
        <w:t>Ophthalmol</w:t>
      </w:r>
      <w:proofErr w:type="spellEnd"/>
      <w:r>
        <w:rPr>
          <w:rFonts w:ascii="Times New Roman" w:hAnsi="Times New Roman" w:cs="Times New Roman"/>
          <w:sz w:val="24"/>
          <w:szCs w:val="24"/>
        </w:rPr>
        <w:t>.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w:t>
      </w:r>
      <w:proofErr w:type="spellStart"/>
      <w:r>
        <w:rPr>
          <w:rFonts w:ascii="Times New Roman" w:hAnsi="Times New Roman" w:cs="Times New Roman"/>
          <w:sz w:val="24"/>
          <w:szCs w:val="24"/>
        </w:rPr>
        <w:t>MarketScan</w:t>
      </w:r>
      <w:proofErr w:type="spellEnd"/>
      <w:r>
        <w:rPr>
          <w:rFonts w:ascii="Times New Roman" w:hAnsi="Times New Roman" w:cs="Times New Roman"/>
          <w:sz w:val="24"/>
          <w:szCs w:val="24"/>
        </w:rPr>
        <w:t xml:space="preserve">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w:t>
      </w:r>
      <w:proofErr w:type="spellStart"/>
      <w:r>
        <w:t>xport</w:t>
      </w:r>
      <w:proofErr w:type="spellEnd"/>
      <w:r>
        <w:t xml:space="preserve"> package: </w:t>
      </w:r>
      <w:r w:rsidRPr="005D6128">
        <w:rPr>
          <w:i/>
          <w:iCs/>
        </w:rPr>
        <w:t xml:space="preserve">python3 -m pip install </w:t>
      </w:r>
      <w:proofErr w:type="spellStart"/>
      <w:r w:rsidRPr="005D6128">
        <w:rPr>
          <w:i/>
          <w:iCs/>
        </w:rPr>
        <w:t>xport</w:t>
      </w:r>
      <w:proofErr w:type="spellEnd"/>
      <w:r w:rsidRPr="005D6128">
        <w:rPr>
          <w:i/>
          <w:iCs/>
        </w:rPr>
        <w: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w:t>
      </w:r>
      <w:proofErr w:type="spellStart"/>
      <w:r w:rsidRPr="005D6128">
        <w:rPr>
          <w:i/>
          <w:iCs/>
        </w:rPr>
        <w:t>executable.app</w:t>
      </w:r>
      <w:proofErr w:type="spellEnd"/>
    </w:p>
    <w:p w14:paraId="27552FCA" w14:textId="59EDCC82" w:rsidR="005D262D" w:rsidRDefault="0079308A">
      <w:r>
        <w:t>T</w:t>
      </w:r>
      <w:r w:rsidR="005D6128">
        <w:t xml:space="preserve">o list what folders are in a directory: </w:t>
      </w:r>
      <w:proofErr w:type="spellStart"/>
      <w:r w:rsidR="005D6128" w:rsidRPr="005D6128">
        <w:rPr>
          <w:i/>
          <w:iCs/>
        </w:rPr>
        <w:t>dir</w:t>
      </w:r>
      <w:proofErr w:type="spellEnd"/>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Default="0079308A">
      <w:pPr>
        <w:rPr>
          <w:i/>
          <w:iCs/>
        </w:rPr>
      </w:pPr>
      <w:r>
        <w:t>T</w:t>
      </w:r>
      <w:r w:rsidR="005D6128">
        <w:t xml:space="preserve">o convert a </w:t>
      </w:r>
      <w:proofErr w:type="spellStart"/>
      <w:r w:rsidR="005D6128">
        <w:t>xpt</w:t>
      </w:r>
      <w:proofErr w:type="spellEnd"/>
      <w:r w:rsidR="005D6128">
        <w:t xml:space="preserve"> file to csv: </w:t>
      </w:r>
      <w:r w:rsidR="005D6128" w:rsidRPr="005D6128">
        <w:rPr>
          <w:i/>
          <w:iCs/>
        </w:rPr>
        <w:t xml:space="preserve">python3 -m </w:t>
      </w:r>
      <w:proofErr w:type="spellStart"/>
      <w:r w:rsidR="005D6128" w:rsidRPr="005D6128">
        <w:rPr>
          <w:i/>
          <w:iCs/>
        </w:rPr>
        <w:t>xport</w:t>
      </w:r>
      <w:proofErr w:type="spellEnd"/>
      <w:r w:rsidR="005D6128" w:rsidRPr="005D6128">
        <w:rPr>
          <w:i/>
          <w:iCs/>
        </w:rPr>
        <w:t xml:space="preserve"> </w:t>
      </w:r>
      <w:proofErr w:type="spellStart"/>
      <w:r w:rsidR="005D6128" w:rsidRPr="005D6128">
        <w:rPr>
          <w:i/>
          <w:iCs/>
        </w:rPr>
        <w:t>filename.xpt</w:t>
      </w:r>
      <w:proofErr w:type="spellEnd"/>
      <w:r w:rsidR="005D6128" w:rsidRPr="005D6128">
        <w:rPr>
          <w:i/>
          <w:iCs/>
        </w:rPr>
        <w:t xml:space="preserve"> &gt; filename.csv</w:t>
      </w:r>
    </w:p>
    <w:p w14:paraId="7724E32D" w14:textId="348AC14A" w:rsidR="00494CAD" w:rsidRPr="00494CAD" w:rsidRDefault="00494CAD">
      <w:r>
        <w:lastRenderedPageBreak/>
        <w:t xml:space="preserve">Using temporary access token (only available till August 22, 2024) for GitHub access, remote access denied otherwise. Remote access token: </w:t>
      </w:r>
    </w:p>
    <w:p w14:paraId="35E61247" w14:textId="07CF8E8C" w:rsidR="005D262D" w:rsidRDefault="00B73FA4">
      <w:r>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27936C6" w14:textId="66FAAACD" w:rsidR="005D262D" w:rsidRDefault="00561EDE">
      <w:r>
        <w:t>This will allow us to do a Pearson Chi-square test to see if the distribution of race for diabetics is the same as the overall surveyed, and likewise with the distribution of race and education for diabetics vs overall.</w:t>
      </w:r>
    </w:p>
    <w:p w14:paraId="7C734724" w14:textId="0A9C0E62" w:rsidR="005D262D" w:rsidRDefault="009339A0">
      <w:r>
        <w:t>The purpose of the Chi-square tests is to see which demographic variable’s distribution has a statistically significant difference to the overall survey distribution for that demographic variable. That way we know which variables to focus on in our plots.</w:t>
      </w:r>
      <w:r w:rsidR="000F7658">
        <w:t xml:space="preserve"> We can also use that to reduce the complexity of any linear models involving demographics and diabetes (or pre-diabetes or diabetic retinopathy).</w:t>
      </w:r>
    </w:p>
    <w:p w14:paraId="2C470285" w14:textId="7D5B173A" w:rsidR="00900D7C" w:rsidRDefault="00900D7C">
      <w:r>
        <w:t xml:space="preserve">Example of plots to have in paper: </w:t>
      </w:r>
      <w:hyperlink r:id="rId9" w:history="1">
        <w:r w:rsidRPr="00A22D2D">
          <w:rPr>
            <w:rStyle w:val="Hyperlink"/>
          </w:rPr>
          <w:t>https://medium.com/the-researchers-guide/introduction-to-dodged-bar-plot-matplotlib-pandas-and-seaborn-visualization-guide-part-2-1-49e2fbc9ac39</w:t>
        </w:r>
      </w:hyperlink>
    </w:p>
    <w:p w14:paraId="73C76485" w14:textId="77777777" w:rsidR="00900D7C" w:rsidRDefault="00900D7C"/>
    <w:p w14:paraId="75DD5578" w14:textId="77777777" w:rsidR="005D262D" w:rsidRDefault="005D262D"/>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000000"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3"/>
  </w:num>
  <w:num w:numId="2" w16cid:durableId="438069975">
    <w:abstractNumId w:val="1"/>
  </w:num>
  <w:num w:numId="3" w16cid:durableId="29694317">
    <w:abstractNumId w:val="0"/>
  </w:num>
  <w:num w:numId="4" w16cid:durableId="585194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0F7658"/>
    <w:rsid w:val="0013698C"/>
    <w:rsid w:val="001A032B"/>
    <w:rsid w:val="002718EA"/>
    <w:rsid w:val="0028257B"/>
    <w:rsid w:val="002C6213"/>
    <w:rsid w:val="00335110"/>
    <w:rsid w:val="003A2CD2"/>
    <w:rsid w:val="003D1870"/>
    <w:rsid w:val="003E6777"/>
    <w:rsid w:val="00443F42"/>
    <w:rsid w:val="00456A4B"/>
    <w:rsid w:val="00475BBD"/>
    <w:rsid w:val="00494CAD"/>
    <w:rsid w:val="0050182E"/>
    <w:rsid w:val="00561EDE"/>
    <w:rsid w:val="005D262D"/>
    <w:rsid w:val="005D6128"/>
    <w:rsid w:val="00643AE6"/>
    <w:rsid w:val="00676CF5"/>
    <w:rsid w:val="00714722"/>
    <w:rsid w:val="007505CE"/>
    <w:rsid w:val="00754C23"/>
    <w:rsid w:val="0079308A"/>
    <w:rsid w:val="00834F7A"/>
    <w:rsid w:val="00852902"/>
    <w:rsid w:val="008A37AE"/>
    <w:rsid w:val="00900D7C"/>
    <w:rsid w:val="009328C3"/>
    <w:rsid w:val="009339A0"/>
    <w:rsid w:val="00952CA5"/>
    <w:rsid w:val="0096039F"/>
    <w:rsid w:val="0099632E"/>
    <w:rsid w:val="009B6E42"/>
    <w:rsid w:val="00A340A0"/>
    <w:rsid w:val="00AC219F"/>
    <w:rsid w:val="00AE6B37"/>
    <w:rsid w:val="00B73FA4"/>
    <w:rsid w:val="00BB568B"/>
    <w:rsid w:val="00BD5324"/>
    <w:rsid w:val="00BE2472"/>
    <w:rsid w:val="00BF5562"/>
    <w:rsid w:val="00C31E43"/>
    <w:rsid w:val="00CC56A7"/>
    <w:rsid w:val="00E56D4E"/>
    <w:rsid w:val="00E86EA7"/>
    <w:rsid w:val="00E9512F"/>
    <w:rsid w:val="00ED43C7"/>
    <w:rsid w:val="00FB2DED"/>
    <w:rsid w:val="00FD52CA"/>
    <w:rsid w:val="00FD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 w:type="table" w:styleId="TableGrid">
    <w:name w:val="Table Grid"/>
    <w:basedOn w:val="TableNormal"/>
    <w:uiPriority w:val="39"/>
    <w:rsid w:val="007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18/P_DIQ.htm" TargetMode="External"/><Relationship Id="rId3" Type="http://schemas.openxmlformats.org/officeDocument/2006/relationships/settings" Target="settings.xml"/><Relationship Id="rId7" Type="http://schemas.openxmlformats.org/officeDocument/2006/relationships/hyperlink" Target="https://wwwn.cdc.gov/Nchs/Nhanes/2017-2018/P_DE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medium.com/the-researchers-guide/introduction-to-dodged-bar-plot-matplotlib-pandas-and-seaborn-visualization-guide-part-2-1-49e2fbc9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18749</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44</cp:revision>
  <dcterms:created xsi:type="dcterms:W3CDTF">2024-01-04T21:05:00Z</dcterms:created>
  <dcterms:modified xsi:type="dcterms:W3CDTF">2024-05-24T04:59:00Z</dcterms:modified>
</cp:coreProperties>
</file>