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CD368" w14:textId="77777777" w:rsidR="00277D15" w:rsidRDefault="0027115C" w:rsidP="00E442FF">
      <w:pPr>
        <w:spacing w:after="0" w:line="360" w:lineRule="auto"/>
      </w:pPr>
      <w:proofErr w:type="spellStart"/>
      <w:r w:rsidRPr="0027115C">
        <w:t>MassOmics</w:t>
      </w:r>
      <w:proofErr w:type="spellEnd"/>
      <w:r w:rsidRPr="0027115C">
        <w:t xml:space="preserve">: An R package of </w:t>
      </w:r>
      <w:r w:rsidR="001F6FAB">
        <w:t xml:space="preserve">a </w:t>
      </w:r>
      <w:r w:rsidRPr="0027115C">
        <w:t xml:space="preserve">cross-platform data </w:t>
      </w:r>
      <w:r w:rsidR="006B416B">
        <w:t>processing</w:t>
      </w:r>
      <w:r w:rsidRPr="0027115C">
        <w:t xml:space="preserve"> pipeline for large-scale GC-MS untargeted metabolomics datasets.</w:t>
      </w:r>
    </w:p>
    <w:p w14:paraId="0D871773" w14:textId="77777777" w:rsidR="000D6320" w:rsidRPr="0027115C" w:rsidRDefault="000D6320" w:rsidP="00E442FF">
      <w:pPr>
        <w:spacing w:after="0" w:line="360" w:lineRule="auto"/>
      </w:pPr>
    </w:p>
    <w:p w14:paraId="129B4204" w14:textId="7085A7D6" w:rsidR="0027115C" w:rsidRPr="000D6320" w:rsidRDefault="0027115C" w:rsidP="00E442FF">
      <w:pPr>
        <w:pStyle w:val="Author-Group"/>
        <w:spacing w:before="0" w:line="360" w:lineRule="auto"/>
        <w:rPr>
          <w:rFonts w:ascii="Verdana" w:hAnsi="Verdana"/>
          <w:sz w:val="20"/>
          <w:szCs w:val="22"/>
        </w:rPr>
      </w:pPr>
      <w:r w:rsidRPr="000D6320">
        <w:rPr>
          <w:rFonts w:ascii="Verdana" w:hAnsi="Verdana"/>
          <w:sz w:val="20"/>
          <w:szCs w:val="22"/>
        </w:rPr>
        <w:t>Guangyu GUO</w:t>
      </w:r>
      <w:r w:rsidRPr="000D6320">
        <w:rPr>
          <w:rFonts w:ascii="Verdana" w:hAnsi="Verdana"/>
          <w:sz w:val="20"/>
          <w:szCs w:val="22"/>
          <w:vertAlign w:val="superscript"/>
        </w:rPr>
        <w:t>1</w:t>
      </w:r>
      <w:r w:rsidR="000D6320">
        <w:rPr>
          <w:rFonts w:ascii="Verdana" w:hAnsi="Verdana"/>
          <w:sz w:val="20"/>
          <w:szCs w:val="22"/>
          <w:vertAlign w:val="superscript"/>
        </w:rPr>
        <w:t>#</w:t>
      </w:r>
      <w:r w:rsidRPr="000D6320">
        <w:rPr>
          <w:rFonts w:ascii="Verdana" w:hAnsi="Verdana"/>
          <w:sz w:val="20"/>
          <w:szCs w:val="22"/>
        </w:rPr>
        <w:t>, Elizabeth J. McKenzie</w:t>
      </w:r>
      <w:r w:rsidRPr="000D6320">
        <w:rPr>
          <w:rFonts w:ascii="Verdana" w:hAnsi="Verdana"/>
          <w:sz w:val="20"/>
          <w:szCs w:val="22"/>
          <w:vertAlign w:val="superscript"/>
        </w:rPr>
        <w:t>2</w:t>
      </w:r>
      <w:r w:rsidR="000D6320">
        <w:rPr>
          <w:rFonts w:ascii="Verdana" w:hAnsi="Verdana"/>
          <w:sz w:val="20"/>
          <w:szCs w:val="22"/>
          <w:vertAlign w:val="superscript"/>
        </w:rPr>
        <w:t>#</w:t>
      </w:r>
      <w:r w:rsidRPr="000D6320">
        <w:rPr>
          <w:rFonts w:ascii="Verdana" w:hAnsi="Verdana"/>
          <w:sz w:val="20"/>
          <w:szCs w:val="22"/>
        </w:rPr>
        <w:t>, M. Beatrix Jones</w:t>
      </w:r>
      <w:r w:rsidR="006B416B">
        <w:rPr>
          <w:rFonts w:ascii="Verdana" w:hAnsi="Verdana"/>
          <w:sz w:val="20"/>
          <w:szCs w:val="22"/>
          <w:vertAlign w:val="superscript"/>
        </w:rPr>
        <w:t>3</w:t>
      </w:r>
      <w:r w:rsidRPr="000D6320">
        <w:rPr>
          <w:rFonts w:ascii="Verdana" w:hAnsi="Verdana"/>
          <w:sz w:val="20"/>
          <w:szCs w:val="22"/>
        </w:rPr>
        <w:t>, Erica Zarate</w:t>
      </w:r>
      <w:r w:rsidR="006B416B">
        <w:rPr>
          <w:rFonts w:ascii="Verdana" w:hAnsi="Verdana"/>
          <w:sz w:val="20"/>
          <w:szCs w:val="22"/>
          <w:vertAlign w:val="superscript"/>
        </w:rPr>
        <w:t>4</w:t>
      </w:r>
      <w:r w:rsidR="006B416B" w:rsidRPr="000D6320">
        <w:rPr>
          <w:rFonts w:ascii="Verdana" w:hAnsi="Verdana"/>
          <w:sz w:val="20"/>
          <w:szCs w:val="22"/>
        </w:rPr>
        <w:t>, Jamie V. de Seymour</w:t>
      </w:r>
      <w:r w:rsidR="006B416B">
        <w:rPr>
          <w:rFonts w:ascii="Verdana" w:hAnsi="Verdana"/>
          <w:sz w:val="20"/>
          <w:szCs w:val="22"/>
          <w:vertAlign w:val="superscript"/>
        </w:rPr>
        <w:t>5</w:t>
      </w:r>
      <w:r w:rsidRPr="000D6320">
        <w:rPr>
          <w:rFonts w:ascii="Verdana" w:hAnsi="Verdana"/>
          <w:sz w:val="20"/>
          <w:szCs w:val="22"/>
        </w:rPr>
        <w:t>, Philip N. Baker</w:t>
      </w:r>
      <w:r w:rsidR="00EB72AC">
        <w:rPr>
          <w:rFonts w:ascii="Verdana" w:hAnsi="Verdana" w:hint="eastAsia"/>
          <w:sz w:val="20"/>
          <w:szCs w:val="22"/>
          <w:vertAlign w:val="superscript"/>
          <w:lang w:eastAsia="zh-CN"/>
        </w:rPr>
        <w:t>2</w:t>
      </w:r>
      <w:r w:rsidRPr="000D6320">
        <w:rPr>
          <w:rFonts w:ascii="Verdana" w:hAnsi="Verdana"/>
          <w:sz w:val="20"/>
          <w:szCs w:val="22"/>
        </w:rPr>
        <w:t>, Silas G. Villas-Bôas</w:t>
      </w:r>
      <w:r w:rsidR="00EB72AC">
        <w:rPr>
          <w:rFonts w:ascii="Verdana" w:hAnsi="Verdana" w:hint="eastAsia"/>
          <w:sz w:val="20"/>
          <w:szCs w:val="22"/>
          <w:vertAlign w:val="superscript"/>
          <w:lang w:eastAsia="zh-CN"/>
        </w:rPr>
        <w:t>4</w:t>
      </w:r>
      <w:r w:rsidR="006B416B" w:rsidRPr="000D6320">
        <w:rPr>
          <w:rFonts w:ascii="Verdana" w:hAnsi="Verdana"/>
          <w:sz w:val="20"/>
          <w:szCs w:val="22"/>
        </w:rPr>
        <w:t>, Ting-Li Han</w:t>
      </w:r>
      <w:r w:rsidR="006B416B">
        <w:rPr>
          <w:rFonts w:ascii="Verdana" w:hAnsi="Verdana"/>
          <w:sz w:val="20"/>
          <w:szCs w:val="22"/>
          <w:vertAlign w:val="superscript"/>
        </w:rPr>
        <w:t>6</w:t>
      </w:r>
      <w:r w:rsidR="006B416B" w:rsidRPr="000D6320">
        <w:rPr>
          <w:rFonts w:ascii="Verdana" w:hAnsi="Verdana"/>
          <w:sz w:val="20"/>
          <w:szCs w:val="22"/>
          <w:vertAlign w:val="superscript"/>
        </w:rPr>
        <w:t>*</w:t>
      </w:r>
    </w:p>
    <w:p w14:paraId="69403F82" w14:textId="77777777" w:rsidR="000D6320" w:rsidRPr="00E442FF" w:rsidRDefault="000D6320" w:rsidP="00E442FF">
      <w:pPr>
        <w:pStyle w:val="Author-Affiliation"/>
        <w:spacing w:before="0" w:after="0" w:line="360" w:lineRule="auto"/>
        <w:rPr>
          <w:rFonts w:ascii="Verdana" w:hAnsi="Verdana"/>
          <w:szCs w:val="22"/>
          <w:vertAlign w:val="superscript"/>
        </w:rPr>
      </w:pPr>
      <w:bookmarkStart w:id="0" w:name="_Hlk490172765"/>
    </w:p>
    <w:p w14:paraId="60D156EF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1</w:t>
      </w:r>
      <w:r w:rsidRPr="00E442FF">
        <w:rPr>
          <w:rFonts w:ascii="Verdana" w:hAnsi="Verdana"/>
          <w:szCs w:val="22"/>
        </w:rPr>
        <w:t xml:space="preserve">Mass spectrometry hub, The University of Auckland, </w:t>
      </w:r>
      <w:r w:rsidR="000D6320" w:rsidRPr="00E442FF">
        <w:rPr>
          <w:rFonts w:ascii="Verdana" w:hAnsi="Verdana"/>
          <w:szCs w:val="22"/>
        </w:rPr>
        <w:t>New Zealand</w:t>
      </w:r>
      <w:r w:rsidRPr="00E442FF">
        <w:rPr>
          <w:rFonts w:ascii="Verdana" w:hAnsi="Verdana"/>
          <w:szCs w:val="22"/>
        </w:rPr>
        <w:t xml:space="preserve"> </w:t>
      </w:r>
    </w:p>
    <w:p w14:paraId="5A010090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2</w:t>
      </w:r>
      <w:r w:rsidRPr="00E442FF">
        <w:rPr>
          <w:rFonts w:ascii="Verdana" w:hAnsi="Verdana"/>
          <w:szCs w:val="22"/>
        </w:rPr>
        <w:t xml:space="preserve">Liggins Institute, the University of Auckland, </w:t>
      </w:r>
      <w:r w:rsidR="000D6320" w:rsidRPr="00E442FF">
        <w:rPr>
          <w:rFonts w:ascii="Verdana" w:hAnsi="Verdana"/>
          <w:szCs w:val="22"/>
        </w:rPr>
        <w:t>New Zealand</w:t>
      </w:r>
    </w:p>
    <w:bookmarkEnd w:id="0"/>
    <w:p w14:paraId="737F8A2C" w14:textId="77777777" w:rsidR="0027115C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3</w:t>
      </w:r>
      <w:r w:rsidRPr="00E442FF">
        <w:rPr>
          <w:rFonts w:ascii="Verdana" w:hAnsi="Verdana"/>
          <w:szCs w:val="22"/>
        </w:rPr>
        <w:t>Department of Statistics</w:t>
      </w:r>
      <w:r w:rsidR="0027115C" w:rsidRPr="00E442FF">
        <w:rPr>
          <w:rFonts w:ascii="Verdana" w:hAnsi="Verdana"/>
          <w:szCs w:val="22"/>
        </w:rPr>
        <w:t xml:space="preserve">, </w:t>
      </w:r>
      <w:proofErr w:type="gramStart"/>
      <w:r w:rsidRPr="00E442FF">
        <w:rPr>
          <w:rFonts w:ascii="Verdana" w:hAnsi="Verdana"/>
          <w:szCs w:val="22"/>
        </w:rPr>
        <w:t>The</w:t>
      </w:r>
      <w:proofErr w:type="gramEnd"/>
      <w:r w:rsidRPr="00E442FF">
        <w:rPr>
          <w:rFonts w:ascii="Verdana" w:hAnsi="Verdana"/>
          <w:szCs w:val="22"/>
        </w:rPr>
        <w:t xml:space="preserve"> University of Auckland</w:t>
      </w:r>
      <w:r w:rsidR="0027115C" w:rsidRPr="00E442FF">
        <w:rPr>
          <w:rFonts w:ascii="Verdana" w:hAnsi="Verdana"/>
          <w:szCs w:val="22"/>
        </w:rPr>
        <w:t>, New Zealand</w:t>
      </w:r>
    </w:p>
    <w:p w14:paraId="7EE4AF78" w14:textId="77777777" w:rsidR="0027115C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4</w:t>
      </w:r>
      <w:r w:rsidR="0027115C" w:rsidRPr="00E442FF">
        <w:rPr>
          <w:rFonts w:ascii="Verdana" w:hAnsi="Verdana"/>
          <w:szCs w:val="22"/>
        </w:rPr>
        <w:t>School of Biological Sciences, University of Auckland, New Zealand</w:t>
      </w:r>
    </w:p>
    <w:p w14:paraId="262C879B" w14:textId="77777777" w:rsidR="006B416B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5</w:t>
      </w:r>
      <w:r w:rsidRPr="00E442FF">
        <w:rPr>
          <w:rFonts w:ascii="Verdana" w:hAnsi="Verdana"/>
          <w:szCs w:val="22"/>
        </w:rPr>
        <w:t>Massey</w:t>
      </w:r>
      <w:r w:rsidR="001F6FAB">
        <w:rPr>
          <w:rFonts w:ascii="Verdana" w:hAnsi="Verdana"/>
          <w:szCs w:val="22"/>
        </w:rPr>
        <w:t xml:space="preserve"> </w:t>
      </w:r>
      <w:r w:rsidRPr="00E442FF">
        <w:rPr>
          <w:rFonts w:ascii="Verdana" w:hAnsi="Verdana"/>
          <w:szCs w:val="22"/>
        </w:rPr>
        <w:t>University, Auckland, New Zealand</w:t>
      </w:r>
    </w:p>
    <w:p w14:paraId="155B0646" w14:textId="77777777" w:rsidR="006B416B" w:rsidRPr="00E442FF" w:rsidRDefault="006B416B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6</w:t>
      </w:r>
      <w:r w:rsidRPr="00E442FF">
        <w:rPr>
          <w:rFonts w:ascii="Verdana" w:hAnsi="Verdana"/>
          <w:szCs w:val="22"/>
        </w:rPr>
        <w:t xml:space="preserve">Department of Obstetrics and </w:t>
      </w:r>
      <w:proofErr w:type="spellStart"/>
      <w:r w:rsidRPr="00E442FF">
        <w:rPr>
          <w:rFonts w:ascii="Verdana" w:hAnsi="Verdana"/>
          <w:szCs w:val="22"/>
        </w:rPr>
        <w:t>Gynaecology</w:t>
      </w:r>
      <w:proofErr w:type="spellEnd"/>
      <w:r w:rsidRPr="00E442FF">
        <w:rPr>
          <w:rFonts w:ascii="Verdana" w:hAnsi="Verdana"/>
          <w:szCs w:val="22"/>
        </w:rPr>
        <w:t>, the First Affiliated Hospital of Chongqing Medical University, China</w:t>
      </w:r>
    </w:p>
    <w:p w14:paraId="600C7169" w14:textId="77777777" w:rsidR="000D6320" w:rsidRPr="00E442FF" w:rsidRDefault="000D6320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  <w:vertAlign w:val="superscript"/>
        </w:rPr>
        <w:t>#</w:t>
      </w:r>
      <w:r w:rsidRPr="00E442FF">
        <w:rPr>
          <w:rFonts w:ascii="Verdana" w:hAnsi="Verdana"/>
          <w:szCs w:val="22"/>
        </w:rPr>
        <w:t>Co-first author</w:t>
      </w:r>
    </w:p>
    <w:p w14:paraId="5867BC02" w14:textId="77777777" w:rsidR="0027115C" w:rsidRPr="00E442FF" w:rsidRDefault="0027115C" w:rsidP="00E442FF">
      <w:pPr>
        <w:pStyle w:val="Author-Affiliation"/>
        <w:spacing w:before="0" w:after="0" w:line="360" w:lineRule="auto"/>
        <w:rPr>
          <w:rFonts w:ascii="Verdana" w:hAnsi="Verdana"/>
          <w:szCs w:val="22"/>
        </w:rPr>
      </w:pPr>
      <w:r w:rsidRPr="00E442FF">
        <w:rPr>
          <w:rFonts w:ascii="Verdana" w:hAnsi="Verdana"/>
          <w:szCs w:val="22"/>
        </w:rPr>
        <w:t>*Corresponding author:</w:t>
      </w:r>
      <w:r w:rsidRPr="00E442FF" w:rsidDel="00356C9A">
        <w:rPr>
          <w:rFonts w:ascii="Verdana" w:hAnsi="Verdana"/>
          <w:szCs w:val="22"/>
        </w:rPr>
        <w:t xml:space="preserve"> </w:t>
      </w:r>
      <w:r w:rsidR="000D6320" w:rsidRPr="00E442FF">
        <w:rPr>
          <w:rFonts w:ascii="Verdana" w:hAnsi="Verdana"/>
          <w:szCs w:val="22"/>
        </w:rPr>
        <w:t>Ting-Li Han</w:t>
      </w:r>
      <w:r w:rsidR="00B31C8B">
        <w:rPr>
          <w:rFonts w:ascii="Verdana" w:hAnsi="Verdana"/>
          <w:szCs w:val="22"/>
        </w:rPr>
        <w:t xml:space="preserve"> </w:t>
      </w:r>
      <w:r w:rsidRPr="00E442FF">
        <w:rPr>
          <w:rFonts w:ascii="Verdana" w:hAnsi="Verdana"/>
          <w:szCs w:val="22"/>
        </w:rPr>
        <w:t xml:space="preserve">E-mail address: </w:t>
      </w:r>
      <w:r w:rsidR="000D6320" w:rsidRPr="00E442FF">
        <w:rPr>
          <w:rFonts w:ascii="Verdana" w:hAnsi="Verdana"/>
          <w:szCs w:val="22"/>
        </w:rPr>
        <w:t>morgan_han_0816@hotmail.com</w:t>
      </w:r>
    </w:p>
    <w:p w14:paraId="1EA48407" w14:textId="77777777" w:rsidR="0027115C" w:rsidRPr="0027115C" w:rsidRDefault="0027115C" w:rsidP="00E442FF">
      <w:pPr>
        <w:pStyle w:val="Abstract-Head"/>
        <w:spacing w:before="0" w:after="0" w:line="360" w:lineRule="auto"/>
        <w:rPr>
          <w:rFonts w:ascii="Verdana" w:hAnsi="Verdana"/>
          <w:sz w:val="22"/>
          <w:szCs w:val="22"/>
        </w:rPr>
      </w:pPr>
    </w:p>
    <w:p w14:paraId="2869B837" w14:textId="6432B43A" w:rsidR="0027115C" w:rsidRDefault="0027115C" w:rsidP="00E442FF">
      <w:pPr>
        <w:spacing w:line="360" w:lineRule="auto"/>
        <w:jc w:val="both"/>
      </w:pPr>
      <w:r w:rsidRPr="00E442FF">
        <w:rPr>
          <w:sz w:val="20"/>
        </w:rPr>
        <w:t>Large-scale gas chromatog</w:t>
      </w:r>
      <w:r w:rsidR="00092522" w:rsidRPr="00E442FF">
        <w:rPr>
          <w:sz w:val="20"/>
        </w:rPr>
        <w:t xml:space="preserve">raphy-mass spectrometry (GC-MS) </w:t>
      </w:r>
      <w:r w:rsidRPr="00E442FF">
        <w:rPr>
          <w:sz w:val="20"/>
        </w:rPr>
        <w:t xml:space="preserve">based </w:t>
      </w:r>
      <w:r w:rsidR="00092522" w:rsidRPr="00E442FF">
        <w:rPr>
          <w:sz w:val="20"/>
        </w:rPr>
        <w:t xml:space="preserve">untargeted </w:t>
      </w:r>
      <w:r w:rsidRPr="00E442FF">
        <w:rPr>
          <w:sz w:val="20"/>
        </w:rPr>
        <w:t xml:space="preserve">metabolomics, where hundreds or thousands of samples are </w:t>
      </w:r>
      <w:r w:rsidRPr="00E442FF">
        <w:rPr>
          <w:noProof/>
          <w:sz w:val="20"/>
        </w:rPr>
        <w:t>analysed</w:t>
      </w:r>
      <w:r w:rsidRPr="00E442FF">
        <w:rPr>
          <w:sz w:val="20"/>
        </w:rPr>
        <w:t xml:space="preserve"> over a period of weeks or months, has specific challenges. These include variation in instrument performance, signal intensity loss due to column ag</w:t>
      </w:r>
      <w:r w:rsidR="00AF0763" w:rsidRPr="00E442FF">
        <w:rPr>
          <w:sz w:val="20"/>
        </w:rPr>
        <w:t>e</w:t>
      </w:r>
      <w:r w:rsidRPr="00E442FF">
        <w:rPr>
          <w:sz w:val="20"/>
        </w:rPr>
        <w:t xml:space="preserve">ing, </w:t>
      </w:r>
      <w:r w:rsidR="00AF0763" w:rsidRPr="00E442FF">
        <w:rPr>
          <w:sz w:val="20"/>
        </w:rPr>
        <w:t xml:space="preserve">the </w:t>
      </w:r>
      <w:r w:rsidRPr="00E442FF">
        <w:rPr>
          <w:noProof/>
          <w:sz w:val="20"/>
        </w:rPr>
        <w:t>build-up</w:t>
      </w:r>
      <w:r w:rsidRPr="00E442FF">
        <w:rPr>
          <w:sz w:val="20"/>
        </w:rPr>
        <w:t xml:space="preserve"> of contaminants in the ion source, and sample handling variability. In addition, the computational challenges of compound identification </w:t>
      </w:r>
      <w:proofErr w:type="gramStart"/>
      <w:r w:rsidRPr="00E442FF">
        <w:rPr>
          <w:sz w:val="20"/>
        </w:rPr>
        <w:t>are intensified</w:t>
      </w:r>
      <w:proofErr w:type="gramEnd"/>
      <w:r w:rsidRPr="00E442FF">
        <w:rPr>
          <w:sz w:val="20"/>
        </w:rPr>
        <w:t xml:space="preserve"> when dealing with a large number of samples. A data processing software package to address these problems is required.</w:t>
      </w:r>
      <w:r w:rsidR="000D6320" w:rsidRPr="00E442FF">
        <w:rPr>
          <w:sz w:val="20"/>
        </w:rPr>
        <w:t xml:space="preserve"> </w:t>
      </w:r>
      <w:r w:rsidRPr="00E442FF">
        <w:rPr>
          <w:sz w:val="20"/>
        </w:rPr>
        <w:t xml:space="preserve">Our software, </w:t>
      </w:r>
      <w:proofErr w:type="spellStart"/>
      <w:r w:rsidRPr="00E442FF">
        <w:rPr>
          <w:sz w:val="20"/>
        </w:rPr>
        <w:t>MassOmics</w:t>
      </w:r>
      <w:proofErr w:type="spellEnd"/>
      <w:r w:rsidRPr="00E442FF">
        <w:rPr>
          <w:sz w:val="20"/>
        </w:rPr>
        <w:t xml:space="preserve">, </w:t>
      </w:r>
      <w:proofErr w:type="gramStart"/>
      <w:r w:rsidRPr="00E442FF">
        <w:rPr>
          <w:sz w:val="20"/>
        </w:rPr>
        <w:t>is designed</w:t>
      </w:r>
      <w:proofErr w:type="gramEnd"/>
      <w:r w:rsidRPr="00E442FF">
        <w:rPr>
          <w:sz w:val="20"/>
        </w:rPr>
        <w:t xml:space="preserve"> to bring together R packages and scripts for GC-MS data processing to rapidly integrate and annotate peaks in large-scale datasets, all within a graphical user interface. 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This package also provides identification of background contaminants, data scaling and transformation, various </w:t>
      </w:r>
      <w:proofErr w:type="gramStart"/>
      <w:r w:rsidR="00092522" w:rsidRPr="00E442FF">
        <w:rPr>
          <w:rFonts w:eastAsia="SimSun" w:cs="Times New Roman"/>
          <w:sz w:val="20"/>
          <w:lang w:val="en-US" w:eastAsia="en-US"/>
        </w:rPr>
        <w:t>batch effect removal methods</w:t>
      </w:r>
      <w:proofErr w:type="gramEnd"/>
      <w:r w:rsidR="001F6FAB">
        <w:rPr>
          <w:rFonts w:eastAsia="SimSun" w:cs="Times New Roman"/>
          <w:sz w:val="20"/>
          <w:lang w:val="en-US" w:eastAsia="en-US"/>
        </w:rPr>
        <w:t>,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 </w:t>
      </w:r>
      <w:r w:rsidR="00E442FF">
        <w:rPr>
          <w:rFonts w:eastAsia="SimSun" w:cs="Times New Roman"/>
          <w:sz w:val="20"/>
          <w:lang w:val="en-US" w:eastAsia="en-US"/>
        </w:rPr>
        <w:t xml:space="preserve">machine learning-powered grouping </w:t>
      </w:r>
      <w:r w:rsidR="001F6FAB">
        <w:rPr>
          <w:rFonts w:eastAsia="SimSun" w:cs="Times New Roman"/>
          <w:sz w:val="20"/>
          <w:lang w:val="en-US" w:eastAsia="en-US"/>
        </w:rPr>
        <w:t xml:space="preserve">of metabolites, </w:t>
      </w:r>
      <w:r w:rsidR="00E442FF">
        <w:rPr>
          <w:rFonts w:eastAsia="SimSun" w:cs="Times New Roman"/>
          <w:sz w:val="20"/>
          <w:lang w:val="en-US" w:eastAsia="en-US"/>
        </w:rPr>
        <w:t xml:space="preserve">and </w:t>
      </w:r>
      <w:r w:rsidR="001F6FAB">
        <w:rPr>
          <w:rFonts w:eastAsia="SimSun" w:cs="Times New Roman"/>
          <w:sz w:val="20"/>
          <w:lang w:val="en-US" w:eastAsia="en-US"/>
        </w:rPr>
        <w:t xml:space="preserve">metabolite </w:t>
      </w:r>
      <w:r w:rsidR="00E442FF">
        <w:rPr>
          <w:rFonts w:eastAsia="SimSun" w:cs="Times New Roman"/>
          <w:sz w:val="20"/>
          <w:lang w:val="en-US" w:eastAsia="en-US"/>
        </w:rPr>
        <w:t>importance analysis</w:t>
      </w:r>
      <w:r w:rsidR="00092522" w:rsidRPr="00E442FF">
        <w:rPr>
          <w:rFonts w:eastAsia="SimSun" w:cs="Times New Roman"/>
          <w:sz w:val="20"/>
          <w:lang w:val="en-US" w:eastAsia="en-US"/>
        </w:rPr>
        <w:t xml:space="preserve">. With these functions, </w:t>
      </w:r>
      <w:proofErr w:type="spellStart"/>
      <w:r w:rsidR="00092522" w:rsidRPr="00E442FF">
        <w:rPr>
          <w:sz w:val="20"/>
        </w:rPr>
        <w:t>MassOmics</w:t>
      </w:r>
      <w:proofErr w:type="spellEnd"/>
      <w:r w:rsidR="00092522" w:rsidRPr="00E442FF">
        <w:rPr>
          <w:sz w:val="20"/>
        </w:rPr>
        <w:t xml:space="preserve"> can parse and summarize </w:t>
      </w:r>
      <w:proofErr w:type="gramStart"/>
      <w:r w:rsidR="00092522" w:rsidRPr="00E442FF">
        <w:rPr>
          <w:sz w:val="20"/>
        </w:rPr>
        <w:t>library batch search result</w:t>
      </w:r>
      <w:r w:rsidR="001F6FAB">
        <w:rPr>
          <w:sz w:val="20"/>
        </w:rPr>
        <w:t>s</w:t>
      </w:r>
      <w:proofErr w:type="gramEnd"/>
      <w:r w:rsidR="00092522" w:rsidRPr="00E442FF">
        <w:rPr>
          <w:sz w:val="20"/>
        </w:rPr>
        <w:t xml:space="preserve"> from </w:t>
      </w:r>
      <w:proofErr w:type="spellStart"/>
      <w:r w:rsidR="00092522" w:rsidRPr="00E442FF">
        <w:rPr>
          <w:sz w:val="20"/>
        </w:rPr>
        <w:t>ChemStation</w:t>
      </w:r>
      <w:proofErr w:type="spellEnd"/>
      <w:r w:rsidR="00092522" w:rsidRPr="00E442FF">
        <w:rPr>
          <w:sz w:val="20"/>
        </w:rPr>
        <w:t xml:space="preserve"> and </w:t>
      </w:r>
      <w:proofErr w:type="spellStart"/>
      <w:r w:rsidR="00092522" w:rsidRPr="00E442FF">
        <w:rPr>
          <w:sz w:val="20"/>
        </w:rPr>
        <w:t>MassHunter</w:t>
      </w:r>
      <w:proofErr w:type="spellEnd"/>
      <w:r w:rsidR="001F6FAB">
        <w:rPr>
          <w:sz w:val="20"/>
        </w:rPr>
        <w:t>,</w:t>
      </w:r>
      <w:r w:rsidR="00092522" w:rsidRPr="00E442FF">
        <w:rPr>
          <w:sz w:val="20"/>
        </w:rPr>
        <w:t xml:space="preserve"> and produce </w:t>
      </w:r>
      <w:r w:rsidR="001F6FAB">
        <w:rPr>
          <w:sz w:val="20"/>
        </w:rPr>
        <w:t xml:space="preserve">an </w:t>
      </w:r>
      <w:r w:rsidR="0034221C">
        <w:rPr>
          <w:sz w:val="20"/>
        </w:rPr>
        <w:t xml:space="preserve">integration </w:t>
      </w:r>
      <w:r w:rsidR="0044781B">
        <w:rPr>
          <w:sz w:val="20"/>
        </w:rPr>
        <w:t>output</w:t>
      </w:r>
      <w:r w:rsidR="0034221C">
        <w:rPr>
          <w:sz w:val="20"/>
        </w:rPr>
        <w:t xml:space="preserve"> of GC-MS dataset</w:t>
      </w:r>
      <w:r w:rsidR="0044781B" w:rsidRPr="00E442FF">
        <w:rPr>
          <w:sz w:val="20"/>
        </w:rPr>
        <w:t>, which</w:t>
      </w:r>
      <w:r w:rsidR="00092522" w:rsidRPr="00E442FF">
        <w:rPr>
          <w:sz w:val="20"/>
        </w:rPr>
        <w:t xml:space="preserve"> is compatible with various downstream statistical and </w:t>
      </w:r>
      <w:r w:rsidR="00E442FF">
        <w:rPr>
          <w:sz w:val="20"/>
        </w:rPr>
        <w:t xml:space="preserve">metabolic </w:t>
      </w:r>
      <w:r w:rsidR="00092522" w:rsidRPr="00E442FF">
        <w:rPr>
          <w:sz w:val="20"/>
        </w:rPr>
        <w:t xml:space="preserve">pathway analysis tools. </w:t>
      </w:r>
      <w:r w:rsidR="001F6FAB">
        <w:rPr>
          <w:sz w:val="20"/>
        </w:rPr>
        <w:t>The m</w:t>
      </w:r>
      <w:r w:rsidR="00E442FF">
        <w:rPr>
          <w:sz w:val="20"/>
        </w:rPr>
        <w:t>odul</w:t>
      </w:r>
      <w:r w:rsidR="00091DB5">
        <w:rPr>
          <w:sz w:val="20"/>
        </w:rPr>
        <w:t>e</w:t>
      </w:r>
      <w:r w:rsidR="00E442FF">
        <w:rPr>
          <w:sz w:val="20"/>
        </w:rPr>
        <w:t xml:space="preserve">-based design and intermediate data transferring approach enable </w:t>
      </w:r>
      <w:proofErr w:type="spellStart"/>
      <w:r w:rsidR="00E442FF">
        <w:rPr>
          <w:sz w:val="20"/>
        </w:rPr>
        <w:t>MassOmics</w:t>
      </w:r>
      <w:proofErr w:type="spellEnd"/>
      <w:r w:rsidR="00E442FF">
        <w:rPr>
          <w:sz w:val="20"/>
        </w:rPr>
        <w:t xml:space="preserve"> to work with </w:t>
      </w:r>
      <w:r w:rsidR="00E442FF" w:rsidRPr="00E442FF">
        <w:rPr>
          <w:sz w:val="20"/>
        </w:rPr>
        <w:t>data integration platform</w:t>
      </w:r>
      <w:r w:rsidR="001F6FAB">
        <w:rPr>
          <w:sz w:val="20"/>
        </w:rPr>
        <w:t>s</w:t>
      </w:r>
      <w:r w:rsidR="00E442FF">
        <w:rPr>
          <w:sz w:val="20"/>
        </w:rPr>
        <w:t xml:space="preserve"> </w:t>
      </w:r>
      <w:r w:rsidR="001F6FAB">
        <w:rPr>
          <w:sz w:val="20"/>
        </w:rPr>
        <w:t>such as</w:t>
      </w:r>
      <w:r w:rsidR="00E442FF">
        <w:rPr>
          <w:sz w:val="20"/>
        </w:rPr>
        <w:t xml:space="preserve"> KNIME to generate </w:t>
      </w:r>
      <w:r w:rsidR="001F6FAB">
        <w:rPr>
          <w:sz w:val="20"/>
        </w:rPr>
        <w:t xml:space="preserve">an </w:t>
      </w:r>
      <w:r w:rsidR="00E442FF">
        <w:rPr>
          <w:sz w:val="20"/>
        </w:rPr>
        <w:t>adaptive and customizable processing workflo</w:t>
      </w:r>
      <w:bookmarkStart w:id="1" w:name="_GoBack"/>
      <w:bookmarkEnd w:id="1"/>
      <w:r w:rsidR="00E442FF">
        <w:rPr>
          <w:sz w:val="20"/>
        </w:rPr>
        <w:t xml:space="preserve">w. </w:t>
      </w:r>
      <w:r w:rsidR="001F6FAB">
        <w:rPr>
          <w:sz w:val="20"/>
        </w:rPr>
        <w:t xml:space="preserve">The </w:t>
      </w:r>
      <w:proofErr w:type="spellStart"/>
      <w:r w:rsidR="00E442FF" w:rsidRPr="00E442FF">
        <w:rPr>
          <w:sz w:val="20"/>
        </w:rPr>
        <w:t>MassOmics</w:t>
      </w:r>
      <w:proofErr w:type="spellEnd"/>
      <w:r w:rsidR="00E442FF" w:rsidRPr="00E442FF">
        <w:rPr>
          <w:sz w:val="20"/>
        </w:rPr>
        <w:t xml:space="preserve"> </w:t>
      </w:r>
      <w:r w:rsidR="00092522" w:rsidRPr="00E442FF">
        <w:rPr>
          <w:sz w:val="20"/>
        </w:rPr>
        <w:t xml:space="preserve">package </w:t>
      </w:r>
      <w:proofErr w:type="gramStart"/>
      <w:r w:rsidR="00092522" w:rsidRPr="00E442FF">
        <w:rPr>
          <w:sz w:val="20"/>
        </w:rPr>
        <w:t>is designed</w:t>
      </w:r>
      <w:proofErr w:type="gramEnd"/>
      <w:r w:rsidR="00092522" w:rsidRPr="00E442FF">
        <w:rPr>
          <w:sz w:val="20"/>
        </w:rPr>
        <w:t xml:space="preserve"> for researchers with little experience using R, and substantially improves GC-MS data extraction efficiency and accuracy, as well as reducing the time required for manual checking and re-integration.</w:t>
      </w:r>
    </w:p>
    <w:sectPr w:rsidR="0027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TczM7EwMjI3NDJV0lEKTi0uzszPAykwrQUAvxy6GSwAAAA="/>
  </w:docVars>
  <w:rsids>
    <w:rsidRoot w:val="0027115C"/>
    <w:rsid w:val="00091DB5"/>
    <w:rsid w:val="00092522"/>
    <w:rsid w:val="000D6320"/>
    <w:rsid w:val="000E5030"/>
    <w:rsid w:val="001F6FAB"/>
    <w:rsid w:val="0027115C"/>
    <w:rsid w:val="00277D15"/>
    <w:rsid w:val="0034221C"/>
    <w:rsid w:val="0044781B"/>
    <w:rsid w:val="006B416B"/>
    <w:rsid w:val="00990378"/>
    <w:rsid w:val="00A43C3C"/>
    <w:rsid w:val="00AA74C7"/>
    <w:rsid w:val="00AF0763"/>
    <w:rsid w:val="00B31C8B"/>
    <w:rsid w:val="00C00868"/>
    <w:rsid w:val="00CE7122"/>
    <w:rsid w:val="00E442FF"/>
    <w:rsid w:val="00E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649"/>
  <w15:chartTrackingRefBased/>
  <w15:docId w15:val="{C13BF01D-9807-4738-BEF1-3ADC8D7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-Text">
    <w:name w:val="Abstract-Text"/>
    <w:basedOn w:val="Normal"/>
    <w:link w:val="Abstract-TextChar"/>
    <w:qFormat/>
    <w:rsid w:val="0027115C"/>
    <w:pPr>
      <w:spacing w:after="0" w:line="220" w:lineRule="exact"/>
      <w:jc w:val="both"/>
    </w:pPr>
    <w:rPr>
      <w:rFonts w:ascii="Helvetica" w:eastAsia="SimSun" w:hAnsi="Helvetica" w:cs="Times New Roman"/>
      <w:sz w:val="18"/>
      <w:szCs w:val="18"/>
      <w:lang w:val="en-US" w:eastAsia="en-US"/>
    </w:rPr>
  </w:style>
  <w:style w:type="paragraph" w:customStyle="1" w:styleId="Abstract-Head">
    <w:name w:val="Abstract-Head"/>
    <w:basedOn w:val="Normal"/>
    <w:link w:val="Abstract-HeadChar"/>
    <w:qFormat/>
    <w:rsid w:val="0027115C"/>
    <w:pPr>
      <w:tabs>
        <w:tab w:val="left" w:pos="7140"/>
      </w:tabs>
      <w:spacing w:before="300" w:after="10" w:line="200" w:lineRule="exact"/>
      <w:jc w:val="both"/>
    </w:pPr>
    <w:rPr>
      <w:rFonts w:ascii="Helvetica" w:eastAsia="SimSun" w:hAnsi="Helvetica" w:cs="Times New Roman"/>
      <w:b/>
      <w:sz w:val="20"/>
      <w:szCs w:val="20"/>
      <w:lang w:val="en-US" w:eastAsia="en-US"/>
    </w:rPr>
  </w:style>
  <w:style w:type="character" w:customStyle="1" w:styleId="Abstract-TextChar">
    <w:name w:val="Abstract-Text Char"/>
    <w:basedOn w:val="DefaultParagraphFont"/>
    <w:link w:val="Abstract-Text"/>
    <w:rsid w:val="0027115C"/>
    <w:rPr>
      <w:rFonts w:ascii="Helvetica" w:eastAsia="SimSun" w:hAnsi="Helvetica" w:cs="Times New Roman"/>
      <w:sz w:val="18"/>
      <w:szCs w:val="18"/>
      <w:lang w:val="en-US" w:eastAsia="en-US"/>
    </w:rPr>
  </w:style>
  <w:style w:type="character" w:customStyle="1" w:styleId="Abstract-HeadChar">
    <w:name w:val="Abstract-Head Char"/>
    <w:basedOn w:val="DefaultParagraphFont"/>
    <w:link w:val="Abstract-Head"/>
    <w:rsid w:val="0027115C"/>
    <w:rPr>
      <w:rFonts w:ascii="Helvetica" w:eastAsia="SimSun" w:hAnsi="Helvetica" w:cs="Times New Roman"/>
      <w:b/>
      <w:sz w:val="20"/>
      <w:szCs w:val="20"/>
      <w:lang w:val="en-US" w:eastAsia="en-US"/>
    </w:rPr>
  </w:style>
  <w:style w:type="paragraph" w:customStyle="1" w:styleId="Author-Group">
    <w:name w:val="Author-Group"/>
    <w:basedOn w:val="Normal"/>
    <w:link w:val="Author-GroupChar"/>
    <w:qFormat/>
    <w:rsid w:val="0027115C"/>
    <w:pPr>
      <w:spacing w:before="100" w:after="0" w:line="300" w:lineRule="exact"/>
      <w:jc w:val="both"/>
    </w:pPr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paragraph" w:customStyle="1" w:styleId="Author-Affiliation">
    <w:name w:val="Author-Affiliation"/>
    <w:basedOn w:val="Normal"/>
    <w:link w:val="Author-AffiliationChar"/>
    <w:qFormat/>
    <w:rsid w:val="0027115C"/>
    <w:pPr>
      <w:spacing w:before="100" w:after="52" w:line="240" w:lineRule="exact"/>
      <w:jc w:val="both"/>
    </w:pPr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character" w:customStyle="1" w:styleId="Author-GroupChar">
    <w:name w:val="Author-Group Char"/>
    <w:basedOn w:val="DefaultParagraphFont"/>
    <w:link w:val="Author-Group"/>
    <w:rsid w:val="0027115C"/>
    <w:rPr>
      <w:rFonts w:ascii="Helvetica-Light" w:eastAsia="SimSun" w:hAnsi="Helvetica-Light" w:cs="Times New Roman"/>
      <w:iCs/>
      <w:sz w:val="24"/>
      <w:szCs w:val="24"/>
      <w:lang w:val="en-US" w:eastAsia="en-US"/>
    </w:rPr>
  </w:style>
  <w:style w:type="character" w:customStyle="1" w:styleId="Author-AffiliationChar">
    <w:name w:val="Author-Affiliation Char"/>
    <w:basedOn w:val="DefaultParagraphFont"/>
    <w:link w:val="Author-Affiliation"/>
    <w:rsid w:val="0027115C"/>
    <w:rPr>
      <w:rFonts w:ascii="Helvetica-Light" w:eastAsia="SimSun" w:hAnsi="Helvetica-Light" w:cs="Times New Roman"/>
      <w:iCs/>
      <w:sz w:val="18"/>
      <w:szCs w:val="18"/>
      <w:lang w:val="en-US" w:eastAsia="en-US"/>
    </w:rPr>
  </w:style>
  <w:style w:type="paragraph" w:customStyle="1" w:styleId="corrs-au">
    <w:name w:val="corrs-au"/>
    <w:basedOn w:val="Normal"/>
    <w:link w:val="corrs-auChar"/>
    <w:qFormat/>
    <w:rsid w:val="0027115C"/>
    <w:pPr>
      <w:spacing w:before="70" w:after="0" w:line="300" w:lineRule="exact"/>
      <w:jc w:val="both"/>
    </w:pPr>
    <w:rPr>
      <w:rFonts w:ascii="Helvetica-Light" w:eastAsia="SimSun" w:hAnsi="Helvetica-Light" w:cs="Times New Roman"/>
      <w:iCs/>
      <w:sz w:val="17"/>
      <w:szCs w:val="17"/>
      <w:lang w:val="en-US" w:eastAsia="en-US"/>
    </w:rPr>
  </w:style>
  <w:style w:type="character" w:customStyle="1" w:styleId="corrs-auChar">
    <w:name w:val="corrs-au Char"/>
    <w:basedOn w:val="DefaultParagraphFont"/>
    <w:link w:val="corrs-au"/>
    <w:rsid w:val="0027115C"/>
    <w:rPr>
      <w:rFonts w:ascii="Helvetica-Light" w:eastAsia="SimSun" w:hAnsi="Helvetica-Light" w:cs="Times New Roman"/>
      <w:iCs/>
      <w:sz w:val="17"/>
      <w:szCs w:val="17"/>
      <w:lang w:val="en-US" w:eastAsia="en-US"/>
    </w:rPr>
  </w:style>
  <w:style w:type="character" w:styleId="Hyperlink">
    <w:name w:val="Hyperlink"/>
    <w:rsid w:val="0027115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6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F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FA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FAB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6BA665E5B3445BEB10AB3195E402A" ma:contentTypeVersion="8" ma:contentTypeDescription="Create a new document." ma:contentTypeScope="" ma:versionID="490a5d2e97ca24615ccc638086130a38">
  <xsd:schema xmlns:xsd="http://www.w3.org/2001/XMLSchema" xmlns:xs="http://www.w3.org/2001/XMLSchema" xmlns:p="http://schemas.microsoft.com/office/2006/metadata/properties" xmlns:ns3="5688e609-7a8e-4951-9b19-e44eba1c752f" targetNamespace="http://schemas.microsoft.com/office/2006/metadata/properties" ma:root="true" ma:fieldsID="1c2111dc957616e6b10eeeb2958fda91" ns3:_="">
    <xsd:import namespace="5688e609-7a8e-4951-9b19-e44eba1c75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8e609-7a8e-4951-9b19-e44eba1c75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6526B-3729-4D46-9D42-07D11060F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265648-3187-402A-BB30-17E5653C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8e609-7a8e-4951-9b19-e44eba1c7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F5B497-5E38-4C37-8C02-A8968AE3C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admgguo484</dc:creator>
  <cp:keywords/>
  <dc:description/>
  <cp:lastModifiedBy>admgguo484</cp:lastModifiedBy>
  <cp:revision>5</cp:revision>
  <dcterms:created xsi:type="dcterms:W3CDTF">2019-10-16T21:40:00Z</dcterms:created>
  <dcterms:modified xsi:type="dcterms:W3CDTF">2019-10-21T21:07:00Z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0x010100FAF6BA665E5B3445BEB10AB3195E402A</vt:lpwstr>
  </property>
</Properties>
</file>