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11"/>
        <w:gridCol w:w="5011"/>
        <w:gridCol w:w="5011"/>
      </w:tblGrid>
      <w:tr>
        <w:tc>
          <w:tcPr>
            <w:tcW w:type="dxa" w:w="5011"/>
            <w:vAlign w:val="top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space="0" w:color="D6E0EA"/>
              <w:left w:val="single" w:sz="8" w:space="0" w:color="D6E0EA"/>
              <w:bottom w:val="single" w:sz="8" w:space="0" w:color="D6E0EA"/>
              <w:right w:val="single" w:sz="8" w:space="0" w:color="D6E0EA"/>
            </w:tcBorders>
          </w:tcPr>
          <w:p/>
          <w:p>
            <w:pPr>
              <w:spacing w:after="80"/>
              <w:jc w:val="left"/>
            </w:pPr>
            <w:r>
              <w:rPr>
                <w:rFonts w:ascii="Calibri" w:hAnsi="Calibri"/>
                <w:b/>
                <w:color w:val="00684A"/>
                <w:sz w:val="30"/>
              </w:rPr>
              <w:t>Inversion inicial</w:t>
            </w:r>
          </w:p>
          <w:p>
            <w:pPr>
              <w:spacing w:after="120"/>
            </w:pPr>
            <w:r>
              <w:rPr>
                <w:rFonts w:ascii="Calibri" w:hAnsi="Calibri"/>
                <w:b w:val="0"/>
                <w:color w:val="52627A"/>
                <w:sz w:val="17"/>
              </w:rPr>
              <w:t>La nube no es gratis: se vuelve sostenible si se planea</w:t>
            </w:r>
          </w:p>
          <w:p>
            <w:pPr>
              <w:spacing w:after="50" w:line="245" w:lineRule="auto"/>
              <w:ind w:left="173" w:hanging="173"/>
            </w:pPr>
            <w:r>
              <w:rPr>
                <w:rFonts w:ascii="Calibri" w:hAnsi="Calibri"/>
                <w:b/>
                <w:color w:val="00855F"/>
                <w:sz w:val="17"/>
              </w:rPr>
              <w:t xml:space="preserve">• </w:t>
            </w:r>
            <w:r>
              <w:rPr>
                <w:rFonts w:ascii="Calibri" w:hAnsi="Calibri"/>
                <w:b w:val="0"/>
                <w:color w:val="102033"/>
                <w:sz w:val="16"/>
              </w:rPr>
              <w:t>Base de datos y almacenamiento persistente para documentos, evidencias, QR, respaldos y bitacoras.</w:t>
            </w:r>
          </w:p>
          <w:p>
            <w:pPr>
              <w:spacing w:after="50" w:line="245" w:lineRule="auto"/>
              <w:ind w:left="173" w:hanging="173"/>
            </w:pPr>
            <w:r>
              <w:rPr>
                <w:rFonts w:ascii="Calibri" w:hAnsi="Calibri"/>
                <w:b/>
                <w:color w:val="00855F"/>
                <w:sz w:val="17"/>
              </w:rPr>
              <w:t xml:space="preserve">• </w:t>
            </w:r>
            <w:r>
              <w:rPr>
                <w:rFonts w:ascii="Calibri" w:hAnsi="Calibri"/>
                <w:b w:val="0"/>
                <w:color w:val="102033"/>
                <w:sz w:val="16"/>
              </w:rPr>
              <w:t>Servidor de aplicacion, dominio, seguridad, monitoreo y respaldos.</w:t>
            </w:r>
          </w:p>
          <w:p>
            <w:pPr>
              <w:spacing w:after="50" w:line="245" w:lineRule="auto"/>
              <w:ind w:left="173" w:hanging="173"/>
            </w:pPr>
            <w:r>
              <w:rPr>
                <w:rFonts w:ascii="Calibri" w:hAnsi="Calibri"/>
                <w:b/>
                <w:color w:val="00855F"/>
                <w:sz w:val="17"/>
              </w:rPr>
              <w:t xml:space="preserve">• </w:t>
            </w:r>
            <w:r>
              <w:rPr>
                <w:rFonts w:ascii="Calibri" w:hAnsi="Calibri"/>
                <w:b w:val="0"/>
                <w:color w:val="102033"/>
                <w:sz w:val="16"/>
              </w:rPr>
              <w:t>Capacitacion inicial y carga/depuracion de catalogos institucionales.</w:t>
            </w:r>
          </w:p>
          <w:p>
            <w:pPr>
              <w:spacing w:after="50" w:line="245" w:lineRule="auto"/>
              <w:ind w:left="173" w:hanging="173"/>
            </w:pPr>
            <w:r>
              <w:rPr>
                <w:rFonts w:ascii="Calibri" w:hAnsi="Calibri"/>
                <w:b/>
                <w:color w:val="00855F"/>
                <w:sz w:val="17"/>
              </w:rPr>
              <w:t xml:space="preserve">• </w:t>
            </w:r>
            <w:r>
              <w:rPr>
                <w:rFonts w:ascii="Calibri" w:hAnsi="Calibri"/>
                <w:b w:val="0"/>
                <w:color w:val="102033"/>
                <w:sz w:val="16"/>
              </w:rPr>
              <w:t>Politica de respaldo y crecimiento por volumen de activos, fotos y documentos.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11"/>
            </w:tblGrid>
            <w:tr>
              <w:tc>
                <w:tcPr>
                  <w:tcW w:type="dxa" w:w="5011"/>
                  <w:shd w:fill="EAF7F1"/>
                  <w:tcBorders>
                    <w:top w:val="single" w:sz="4" w:space="0" w:color="EAF7F1"/>
                    <w:left w:val="single" w:sz="4" w:space="0" w:color="EAF7F1"/>
                    <w:bottom w:val="single" w:sz="4" w:space="0" w:color="EAF7F1"/>
                    <w:right w:val="single" w:sz="4" w:space="0" w:color="EAF7F1"/>
                  </w:tcBorders>
                  <w:tcMar>
                    <w:top w:w="60" w:type="dxa"/>
                    <w:start w:w="100" w:type="dxa"/>
                    <w:bottom w:w="60" w:type="dxa"/>
                    <w:end w:w="100" w:type="dxa"/>
                  </w:tcMar>
                </w:tcPr>
                <w:p>
                  <w:r>
                    <w:rPr>
                      <w:rFonts w:ascii="Calibri" w:hAnsi="Calibri"/>
                      <w:b/>
                      <w:color w:val="00684A"/>
                      <w:sz w:val="15"/>
                    </w:rPr>
                    <w:t>RECOMENDACION</w:t>
                  </w:r>
                </w:p>
              </w:tc>
            </w:tr>
          </w:tbl>
          <w:p/>
          <w:p>
            <w:pPr>
              <w:spacing w:after="80" w:line="252" w:lineRule="auto"/>
            </w:pPr>
            <w:r>
              <w:rPr>
                <w:rFonts w:ascii="Calibri" w:hAnsi="Calibri"/>
                <w:b w:val="0"/>
                <w:color w:val="102033"/>
                <w:sz w:val="17"/>
              </w:rPr>
              <w:t>Iniciar con un presupuesto controlado para almacenamiento y respaldos, medir uso real durante el piloto y ajustar el plan antes de escalar a toda la universidad.</w:t>
            </w:r>
          </w:p>
          <w:p>
            <w:pPr>
              <w:spacing w:after="80" w:line="252" w:lineRule="auto"/>
            </w:pPr>
            <w:r>
              <w:rPr>
                <w:rFonts w:ascii="Calibri" w:hAnsi="Calibri"/>
                <w:b/>
                <w:color w:val="00684A"/>
                <w:sz w:val="17"/>
              </w:rPr>
              <w:t>Siguiente paso: validar flujo de inventario con Finanzas, Responsables de Departamento, Sistemas e Infraestructura.</w:t>
            </w:r>
          </w:p>
        </w:tc>
        <w:tc>
          <w:tcPr>
            <w:tcW w:type="dxa" w:w="5011"/>
            <w:vAlign w:val="top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space="0" w:color="D6E0EA"/>
              <w:left w:val="single" w:sz="8" w:space="0" w:color="D6E0EA"/>
              <w:bottom w:val="single" w:sz="8" w:space="0" w:color="D6E0EA"/>
              <w:right w:val="single" w:sz="8" w:space="0" w:color="D6E0EA"/>
            </w:tcBorders>
            <w:shd w:fill="EAF7F1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11"/>
            </w:tblGrid>
            <w:tr>
              <w:tc>
                <w:tcPr>
                  <w:tcW w:type="dxa" w:w="5011"/>
                  <w:shd w:fill="EAF7F1"/>
                  <w:tcBorders>
                    <w:top w:val="single" w:sz="4" w:space="0" w:color="EAF7F1"/>
                    <w:left w:val="single" w:sz="4" w:space="0" w:color="EAF7F1"/>
                    <w:bottom w:val="single" w:sz="4" w:space="0" w:color="EAF7F1"/>
                    <w:right w:val="single" w:sz="4" w:space="0" w:color="EAF7F1"/>
                  </w:tcBorders>
                  <w:tcMar>
                    <w:top w:w="60" w:type="dxa"/>
                    <w:start w:w="100" w:type="dxa"/>
                    <w:bottom w:w="60" w:type="dxa"/>
                    <w:end w:w="100" w:type="dxa"/>
                  </w:tcMar>
                </w:tcPr>
                <w:p>
                  <w:r>
                    <w:rPr>
                      <w:rFonts w:ascii="Calibri" w:hAnsi="Calibri"/>
                      <w:b/>
                      <w:color w:val="00684A"/>
                      <w:sz w:val="15"/>
                    </w:rPr>
                    <w:t>UNIVERSIDAD TECNOLOGICA DE CANDELARIA</w:t>
                  </w:r>
                </w:p>
              </w:tc>
            </w:tr>
          </w:tbl>
          <w:p/>
          <w:p>
            <w:pPr>
              <w:spacing w:after="80"/>
              <w:jc w:val="left"/>
            </w:pPr>
            <w:r>
              <w:rPr>
                <w:rFonts w:ascii="Calibri" w:hAnsi="Calibri"/>
                <w:b/>
                <w:color w:val="00684A"/>
                <w:sz w:val="30"/>
              </w:rPr>
              <w:t>SIGA UTECAN</w:t>
            </w:r>
          </w:p>
          <w:p>
            <w:pPr>
              <w:spacing w:after="120"/>
            </w:pPr>
            <w:r>
              <w:rPr>
                <w:rFonts w:ascii="Calibri" w:hAnsi="Calibri"/>
                <w:b w:val="0"/>
                <w:color w:val="52627A"/>
                <w:sz w:val="17"/>
              </w:rPr>
              <w:t>Sistema Integral de Gestion Academica</w:t>
            </w:r>
          </w:p>
          <w:p>
            <w:pPr>
              <w:spacing w:after="80" w:line="252" w:lineRule="auto"/>
            </w:pPr>
            <w:r>
              <w:rPr>
                <w:rFonts w:ascii="Calibri" w:hAnsi="Calibri"/>
                <w:b/>
                <w:color w:val="102033"/>
                <w:sz w:val="21"/>
              </w:rPr>
              <w:t>Plataforma institucional para ordenar laboratorios, inventario, mantenimiento, comunicados y procesos academico-administrativos.</w:t>
            </w:r>
          </w:p>
          <w:p>
            <w:pPr>
              <w:spacing w:after="80" w:line="252" w:lineRule="auto"/>
            </w:pPr>
            <w:r>
              <w:rPr>
                <w:rFonts w:ascii="Calibri" w:hAnsi="Calibri"/>
                <w:b w:val="0"/>
                <w:color w:val="52627A"/>
                <w:sz w:val="18"/>
              </w:rPr>
              <w:t>Enfoque del demo: Inventario Institucional como base para control patrimonial, trazabilidad y toma de decisiones.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11"/>
            </w:tblGrid>
            <w:tr>
              <w:tc>
                <w:tcPr>
                  <w:tcW w:type="dxa" w:w="5011"/>
                  <w:shd w:fill="EAF2FA"/>
                  <w:tcBorders>
                    <w:top w:val="single" w:sz="6" w:space="0" w:color="D6E0EA"/>
                    <w:left w:val="single" w:sz="6" w:space="0" w:color="D6E0EA"/>
                    <w:bottom w:val="single" w:sz="6" w:space="0" w:color="D6E0EA"/>
                    <w:right w:val="single" w:sz="6" w:space="0" w:color="D6E0EA"/>
                  </w:tcBorders>
                  <w:tcMar>
                    <w:top w:w="80" w:type="dxa"/>
                    <w:start w:w="120" w:type="dxa"/>
                    <w:bottom w:w="80" w:type="dxa"/>
                    <w:end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hAnsi="Calibri"/>
                      <w:b/>
                      <w:color w:val="00684A"/>
                      <w:sz w:val="36"/>
                    </w:rPr>
                    <w:t>1</w:t>
                  </w:r>
                </w:p>
                <w:p>
                  <w:pPr>
                    <w:jc w:val="center"/>
                  </w:pPr>
                  <w:r>
                    <w:rPr>
                      <w:rFonts w:ascii="Calibri" w:hAnsi="Calibri"/>
                      <w:b w:val="0"/>
                      <w:color w:val="52627A"/>
                      <w:sz w:val="15"/>
                    </w:rPr>
                    <w:t>plataforma integrada</w:t>
                  </w:r>
                </w:p>
              </w:tc>
            </w:tr>
          </w:tbl>
          <w:p/>
          <w:p>
            <w:pPr>
              <w:spacing w:after="80" w:line="252" w:lineRule="auto"/>
            </w:pPr>
            <w:r>
              <w:rPr>
                <w:rFonts w:ascii="Calibri" w:hAnsi="Calibri"/>
                <w:b/>
                <w:color w:val="00684A"/>
                <w:sz w:val="16"/>
              </w:rPr>
              <w:t>Preparado para directivos UTECAN</w:t>
            </w:r>
          </w:p>
        </w:tc>
        <w:tc>
          <w:tcPr>
            <w:tcW w:type="dxa" w:w="5011"/>
            <w:vAlign w:val="top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space="0" w:color="D6E0EA"/>
              <w:left w:val="single" w:sz="8" w:space="0" w:color="D6E0EA"/>
              <w:bottom w:val="single" w:sz="8" w:space="0" w:color="D6E0EA"/>
              <w:right w:val="single" w:sz="8" w:space="0" w:color="D6E0EA"/>
            </w:tcBorders>
          </w:tcPr>
          <w:p/>
          <w:p>
            <w:pPr>
              <w:spacing w:after="80"/>
              <w:jc w:val="left"/>
            </w:pPr>
            <w:r>
              <w:rPr>
                <w:rFonts w:ascii="Calibri" w:hAnsi="Calibri"/>
                <w:b/>
                <w:color w:val="00684A"/>
                <w:sz w:val="30"/>
              </w:rPr>
              <w:t>Por que SIGA</w:t>
            </w:r>
          </w:p>
          <w:p>
            <w:pPr>
              <w:spacing w:after="120"/>
            </w:pPr>
            <w:r>
              <w:rPr>
                <w:rFonts w:ascii="Calibri" w:hAnsi="Calibri"/>
                <w:b w:val="0"/>
                <w:color w:val="52627A"/>
                <w:sz w:val="17"/>
              </w:rPr>
              <w:t>Problemas que ayuda a resolver</w:t>
            </w:r>
          </w:p>
          <w:p>
            <w:pPr>
              <w:spacing w:after="50" w:line="245" w:lineRule="auto"/>
              <w:ind w:left="173" w:hanging="173"/>
            </w:pPr>
            <w:r>
              <w:rPr>
                <w:rFonts w:ascii="Calibri" w:hAnsi="Calibri"/>
                <w:b/>
                <w:color w:val="00855F"/>
                <w:sz w:val="17"/>
              </w:rPr>
              <w:t xml:space="preserve">• </w:t>
            </w:r>
            <w:r>
              <w:rPr>
                <w:rFonts w:ascii="Calibri" w:hAnsi="Calibri"/>
                <w:b w:val="0"/>
                <w:color w:val="102033"/>
                <w:sz w:val="16"/>
              </w:rPr>
              <w:t>Informacion dispersa entre archivos, mensajes y registros manuales.</w:t>
            </w:r>
          </w:p>
          <w:p>
            <w:pPr>
              <w:spacing w:after="50" w:line="245" w:lineRule="auto"/>
              <w:ind w:left="173" w:hanging="173"/>
            </w:pPr>
            <w:r>
              <w:rPr>
                <w:rFonts w:ascii="Calibri" w:hAnsi="Calibri"/>
                <w:b/>
                <w:color w:val="00855F"/>
                <w:sz w:val="17"/>
              </w:rPr>
              <w:t xml:space="preserve">• </w:t>
            </w:r>
            <w:r>
              <w:rPr>
                <w:rFonts w:ascii="Calibri" w:hAnsi="Calibri"/>
                <w:b w:val="0"/>
                <w:color w:val="102033"/>
                <w:sz w:val="16"/>
              </w:rPr>
              <w:t>Dificultad para saber que activo existe, donde esta y quien lo tiene.</w:t>
            </w:r>
          </w:p>
          <w:p>
            <w:pPr>
              <w:spacing w:after="50" w:line="245" w:lineRule="auto"/>
              <w:ind w:left="173" w:hanging="173"/>
            </w:pPr>
            <w:r>
              <w:rPr>
                <w:rFonts w:ascii="Calibri" w:hAnsi="Calibri"/>
                <w:b/>
                <w:color w:val="00855F"/>
                <w:sz w:val="17"/>
              </w:rPr>
              <w:t xml:space="preserve">• </w:t>
            </w:r>
            <w:r>
              <w:rPr>
                <w:rFonts w:ascii="Calibri" w:hAnsi="Calibri"/>
                <w:b w:val="0"/>
                <w:color w:val="102033"/>
                <w:sz w:val="16"/>
              </w:rPr>
              <w:t>Reportes de mantenimiento sin seguimiento claro o sin responsable visible.</w:t>
            </w:r>
          </w:p>
          <w:p>
            <w:pPr>
              <w:spacing w:after="50" w:line="245" w:lineRule="auto"/>
              <w:ind w:left="173" w:hanging="173"/>
            </w:pPr>
            <w:r>
              <w:rPr>
                <w:rFonts w:ascii="Calibri" w:hAnsi="Calibri"/>
                <w:b/>
                <w:color w:val="00855F"/>
                <w:sz w:val="17"/>
              </w:rPr>
              <w:t xml:space="preserve">• </w:t>
            </w:r>
            <w:r>
              <w:rPr>
                <w:rFonts w:ascii="Calibri" w:hAnsi="Calibri"/>
                <w:b w:val="0"/>
                <w:color w:val="102033"/>
                <w:sz w:val="16"/>
              </w:rPr>
              <w:t>Procesos que dependen de una sola persona o de evidencia informal.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11"/>
            </w:tblGrid>
            <w:tr>
              <w:tc>
                <w:tcPr>
                  <w:tcW w:type="dxa" w:w="5011"/>
                  <w:shd w:fill="EAF2FA"/>
                  <w:tcBorders>
                    <w:top w:val="single" w:sz="4" w:space="0" w:color="EAF2FA"/>
                    <w:left w:val="single" w:sz="4" w:space="0" w:color="EAF2FA"/>
                    <w:bottom w:val="single" w:sz="4" w:space="0" w:color="EAF2FA"/>
                    <w:right w:val="single" w:sz="4" w:space="0" w:color="EAF2FA"/>
                  </w:tcBorders>
                  <w:tcMar>
                    <w:top w:w="60" w:type="dxa"/>
                    <w:start w:w="100" w:type="dxa"/>
                    <w:bottom w:w="60" w:type="dxa"/>
                    <w:end w:w="100" w:type="dxa"/>
                  </w:tcMar>
                </w:tcPr>
                <w:p>
                  <w:r>
                    <w:rPr>
                      <w:rFonts w:ascii="Calibri" w:hAnsi="Calibri"/>
                      <w:b/>
                      <w:color w:val="0F4C81"/>
                      <w:sz w:val="15"/>
                    </w:rPr>
                    <w:t>VALOR INSTITUCIONAL</w:t>
                  </w:r>
                </w:p>
              </w:tc>
            </w:tr>
          </w:tbl>
          <w:p/>
          <w:p>
            <w:pPr>
              <w:spacing w:after="80" w:line="252" w:lineRule="auto"/>
            </w:pPr>
            <w:r>
              <w:rPr>
                <w:rFonts w:ascii="Calibri" w:hAnsi="Calibri"/>
                <w:b w:val="0"/>
                <w:color w:val="102033"/>
                <w:sz w:val="17"/>
              </w:rPr>
              <w:t>SIGA centraliza informacion operativa y deja historial: quien registra, quien valida, quien recibe, quien atiende y cuando se resuelve.</w:t>
            </w:r>
          </w:p>
          <w:p>
            <w:pPr>
              <w:spacing w:after="80" w:line="252" w:lineRule="auto"/>
            </w:pPr>
            <w:r>
              <w:rPr>
                <w:rFonts w:ascii="Calibri" w:hAnsi="Calibri"/>
                <w:b w:val="0"/>
                <w:color w:val="102033"/>
                <w:sz w:val="17"/>
              </w:rPr>
              <w:t>Esto permite pasar de reaccionar a problemas aislados a administrar evidencia para tomar decisiones.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11"/>
        <w:gridCol w:w="5011"/>
        <w:gridCol w:w="5011"/>
      </w:tblGrid>
      <w:tr>
        <w:tc>
          <w:tcPr>
            <w:tcW w:type="dxa" w:w="5011"/>
            <w:vAlign w:val="top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space="0" w:color="D6E0EA"/>
              <w:left w:val="single" w:sz="8" w:space="0" w:color="D6E0EA"/>
              <w:bottom w:val="single" w:sz="8" w:space="0" w:color="D6E0EA"/>
              <w:right w:val="single" w:sz="8" w:space="0" w:color="D6E0EA"/>
            </w:tcBorders>
            <w:shd w:fill="FFF7E6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11"/>
            </w:tblGrid>
            <w:tr>
              <w:tc>
                <w:tcPr>
                  <w:tcW w:type="dxa" w:w="5011"/>
                  <w:shd w:fill="FFFFFF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tcMar>
                    <w:top w:w="60" w:type="dxa"/>
                    <w:start w:w="100" w:type="dxa"/>
                    <w:bottom w:w="60" w:type="dxa"/>
                    <w:end w:w="100" w:type="dxa"/>
                  </w:tcMar>
                </w:tcPr>
                <w:p>
                  <w:r>
                    <w:rPr>
                      <w:rFonts w:ascii="Calibri" w:hAnsi="Calibri"/>
                      <w:b/>
                      <w:color w:val="B7791F"/>
                      <w:sz w:val="15"/>
                    </w:rPr>
                    <w:t>MODULO PRINCIPAL DEL DEMO</w:t>
                  </w:r>
                </w:p>
              </w:tc>
            </w:tr>
          </w:tbl>
          <w:p/>
          <w:p>
            <w:pPr>
              <w:spacing w:after="80"/>
              <w:jc w:val="left"/>
            </w:pPr>
            <w:r>
              <w:rPr>
                <w:rFonts w:ascii="Calibri" w:hAnsi="Calibri"/>
                <w:b/>
                <w:color w:val="00684A"/>
                <w:sz w:val="30"/>
              </w:rPr>
              <w:t>Inventario Institucional</w:t>
            </w:r>
          </w:p>
          <w:p>
            <w:pPr>
              <w:spacing w:after="120"/>
            </w:pPr>
            <w:r>
              <w:rPr>
                <w:rFonts w:ascii="Calibri" w:hAnsi="Calibri"/>
                <w:b w:val="0"/>
                <w:color w:val="52627A"/>
                <w:sz w:val="17"/>
              </w:rPr>
              <w:t>Control patrimonial con trazabilidad</w:t>
            </w:r>
          </w:p>
          <w:p>
            <w:pPr>
              <w:spacing w:after="80" w:line="252" w:lineRule="auto"/>
            </w:pPr>
            <w:r>
              <w:rPr>
                <w:rFonts w:ascii="Calibri" w:hAnsi="Calibri"/>
                <w:b/>
                <w:color w:val="102033"/>
                <w:sz w:val="18"/>
              </w:rPr>
              <w:t>Permite registrar, revisar, validar y consultar activos por departamento, laboratorio, categoria, responsable y estado.</w:t>
            </w:r>
          </w:p>
          <w:p>
            <w:pPr>
              <w:spacing w:after="50" w:line="245" w:lineRule="auto"/>
              <w:ind w:left="173" w:hanging="173"/>
            </w:pPr>
            <w:r>
              <w:rPr>
                <w:rFonts w:ascii="Calibri" w:hAnsi="Calibri"/>
                <w:b/>
                <w:color w:val="00855F"/>
                <w:sz w:val="17"/>
              </w:rPr>
              <w:t xml:space="preserve">• </w:t>
            </w:r>
            <w:r>
              <w:rPr>
                <w:rFonts w:ascii="Calibri" w:hAnsi="Calibri"/>
                <w:b w:val="0"/>
                <w:color w:val="102033"/>
                <w:sz w:val="16"/>
              </w:rPr>
              <w:t>Codigo SIGA para identificacion interna y numero patrimonial cuando exista.</w:t>
            </w:r>
          </w:p>
          <w:p>
            <w:pPr>
              <w:spacing w:after="50" w:line="245" w:lineRule="auto"/>
              <w:ind w:left="173" w:hanging="173"/>
            </w:pPr>
            <w:r>
              <w:rPr>
                <w:rFonts w:ascii="Calibri" w:hAnsi="Calibri"/>
                <w:b/>
                <w:color w:val="00855F"/>
                <w:sz w:val="17"/>
              </w:rPr>
              <w:t xml:space="preserve">• </w:t>
            </w:r>
            <w:r>
              <w:rPr>
                <w:rFonts w:ascii="Calibri" w:hAnsi="Calibri"/>
                <w:b w:val="0"/>
                <w:color w:val="102033"/>
                <w:sz w:val="16"/>
              </w:rPr>
              <w:t>Flujo de borrador, revision, validacion, observacion y no autorizacion.</w:t>
            </w:r>
          </w:p>
          <w:p>
            <w:pPr>
              <w:spacing w:after="50" w:line="245" w:lineRule="auto"/>
              <w:ind w:left="173" w:hanging="173"/>
            </w:pPr>
            <w:r>
              <w:rPr>
                <w:rFonts w:ascii="Calibri" w:hAnsi="Calibri"/>
                <w:b/>
                <w:color w:val="00855F"/>
                <w:sz w:val="17"/>
              </w:rPr>
              <w:t xml:space="preserve">• </w:t>
            </w:r>
            <w:r>
              <w:rPr>
                <w:rFonts w:ascii="Calibri" w:hAnsi="Calibri"/>
                <w:b w:val="0"/>
                <w:color w:val="102033"/>
                <w:sz w:val="16"/>
              </w:rPr>
              <w:t>Transferencias entre departamentos con aceptacion del receptor.</w:t>
            </w:r>
          </w:p>
          <w:p>
            <w:pPr>
              <w:spacing w:after="50" w:line="245" w:lineRule="auto"/>
              <w:ind w:left="173" w:hanging="173"/>
            </w:pPr>
            <w:r>
              <w:rPr>
                <w:rFonts w:ascii="Calibri" w:hAnsi="Calibri"/>
                <w:b/>
                <w:color w:val="00855F"/>
                <w:sz w:val="17"/>
              </w:rPr>
              <w:t xml:space="preserve">• </w:t>
            </w:r>
            <w:r>
              <w:rPr>
                <w:rFonts w:ascii="Calibri" w:hAnsi="Calibri"/>
                <w:b w:val="0"/>
                <w:color w:val="102033"/>
                <w:sz w:val="16"/>
              </w:rPr>
              <w:t>Expediente del bien: historial, movimientos, resguardante, ubicacion y QR.</w:t>
            </w:r>
          </w:p>
          <w:p>
            <w:pPr>
              <w:spacing w:after="50" w:line="245" w:lineRule="auto"/>
              <w:ind w:left="173" w:hanging="173"/>
            </w:pPr>
            <w:r>
              <w:rPr>
                <w:rFonts w:ascii="Calibri" w:hAnsi="Calibri"/>
                <w:b/>
                <w:color w:val="00855F"/>
                <w:sz w:val="17"/>
              </w:rPr>
              <w:t xml:space="preserve">• </w:t>
            </w:r>
            <w:r>
              <w:rPr>
                <w:rFonts w:ascii="Calibri" w:hAnsi="Calibri"/>
                <w:b w:val="0"/>
                <w:color w:val="102033"/>
                <w:sz w:val="16"/>
              </w:rPr>
              <w:t>Panel ejecutivo: categorias, responsables, pendientes y alertas.</w:t>
            </w:r>
          </w:p>
        </w:tc>
        <w:tc>
          <w:tcPr>
            <w:tcW w:type="dxa" w:w="5011"/>
            <w:vAlign w:val="top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space="0" w:color="D6E0EA"/>
              <w:left w:val="single" w:sz="8" w:space="0" w:color="D6E0EA"/>
              <w:bottom w:val="single" w:sz="8" w:space="0" w:color="D6E0EA"/>
              <w:right w:val="single" w:sz="8" w:space="0" w:color="D6E0EA"/>
            </w:tcBorders>
          </w:tcPr>
          <w:p/>
          <w:p>
            <w:pPr>
              <w:spacing w:after="80"/>
              <w:jc w:val="left"/>
            </w:pPr>
            <w:r>
              <w:rPr>
                <w:rFonts w:ascii="Calibri" w:hAnsi="Calibri"/>
                <w:b/>
                <w:color w:val="00684A"/>
                <w:sz w:val="30"/>
              </w:rPr>
              <w:t>Flujo sugerido</w:t>
            </w:r>
          </w:p>
          <w:p>
            <w:pPr>
              <w:spacing w:after="120"/>
            </w:pPr>
            <w:r>
              <w:rPr>
                <w:rFonts w:ascii="Calibri" w:hAnsi="Calibri"/>
                <w:b w:val="0"/>
                <w:color w:val="52627A"/>
                <w:sz w:val="17"/>
              </w:rPr>
              <w:t>De captura a inventario oficial</w:t>
            </w:r>
          </w:p>
          <w:p>
            <w:pPr>
              <w:spacing w:after="80" w:line="252" w:lineRule="auto"/>
            </w:pPr>
            <w:r>
              <w:rPr>
                <w:rFonts w:ascii="Calibri" w:hAnsi="Calibri"/>
                <w:b/>
                <w:color w:val="00684A"/>
                <w:sz w:val="17"/>
              </w:rPr>
              <w:t>1. Captura</w:t>
            </w:r>
          </w:p>
          <w:p>
            <w:pPr>
              <w:spacing w:after="80" w:line="252" w:lineRule="auto"/>
            </w:pPr>
            <w:r>
              <w:rPr>
                <w:rFonts w:ascii="Calibri" w:hAnsi="Calibri"/>
                <w:b w:val="0"/>
                <w:color w:val="102033"/>
                <w:sz w:val="16"/>
              </w:rPr>
              <w:t>Un capturista o responsable registra activos por Excel o manualmente.</w:t>
            </w:r>
          </w:p>
          <w:p>
            <w:pPr>
              <w:spacing w:after="80" w:line="252" w:lineRule="auto"/>
            </w:pPr>
            <w:r>
              <w:rPr>
                <w:rFonts w:ascii="Calibri" w:hAnsi="Calibri"/>
                <w:b/>
                <w:color w:val="00684A"/>
                <w:sz w:val="17"/>
              </w:rPr>
              <w:t>2. Revision</w:t>
            </w:r>
          </w:p>
          <w:p>
            <w:pPr>
              <w:spacing w:after="80" w:line="252" w:lineRule="auto"/>
            </w:pPr>
            <w:r>
              <w:rPr>
                <w:rFonts w:ascii="Calibri" w:hAnsi="Calibri"/>
                <w:b w:val="0"/>
                <w:color w:val="102033"/>
                <w:sz w:val="16"/>
              </w:rPr>
              <w:t>El responsable valida datos: categoria, ubicacion, resguardante, serie, estado y evidencia.</w:t>
            </w:r>
          </w:p>
          <w:p>
            <w:pPr>
              <w:spacing w:after="80" w:line="252" w:lineRule="auto"/>
            </w:pPr>
            <w:r>
              <w:rPr>
                <w:rFonts w:ascii="Calibri" w:hAnsi="Calibri"/>
                <w:b/>
                <w:color w:val="00684A"/>
                <w:sz w:val="17"/>
              </w:rPr>
              <w:t>3. Validacion</w:t>
            </w:r>
          </w:p>
          <w:p>
            <w:pPr>
              <w:spacing w:after="80" w:line="252" w:lineRule="auto"/>
            </w:pPr>
            <w:r>
              <w:rPr>
                <w:rFonts w:ascii="Calibri" w:hAnsi="Calibri"/>
                <w:b w:val="0"/>
                <w:color w:val="102033"/>
                <w:sz w:val="16"/>
              </w:rPr>
              <w:t>El activo entra al inventario operativo y habilita etiqueta QR, movimientos, resguardos y mantenimiento.</w:t>
            </w:r>
          </w:p>
          <w:p>
            <w:pPr>
              <w:spacing w:after="80" w:line="252" w:lineRule="auto"/>
            </w:pPr>
            <w:r>
              <w:rPr>
                <w:rFonts w:ascii="Calibri" w:hAnsi="Calibri"/>
                <w:b/>
                <w:color w:val="00684A"/>
                <w:sz w:val="17"/>
              </w:rPr>
              <w:t>4. Movimiento</w:t>
            </w:r>
          </w:p>
          <w:p>
            <w:pPr>
              <w:spacing w:after="80" w:line="252" w:lineRule="auto"/>
            </w:pPr>
            <w:r>
              <w:rPr>
                <w:rFonts w:ascii="Calibri" w:hAnsi="Calibri"/>
                <w:b w:val="0"/>
                <w:color w:val="102033"/>
                <w:sz w:val="16"/>
              </w:rPr>
              <w:t>Transferencias y cambios quedan registrados; el departamento receptor acepta o rechaza.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11"/>
            </w:tblGrid>
            <w:tr>
              <w:tc>
                <w:tcPr>
                  <w:tcW w:type="dxa" w:w="5011"/>
                  <w:shd w:fill="EAF7F1"/>
                  <w:tcBorders>
                    <w:top w:val="single" w:sz="4" w:space="0" w:color="EAF7F1"/>
                    <w:left w:val="single" w:sz="4" w:space="0" w:color="EAF7F1"/>
                    <w:bottom w:val="single" w:sz="4" w:space="0" w:color="EAF7F1"/>
                    <w:right w:val="single" w:sz="4" w:space="0" w:color="EAF7F1"/>
                  </w:tcBorders>
                  <w:tcMar>
                    <w:top w:w="60" w:type="dxa"/>
                    <w:start w:w="100" w:type="dxa"/>
                    <w:bottom w:w="60" w:type="dxa"/>
                    <w:end w:w="100" w:type="dxa"/>
                  </w:tcMar>
                </w:tcPr>
                <w:p>
                  <w:r>
                    <w:rPr>
                      <w:rFonts w:ascii="Calibri" w:hAnsi="Calibri"/>
                      <w:b/>
                      <w:color w:val="00684A"/>
                      <w:sz w:val="15"/>
                    </w:rPr>
                    <w:t>RESULTADO</w:t>
                  </w:r>
                </w:p>
              </w:tc>
            </w:tr>
          </w:tbl>
          <w:p/>
          <w:p>
            <w:pPr>
              <w:spacing w:after="80" w:line="252" w:lineRule="auto"/>
            </w:pPr>
            <w:r>
              <w:rPr>
                <w:rFonts w:ascii="Calibri" w:hAnsi="Calibri"/>
                <w:b w:val="0"/>
                <w:color w:val="102033"/>
                <w:sz w:val="17"/>
              </w:rPr>
              <w:t>Cada bien conserva su historia aun cuando cambie de departamento, ubicacion o resguardante.</w:t>
            </w:r>
          </w:p>
        </w:tc>
        <w:tc>
          <w:tcPr>
            <w:tcW w:type="dxa" w:w="5011"/>
            <w:vAlign w:val="top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space="0" w:color="D6E0EA"/>
              <w:left w:val="single" w:sz="8" w:space="0" w:color="D6E0EA"/>
              <w:bottom w:val="single" w:sz="8" w:space="0" w:color="D6E0EA"/>
              <w:right w:val="single" w:sz="8" w:space="0" w:color="D6E0EA"/>
            </w:tcBorders>
          </w:tcPr>
          <w:p/>
          <w:p>
            <w:pPr>
              <w:spacing w:after="80"/>
              <w:jc w:val="left"/>
            </w:pPr>
            <w:r>
              <w:rPr>
                <w:rFonts w:ascii="Calibri" w:hAnsi="Calibri"/>
                <w:b/>
                <w:color w:val="00684A"/>
                <w:sz w:val="30"/>
              </w:rPr>
              <w:t>Ventajas y retos</w:t>
            </w:r>
          </w:p>
          <w:p>
            <w:pPr>
              <w:spacing w:after="120"/>
            </w:pPr>
            <w:r>
              <w:rPr>
                <w:rFonts w:ascii="Calibri" w:hAnsi="Calibri"/>
                <w:b w:val="0"/>
                <w:color w:val="52627A"/>
                <w:sz w:val="17"/>
              </w:rPr>
              <w:t>Lo que direccion debe considerar</w:t>
            </w:r>
          </w:p>
          <w:p>
            <w:pPr>
              <w:spacing w:after="80" w:line="252" w:lineRule="auto"/>
            </w:pPr>
            <w:r>
              <w:rPr>
                <w:rFonts w:ascii="Calibri" w:hAnsi="Calibri"/>
                <w:b/>
                <w:color w:val="00684A"/>
                <w:sz w:val="18"/>
              </w:rPr>
              <w:t>Ventajas</w:t>
            </w:r>
          </w:p>
          <w:p>
            <w:pPr>
              <w:spacing w:after="50" w:line="245" w:lineRule="auto"/>
              <w:ind w:left="173" w:hanging="173"/>
            </w:pPr>
            <w:r>
              <w:rPr>
                <w:rFonts w:ascii="Calibri" w:hAnsi="Calibri"/>
                <w:b/>
                <w:color w:val="00855F"/>
                <w:sz w:val="17"/>
              </w:rPr>
              <w:t xml:space="preserve">• </w:t>
            </w:r>
            <w:r>
              <w:rPr>
                <w:rFonts w:ascii="Calibri" w:hAnsi="Calibri"/>
                <w:b w:val="0"/>
                <w:color w:val="102033"/>
                <w:sz w:val="16"/>
              </w:rPr>
              <w:t>Mayor control del patrimonio universitario.</w:t>
            </w:r>
          </w:p>
          <w:p>
            <w:pPr>
              <w:spacing w:after="50" w:line="245" w:lineRule="auto"/>
              <w:ind w:left="173" w:hanging="173"/>
            </w:pPr>
            <w:r>
              <w:rPr>
                <w:rFonts w:ascii="Calibri" w:hAnsi="Calibri"/>
                <w:b/>
                <w:color w:val="00855F"/>
                <w:sz w:val="17"/>
              </w:rPr>
              <w:t xml:space="preserve">• </w:t>
            </w:r>
            <w:r>
              <w:rPr>
                <w:rFonts w:ascii="Calibri" w:hAnsi="Calibri"/>
                <w:b w:val="0"/>
                <w:color w:val="102033"/>
                <w:sz w:val="16"/>
              </w:rPr>
              <w:t>Responsabilidades claras por departamento.</w:t>
            </w:r>
          </w:p>
          <w:p>
            <w:pPr>
              <w:spacing w:after="50" w:line="245" w:lineRule="auto"/>
              <w:ind w:left="173" w:hanging="173"/>
            </w:pPr>
            <w:r>
              <w:rPr>
                <w:rFonts w:ascii="Calibri" w:hAnsi="Calibri"/>
                <w:b/>
                <w:color w:val="00855F"/>
                <w:sz w:val="17"/>
              </w:rPr>
              <w:t xml:space="preserve">• </w:t>
            </w:r>
            <w:r>
              <w:rPr>
                <w:rFonts w:ascii="Calibri" w:hAnsi="Calibri"/>
                <w:b w:val="0"/>
                <w:color w:val="102033"/>
                <w:sz w:val="16"/>
              </w:rPr>
              <w:t>Menos perdida de informacion y mejor evidencia para auditorias.</w:t>
            </w:r>
          </w:p>
          <w:p>
            <w:pPr>
              <w:spacing w:after="50" w:line="245" w:lineRule="auto"/>
              <w:ind w:left="173" w:hanging="173"/>
            </w:pPr>
            <w:r>
              <w:rPr>
                <w:rFonts w:ascii="Calibri" w:hAnsi="Calibri"/>
                <w:b/>
                <w:color w:val="00855F"/>
                <w:sz w:val="17"/>
              </w:rPr>
              <w:t xml:space="preserve">• </w:t>
            </w:r>
            <w:r>
              <w:rPr>
                <w:rFonts w:ascii="Calibri" w:hAnsi="Calibri"/>
                <w:b w:val="0"/>
                <w:color w:val="102033"/>
                <w:sz w:val="16"/>
              </w:rPr>
              <w:t>Base para mantenimiento, bajas, prestamos y reemplazos.</w:t>
            </w:r>
          </w:p>
          <w:p>
            <w:pPr>
              <w:spacing w:after="80" w:line="252" w:lineRule="auto"/>
            </w:pPr>
            <w:r>
              <w:rPr>
                <w:rFonts w:ascii="Calibri" w:hAnsi="Calibri"/>
                <w:b/>
                <w:color w:val="B7791F"/>
                <w:sz w:val="18"/>
              </w:rPr>
              <w:t>Retos de implementacion</w:t>
            </w:r>
          </w:p>
          <w:p>
            <w:pPr>
              <w:spacing w:after="50" w:line="245" w:lineRule="auto"/>
              <w:ind w:left="173" w:hanging="173"/>
            </w:pPr>
            <w:r>
              <w:rPr>
                <w:rFonts w:ascii="Calibri" w:hAnsi="Calibri"/>
                <w:b/>
                <w:color w:val="00855F"/>
                <w:sz w:val="17"/>
              </w:rPr>
              <w:t xml:space="preserve">• </w:t>
            </w:r>
            <w:r>
              <w:rPr>
                <w:rFonts w:ascii="Calibri" w:hAnsi="Calibri"/>
                <w:b w:val="0"/>
                <w:color w:val="102033"/>
                <w:sz w:val="16"/>
              </w:rPr>
              <w:t>Depurar catalogos: departamentos, usuarios, laboratorios y ubicaciones.</w:t>
            </w:r>
          </w:p>
          <w:p>
            <w:pPr>
              <w:spacing w:after="50" w:line="245" w:lineRule="auto"/>
              <w:ind w:left="173" w:hanging="173"/>
            </w:pPr>
            <w:r>
              <w:rPr>
                <w:rFonts w:ascii="Calibri" w:hAnsi="Calibri"/>
                <w:b/>
                <w:color w:val="00855F"/>
                <w:sz w:val="17"/>
              </w:rPr>
              <w:t xml:space="preserve">• </w:t>
            </w:r>
            <w:r>
              <w:rPr>
                <w:rFonts w:ascii="Calibri" w:hAnsi="Calibri"/>
                <w:b w:val="0"/>
                <w:color w:val="102033"/>
                <w:sz w:val="16"/>
              </w:rPr>
              <w:t>Definir responsables y permisos reales.</w:t>
            </w:r>
          </w:p>
          <w:p>
            <w:pPr>
              <w:spacing w:after="50" w:line="245" w:lineRule="auto"/>
              <w:ind w:left="173" w:hanging="173"/>
            </w:pPr>
            <w:r>
              <w:rPr>
                <w:rFonts w:ascii="Calibri" w:hAnsi="Calibri"/>
                <w:b/>
                <w:color w:val="00855F"/>
                <w:sz w:val="17"/>
              </w:rPr>
              <w:t xml:space="preserve">• </w:t>
            </w:r>
            <w:r>
              <w:rPr>
                <w:rFonts w:ascii="Calibri" w:hAnsi="Calibri"/>
                <w:b w:val="0"/>
                <w:color w:val="102033"/>
                <w:sz w:val="16"/>
              </w:rPr>
              <w:t>Estandarizar codigos, resguardos, etiquetas y evidencia.</w:t>
            </w:r>
          </w:p>
          <w:p>
            <w:pPr>
              <w:spacing w:after="50" w:line="245" w:lineRule="auto"/>
              <w:ind w:left="173" w:hanging="173"/>
            </w:pPr>
            <w:r>
              <w:rPr>
                <w:rFonts w:ascii="Calibri" w:hAnsi="Calibri"/>
                <w:b/>
                <w:color w:val="00855F"/>
                <w:sz w:val="17"/>
              </w:rPr>
              <w:t xml:space="preserve">• </w:t>
            </w:r>
            <w:r>
              <w:rPr>
                <w:rFonts w:ascii="Calibri" w:hAnsi="Calibri"/>
                <w:b w:val="0"/>
                <w:color w:val="102033"/>
                <w:sz w:val="16"/>
              </w:rPr>
              <w:t>Asignar almacenamiento y respaldo desde el inicio.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11"/>
            </w:tblGrid>
            <w:tr>
              <w:tc>
                <w:tcPr>
                  <w:tcW w:type="dxa" w:w="5011"/>
                  <w:shd w:fill="EAF7F1"/>
                  <w:tcBorders>
                    <w:top w:val="single" w:sz="4" w:space="0" w:color="EAF7F1"/>
                    <w:left w:val="single" w:sz="4" w:space="0" w:color="EAF7F1"/>
                    <w:bottom w:val="single" w:sz="4" w:space="0" w:color="EAF7F1"/>
                    <w:right w:val="single" w:sz="4" w:space="0" w:color="EAF7F1"/>
                  </w:tcBorders>
                  <w:tcMar>
                    <w:top w:w="60" w:type="dxa"/>
                    <w:start w:w="100" w:type="dxa"/>
                    <w:bottom w:w="60" w:type="dxa"/>
                    <w:end w:w="100" w:type="dxa"/>
                  </w:tcMar>
                </w:tcPr>
                <w:p>
                  <w:r>
                    <w:rPr>
                      <w:rFonts w:ascii="Calibri" w:hAnsi="Calibri"/>
                      <w:b/>
                      <w:color w:val="00684A"/>
                      <w:sz w:val="15"/>
                    </w:rPr>
                    <w:t>MENSAJE CLAVE</w:t>
                  </w:r>
                </w:p>
              </w:tc>
            </w:tr>
          </w:tbl>
          <w:p/>
          <w:p>
            <w:pPr>
              <w:spacing w:after="80" w:line="252" w:lineRule="auto"/>
            </w:pPr>
            <w:r>
              <w:rPr>
                <w:rFonts w:ascii="Calibri" w:hAnsi="Calibri"/>
                <w:b/>
                <w:color w:val="102033"/>
                <w:sz w:val="18"/>
              </w:rPr>
              <w:t>SIGA no sustituye las decisiones institucionales: las ordena, documenta y vuelve medibles.</w:t>
            </w:r>
          </w:p>
        </w:tc>
      </w:tr>
    </w:tbl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