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&gt; Generate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Pr>
          <w:rFonts w:ascii="Times New Roman" w:hAnsi="Times New Roman" w:cs="Times New Roman"/>
          <w:sz w:val="24"/>
          <w:szCs w:val="24"/>
        </w:rPr>
        <w:t xml:space="preserve"> icon refers to a private variable,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lastRenderedPageBreak/>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lastRenderedPageBreak/>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lastRenderedPageBreak/>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lastRenderedPageBreak/>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outside of the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1266"/>
        <w:gridCol w:w="1686"/>
        <w:gridCol w:w="1971"/>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a private variable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the value of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car = </w:t>
      </w:r>
      <w:r w:rsidR="004E08CD" w:rsidRPr="004E08CD">
        <w:rPr>
          <w:i/>
        </w:rPr>
        <w:lastRenderedPageBreak/>
        <w:t>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953"/>
        <w:gridCol w:w="1991"/>
        <w:gridCol w:w="1986"/>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bookmarkStart w:id="0" w:name="_GoBack"/>
      <w:bookmarkEnd w:id="0"/>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4C12" w:rsidRPr="00B665BE" w:rsidRDefault="002D4C12" w:rsidP="00137118">
      <w:pPr>
        <w:pStyle w:val="CGeneralText"/>
        <w:numPr>
          <w:ilvl w:val="0"/>
          <w:numId w:val="0"/>
        </w:numPr>
      </w:pPr>
    </w:p>
    <w:sectPr w:rsidR="002D4C12"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ABB" w:rsidRDefault="002D3ABB" w:rsidP="0047482A">
      <w:pPr>
        <w:spacing w:after="0" w:line="240" w:lineRule="auto"/>
      </w:pPr>
      <w:r>
        <w:separator/>
      </w:r>
    </w:p>
  </w:endnote>
  <w:endnote w:type="continuationSeparator" w:id="0">
    <w:p w:rsidR="002D3ABB" w:rsidRDefault="002D3AB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ABB" w:rsidRDefault="002D3ABB" w:rsidP="0047482A">
      <w:pPr>
        <w:spacing w:after="0" w:line="240" w:lineRule="auto"/>
      </w:pPr>
      <w:r>
        <w:separator/>
      </w:r>
    </w:p>
  </w:footnote>
  <w:footnote w:type="continuationSeparator" w:id="0">
    <w:p w:rsidR="002D3ABB" w:rsidRDefault="002D3AB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200F"/>
    <w:rsid w:val="000060C5"/>
    <w:rsid w:val="00010AEB"/>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129"/>
    <w:rsid w:val="00127A16"/>
    <w:rsid w:val="00134935"/>
    <w:rsid w:val="00137118"/>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BBC"/>
    <w:rsid w:val="00274C64"/>
    <w:rsid w:val="00286228"/>
    <w:rsid w:val="00286C22"/>
    <w:rsid w:val="00287EA1"/>
    <w:rsid w:val="002B2735"/>
    <w:rsid w:val="002B424C"/>
    <w:rsid w:val="002B570E"/>
    <w:rsid w:val="002C425A"/>
    <w:rsid w:val="002D3ABB"/>
    <w:rsid w:val="002D4C12"/>
    <w:rsid w:val="00306822"/>
    <w:rsid w:val="00325DAD"/>
    <w:rsid w:val="00333698"/>
    <w:rsid w:val="00335820"/>
    <w:rsid w:val="00344B38"/>
    <w:rsid w:val="00355DE0"/>
    <w:rsid w:val="00380AA8"/>
    <w:rsid w:val="003863A9"/>
    <w:rsid w:val="00394CBB"/>
    <w:rsid w:val="00396066"/>
    <w:rsid w:val="00396B8E"/>
    <w:rsid w:val="00396C7C"/>
    <w:rsid w:val="003B7474"/>
    <w:rsid w:val="003C002B"/>
    <w:rsid w:val="003E335B"/>
    <w:rsid w:val="003F18B9"/>
    <w:rsid w:val="003F260E"/>
    <w:rsid w:val="003F41CD"/>
    <w:rsid w:val="00406946"/>
    <w:rsid w:val="0041148E"/>
    <w:rsid w:val="004152BB"/>
    <w:rsid w:val="00426F63"/>
    <w:rsid w:val="004323A9"/>
    <w:rsid w:val="004613E0"/>
    <w:rsid w:val="004741C2"/>
    <w:rsid w:val="0047482A"/>
    <w:rsid w:val="0047611A"/>
    <w:rsid w:val="004961CE"/>
    <w:rsid w:val="004B2B77"/>
    <w:rsid w:val="004C0AA7"/>
    <w:rsid w:val="004E08CD"/>
    <w:rsid w:val="004E26B5"/>
    <w:rsid w:val="004E76AE"/>
    <w:rsid w:val="005132FC"/>
    <w:rsid w:val="0051735C"/>
    <w:rsid w:val="00523997"/>
    <w:rsid w:val="005616B5"/>
    <w:rsid w:val="00580572"/>
    <w:rsid w:val="00580637"/>
    <w:rsid w:val="00580870"/>
    <w:rsid w:val="00590805"/>
    <w:rsid w:val="005A059E"/>
    <w:rsid w:val="005A458D"/>
    <w:rsid w:val="005B5946"/>
    <w:rsid w:val="005C32FE"/>
    <w:rsid w:val="005D6DFA"/>
    <w:rsid w:val="005F6992"/>
    <w:rsid w:val="005F6B12"/>
    <w:rsid w:val="005F7053"/>
    <w:rsid w:val="006038D3"/>
    <w:rsid w:val="00604008"/>
    <w:rsid w:val="006106E6"/>
    <w:rsid w:val="006170E7"/>
    <w:rsid w:val="006202F0"/>
    <w:rsid w:val="006257E5"/>
    <w:rsid w:val="00637520"/>
    <w:rsid w:val="006425C5"/>
    <w:rsid w:val="006456BA"/>
    <w:rsid w:val="00647B7C"/>
    <w:rsid w:val="0065317E"/>
    <w:rsid w:val="00656631"/>
    <w:rsid w:val="00660151"/>
    <w:rsid w:val="00662A6A"/>
    <w:rsid w:val="00664EAD"/>
    <w:rsid w:val="00691A33"/>
    <w:rsid w:val="006946F7"/>
    <w:rsid w:val="00696ECA"/>
    <w:rsid w:val="006A4C02"/>
    <w:rsid w:val="006B0607"/>
    <w:rsid w:val="006B0724"/>
    <w:rsid w:val="006C35F8"/>
    <w:rsid w:val="006D6779"/>
    <w:rsid w:val="006E4444"/>
    <w:rsid w:val="006F01DE"/>
    <w:rsid w:val="006F5A4E"/>
    <w:rsid w:val="00701B64"/>
    <w:rsid w:val="00707BD5"/>
    <w:rsid w:val="00720044"/>
    <w:rsid w:val="00732CCB"/>
    <w:rsid w:val="00765951"/>
    <w:rsid w:val="007B51E7"/>
    <w:rsid w:val="007C3CC2"/>
    <w:rsid w:val="007C572B"/>
    <w:rsid w:val="007D3A5D"/>
    <w:rsid w:val="007F5973"/>
    <w:rsid w:val="007F5A28"/>
    <w:rsid w:val="007F7415"/>
    <w:rsid w:val="0080389F"/>
    <w:rsid w:val="0081356B"/>
    <w:rsid w:val="00827A01"/>
    <w:rsid w:val="0083423E"/>
    <w:rsid w:val="0083608B"/>
    <w:rsid w:val="00844AF3"/>
    <w:rsid w:val="00844E37"/>
    <w:rsid w:val="00852321"/>
    <w:rsid w:val="008C5F4D"/>
    <w:rsid w:val="008D1B71"/>
    <w:rsid w:val="008D2369"/>
    <w:rsid w:val="008E17FF"/>
    <w:rsid w:val="008F5909"/>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926C7"/>
    <w:rsid w:val="00AA0A58"/>
    <w:rsid w:val="00AA2C5C"/>
    <w:rsid w:val="00AD0BEA"/>
    <w:rsid w:val="00AF4858"/>
    <w:rsid w:val="00B243C1"/>
    <w:rsid w:val="00B40DBC"/>
    <w:rsid w:val="00B55EDB"/>
    <w:rsid w:val="00B665BE"/>
    <w:rsid w:val="00B75165"/>
    <w:rsid w:val="00BA5C4E"/>
    <w:rsid w:val="00BB08B7"/>
    <w:rsid w:val="00BB2D70"/>
    <w:rsid w:val="00BC4AC8"/>
    <w:rsid w:val="00BC5913"/>
    <w:rsid w:val="00BD0AA8"/>
    <w:rsid w:val="00BD27B9"/>
    <w:rsid w:val="00BD3D2E"/>
    <w:rsid w:val="00BE262D"/>
    <w:rsid w:val="00BF35B8"/>
    <w:rsid w:val="00BF3A3A"/>
    <w:rsid w:val="00BF4119"/>
    <w:rsid w:val="00BF6DE2"/>
    <w:rsid w:val="00C2771A"/>
    <w:rsid w:val="00C279E7"/>
    <w:rsid w:val="00C3552B"/>
    <w:rsid w:val="00C51938"/>
    <w:rsid w:val="00C52B9D"/>
    <w:rsid w:val="00C602B3"/>
    <w:rsid w:val="00C92B90"/>
    <w:rsid w:val="00CA5BB0"/>
    <w:rsid w:val="00CB0160"/>
    <w:rsid w:val="00CB63C1"/>
    <w:rsid w:val="00D0088B"/>
    <w:rsid w:val="00D02690"/>
    <w:rsid w:val="00D058D2"/>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B46"/>
    <w:rsid w:val="00F308E7"/>
    <w:rsid w:val="00F31A10"/>
    <w:rsid w:val="00F33540"/>
    <w:rsid w:val="00F40B74"/>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0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2018-01-28T18:15:00Z</dcterms:modified>
</cp:coreProperties>
</file>