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t>MenuBar</w:t>
      </w:r>
      <w:proofErr w:type="spellEnd"/>
      <w:r>
        <w:t xml:space="preserve"> </w:t>
      </w:r>
      <w:r w:rsidR="00C72BFE">
        <w:t xml:space="preserve">&gt; Menu’ elements to create a menu, and ‘items &gt; </w:t>
      </w:r>
      <w:proofErr w:type="spellStart"/>
      <w:r w:rsidR="00C72BFE">
        <w:t>MenuItem</w:t>
      </w:r>
      <w:proofErr w:type="spellEnd"/>
      <w:r w:rsidR="00C72BFE">
        <w:t>’ to create items in a menu.</w:t>
      </w:r>
    </w:p>
    <w:p w:rsidR="00C72BFE" w:rsidRPr="007306C0" w:rsidRDefault="00C72BFE" w:rsidP="0073582D">
      <w:pPr>
        <w:pStyle w:val="CGeneralText"/>
        <w:numPr>
          <w:ilvl w:val="0"/>
          <w:numId w:val="17"/>
        </w:numPr>
      </w:pP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t>
      </w:r>
      <w:r>
        <w:lastRenderedPageBreak/>
        <w:t xml:space="preserve">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lastRenderedPageBreak/>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lastRenderedPageBreak/>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w:t>
      </w:r>
      <w:r w:rsidR="00770E64">
        <w:lastRenderedPageBreak/>
        <w:t xml:space="preserve">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lastRenderedPageBreak/>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lastRenderedPageBreak/>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lastRenderedPageBreak/>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67C" w:rsidRDefault="0053567C" w:rsidP="0047482A">
      <w:pPr>
        <w:spacing w:after="0" w:line="240" w:lineRule="auto"/>
      </w:pPr>
      <w:r>
        <w:separator/>
      </w:r>
    </w:p>
  </w:endnote>
  <w:endnote w:type="continuationSeparator" w:id="0">
    <w:p w:rsidR="0053567C" w:rsidRDefault="0053567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67C" w:rsidRDefault="0053567C" w:rsidP="0047482A">
      <w:pPr>
        <w:spacing w:after="0" w:line="240" w:lineRule="auto"/>
      </w:pPr>
      <w:r>
        <w:separator/>
      </w:r>
    </w:p>
  </w:footnote>
  <w:footnote w:type="continuationSeparator" w:id="0">
    <w:p w:rsidR="0053567C" w:rsidRDefault="0053567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5EF2C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0A83"/>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5A6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11713</Words>
  <Characters>66766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2018-05-05T21:44:00Z</dcterms:modified>
</cp:coreProperties>
</file>