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 xml:space="preserve">ArrayList&lt;String&gt; str = new </w:t>
      </w:r>
      <w:r w:rsidRPr="001B1F43">
        <w:rPr>
          <w:i/>
        </w:rPr>
        <w:lastRenderedPageBreak/>
        <w:t>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B13634" w:rsidP="00B13634">
      <w:pPr>
        <w:pStyle w:val="CGeneralText"/>
        <w:numPr>
          <w:ilvl w:val="0"/>
          <w:numId w:val="0"/>
        </w:numPr>
        <w:ind w:left="720" w:hanging="360"/>
        <w:rPr>
          <w:b/>
        </w:rPr>
      </w:pPr>
      <w:r>
        <w:rPr>
          <w:b/>
        </w:rPr>
        <w:t xml:space="preserve">Section 12 -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6D79F4" w:rsidRDefault="006D79F4" w:rsidP="00665200">
      <w:pPr>
        <w:pStyle w:val="CGeneralText"/>
        <w:numPr>
          <w:ilvl w:val="0"/>
          <w:numId w:val="15"/>
        </w:numPr>
      </w:pPr>
      <w:r>
        <w:rPr>
          <w:b/>
        </w:rPr>
        <w:t>Scope</w:t>
      </w:r>
      <w:r>
        <w:t xml:space="preserve"> refers the visibility of a class, member, or variable. </w:t>
      </w:r>
      <w:r w:rsidR="00BE28C9">
        <w:t>When an entity is used the compiler checks the local code block first, followed by enclosing code blocks to find the name before giving an error.</w:t>
      </w:r>
      <w:bookmarkStart w:id="0" w:name="_GoBack"/>
      <w:bookmarkEnd w:id="0"/>
    </w:p>
    <w:p w:rsidR="00B15050" w:rsidRDefault="00B15050" w:rsidP="00665200">
      <w:pPr>
        <w:pStyle w:val="CGeneralText"/>
        <w:numPr>
          <w:ilvl w:val="0"/>
          <w:numId w:val="15"/>
        </w:numPr>
      </w:pPr>
      <w:r>
        <w:t>Local variables take precedence over fields</w:t>
      </w:r>
      <w:r w:rsidR="00BF49FE">
        <w:t xml:space="preserve"> with the same name</w:t>
      </w:r>
      <w:r>
        <w:t>.</w:t>
      </w:r>
    </w:p>
    <w:sectPr w:rsidR="00B15050"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5CB" w:rsidRDefault="004205CB" w:rsidP="0047482A">
      <w:pPr>
        <w:spacing w:after="0" w:line="240" w:lineRule="auto"/>
      </w:pPr>
      <w:r>
        <w:separator/>
      </w:r>
    </w:p>
  </w:endnote>
  <w:endnote w:type="continuationSeparator" w:id="0">
    <w:p w:rsidR="004205CB" w:rsidRDefault="004205CB"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5CB" w:rsidRDefault="004205CB" w:rsidP="0047482A">
      <w:pPr>
        <w:spacing w:after="0" w:line="240" w:lineRule="auto"/>
      </w:pPr>
      <w:r>
        <w:separator/>
      </w:r>
    </w:p>
  </w:footnote>
  <w:footnote w:type="continuationSeparator" w:id="0">
    <w:p w:rsidR="004205CB" w:rsidRDefault="004205CB"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4"/>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50CE4"/>
    <w:rsid w:val="000545F6"/>
    <w:rsid w:val="00054999"/>
    <w:rsid w:val="00055E4F"/>
    <w:rsid w:val="00056DD4"/>
    <w:rsid w:val="00062A9C"/>
    <w:rsid w:val="000648A1"/>
    <w:rsid w:val="00064C1D"/>
    <w:rsid w:val="000708B5"/>
    <w:rsid w:val="000722E6"/>
    <w:rsid w:val="00075755"/>
    <w:rsid w:val="00085B7D"/>
    <w:rsid w:val="00087CEC"/>
    <w:rsid w:val="00093852"/>
    <w:rsid w:val="000A1953"/>
    <w:rsid w:val="000A31E0"/>
    <w:rsid w:val="000A44EE"/>
    <w:rsid w:val="000A72AE"/>
    <w:rsid w:val="000B12A1"/>
    <w:rsid w:val="000B318E"/>
    <w:rsid w:val="000B66F1"/>
    <w:rsid w:val="000D263E"/>
    <w:rsid w:val="000E0376"/>
    <w:rsid w:val="000E1C95"/>
    <w:rsid w:val="000E52C1"/>
    <w:rsid w:val="000F02F0"/>
    <w:rsid w:val="000F09DB"/>
    <w:rsid w:val="000F2575"/>
    <w:rsid w:val="000F5C78"/>
    <w:rsid w:val="000F635B"/>
    <w:rsid w:val="000F6B27"/>
    <w:rsid w:val="0010217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24E8F"/>
    <w:rsid w:val="00325DAD"/>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05CB"/>
    <w:rsid w:val="00426F63"/>
    <w:rsid w:val="004323A9"/>
    <w:rsid w:val="00435EA0"/>
    <w:rsid w:val="004407EE"/>
    <w:rsid w:val="004521B6"/>
    <w:rsid w:val="004613E0"/>
    <w:rsid w:val="0046246B"/>
    <w:rsid w:val="004655B8"/>
    <w:rsid w:val="004741C2"/>
    <w:rsid w:val="0047482A"/>
    <w:rsid w:val="00474D86"/>
    <w:rsid w:val="00475932"/>
    <w:rsid w:val="0047611A"/>
    <w:rsid w:val="00477B53"/>
    <w:rsid w:val="00482995"/>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2E23"/>
    <w:rsid w:val="00534DC4"/>
    <w:rsid w:val="00555C23"/>
    <w:rsid w:val="005616B5"/>
    <w:rsid w:val="00562B6E"/>
    <w:rsid w:val="005753D1"/>
    <w:rsid w:val="00580572"/>
    <w:rsid w:val="00580637"/>
    <w:rsid w:val="00580870"/>
    <w:rsid w:val="005818C0"/>
    <w:rsid w:val="00581E50"/>
    <w:rsid w:val="00590805"/>
    <w:rsid w:val="00593D64"/>
    <w:rsid w:val="00593FC1"/>
    <w:rsid w:val="005945C6"/>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50B23"/>
    <w:rsid w:val="00755234"/>
    <w:rsid w:val="00755613"/>
    <w:rsid w:val="00761653"/>
    <w:rsid w:val="00765951"/>
    <w:rsid w:val="00781ACC"/>
    <w:rsid w:val="00781B13"/>
    <w:rsid w:val="0078208A"/>
    <w:rsid w:val="007863A7"/>
    <w:rsid w:val="007874EA"/>
    <w:rsid w:val="00787E9D"/>
    <w:rsid w:val="00792A8E"/>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6AF6"/>
    <w:rsid w:val="0082003C"/>
    <w:rsid w:val="00827A01"/>
    <w:rsid w:val="00831CCF"/>
    <w:rsid w:val="0083423E"/>
    <w:rsid w:val="0083608B"/>
    <w:rsid w:val="00837A6C"/>
    <w:rsid w:val="00844AF3"/>
    <w:rsid w:val="00844E37"/>
    <w:rsid w:val="008458A5"/>
    <w:rsid w:val="00852321"/>
    <w:rsid w:val="0086276C"/>
    <w:rsid w:val="0087252E"/>
    <w:rsid w:val="00882B2F"/>
    <w:rsid w:val="00896149"/>
    <w:rsid w:val="008A05A7"/>
    <w:rsid w:val="008A421C"/>
    <w:rsid w:val="008C5F4D"/>
    <w:rsid w:val="008C6325"/>
    <w:rsid w:val="008C7253"/>
    <w:rsid w:val="008D1B71"/>
    <w:rsid w:val="008D2369"/>
    <w:rsid w:val="008D50A9"/>
    <w:rsid w:val="008D535E"/>
    <w:rsid w:val="008E17FF"/>
    <w:rsid w:val="008F1726"/>
    <w:rsid w:val="008F53D4"/>
    <w:rsid w:val="008F5909"/>
    <w:rsid w:val="0090371D"/>
    <w:rsid w:val="009179D4"/>
    <w:rsid w:val="00931CF7"/>
    <w:rsid w:val="0093484A"/>
    <w:rsid w:val="00936964"/>
    <w:rsid w:val="0093766B"/>
    <w:rsid w:val="00937BBF"/>
    <w:rsid w:val="00941A84"/>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E28C9"/>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06D"/>
    <w:rsid w:val="00D304BF"/>
    <w:rsid w:val="00D349AC"/>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49E9"/>
    <w:rsid w:val="00DC713A"/>
    <w:rsid w:val="00DD699C"/>
    <w:rsid w:val="00DE3C6A"/>
    <w:rsid w:val="00E05539"/>
    <w:rsid w:val="00E07A7D"/>
    <w:rsid w:val="00E17414"/>
    <w:rsid w:val="00E21800"/>
    <w:rsid w:val="00E22325"/>
    <w:rsid w:val="00E30271"/>
    <w:rsid w:val="00E43435"/>
    <w:rsid w:val="00E46DD2"/>
    <w:rsid w:val="00E47DC0"/>
    <w:rsid w:val="00E51792"/>
    <w:rsid w:val="00E557B7"/>
    <w:rsid w:val="00E5671E"/>
    <w:rsid w:val="00E61C3B"/>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D13CB"/>
    <w:rsid w:val="00ED37AC"/>
    <w:rsid w:val="00ED3B1D"/>
    <w:rsid w:val="00ED3B5D"/>
    <w:rsid w:val="00ED61CB"/>
    <w:rsid w:val="00ED6B63"/>
    <w:rsid w:val="00EE0B77"/>
    <w:rsid w:val="00EE1CC3"/>
    <w:rsid w:val="00EE2387"/>
    <w:rsid w:val="00EF4048"/>
    <w:rsid w:val="00EF4AF8"/>
    <w:rsid w:val="00F01DFF"/>
    <w:rsid w:val="00F03479"/>
    <w:rsid w:val="00F04316"/>
    <w:rsid w:val="00F05A1C"/>
    <w:rsid w:val="00F105CE"/>
    <w:rsid w:val="00F105D1"/>
    <w:rsid w:val="00F10B46"/>
    <w:rsid w:val="00F1189B"/>
    <w:rsid w:val="00F2180A"/>
    <w:rsid w:val="00F23F95"/>
    <w:rsid w:val="00F30529"/>
    <w:rsid w:val="00F308E7"/>
    <w:rsid w:val="00F31A10"/>
    <w:rsid w:val="00F32BB1"/>
    <w:rsid w:val="00F33540"/>
    <w:rsid w:val="00F40B74"/>
    <w:rsid w:val="00F40D74"/>
    <w:rsid w:val="00F44D6E"/>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765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5481</Words>
  <Characters>31247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2018-03-18T08:11:00Z</dcterms:modified>
</cp:coreProperties>
</file>