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6B3FA7">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Pr>
          <w:i/>
        </w:rPr>
        <w:t>‘</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ORDER BY artists.name, albums.name, songs.track;’</w:t>
      </w:r>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Default="006D1B34" w:rsidP="006D1B34">
      <w:pPr>
        <w:pStyle w:val="CGeneralText"/>
        <w:numPr>
          <w:ilvl w:val="0"/>
          <w:numId w:val="21"/>
        </w:numPr>
      </w:pPr>
      <w:r>
        <w:t xml:space="preserve">Challenge 10: </w:t>
      </w:r>
      <w:r>
        <w:rPr>
          <w:i/>
        </w:rPr>
        <w:t>‘</w:t>
      </w:r>
      <w:bookmarkStart w:id="0" w:name="_GoBack"/>
      <w:bookmarkEnd w:id="0"/>
      <w:r>
        <w:rPr>
          <w:i/>
        </w:rPr>
        <w: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C0A" w:rsidRDefault="003F4C0A" w:rsidP="0047482A">
      <w:pPr>
        <w:spacing w:after="0" w:line="240" w:lineRule="auto"/>
      </w:pPr>
      <w:r>
        <w:separator/>
      </w:r>
    </w:p>
  </w:endnote>
  <w:endnote w:type="continuationSeparator" w:id="0">
    <w:p w:rsidR="003F4C0A" w:rsidRDefault="003F4C0A"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C0A" w:rsidRDefault="003F4C0A" w:rsidP="0047482A">
      <w:pPr>
        <w:spacing w:after="0" w:line="240" w:lineRule="auto"/>
      </w:pPr>
      <w:r>
        <w:separator/>
      </w:r>
    </w:p>
  </w:footnote>
  <w:footnote w:type="continuationSeparator" w:id="0">
    <w:p w:rsidR="003F4C0A" w:rsidRDefault="003F4C0A"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228CD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E3095"/>
    <w:rsid w:val="001F4D25"/>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7ED6"/>
    <w:rsid w:val="002B2735"/>
    <w:rsid w:val="002B424C"/>
    <w:rsid w:val="002B570E"/>
    <w:rsid w:val="002B6892"/>
    <w:rsid w:val="002C425A"/>
    <w:rsid w:val="002C6FFB"/>
    <w:rsid w:val="002C7B6E"/>
    <w:rsid w:val="002D4C12"/>
    <w:rsid w:val="002D60E0"/>
    <w:rsid w:val="002E0F0A"/>
    <w:rsid w:val="002E4D3E"/>
    <w:rsid w:val="002E6289"/>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70BA"/>
    <w:rsid w:val="003C79A9"/>
    <w:rsid w:val="003D6092"/>
    <w:rsid w:val="003D6B1C"/>
    <w:rsid w:val="003E05CF"/>
    <w:rsid w:val="003E335B"/>
    <w:rsid w:val="003E57AD"/>
    <w:rsid w:val="003F18B9"/>
    <w:rsid w:val="003F21CE"/>
    <w:rsid w:val="003F260E"/>
    <w:rsid w:val="003F2D81"/>
    <w:rsid w:val="003F34CE"/>
    <w:rsid w:val="003F41CD"/>
    <w:rsid w:val="003F4C0A"/>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C35F8"/>
    <w:rsid w:val="006C6F4C"/>
    <w:rsid w:val="006D09A1"/>
    <w:rsid w:val="006D1B34"/>
    <w:rsid w:val="006D3C5C"/>
    <w:rsid w:val="006D5D95"/>
    <w:rsid w:val="006D6779"/>
    <w:rsid w:val="006D79F4"/>
    <w:rsid w:val="006E0BFF"/>
    <w:rsid w:val="006E2ADF"/>
    <w:rsid w:val="006E4444"/>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276C"/>
    <w:rsid w:val="0087029A"/>
    <w:rsid w:val="0087252E"/>
    <w:rsid w:val="00881F1A"/>
    <w:rsid w:val="00882B2F"/>
    <w:rsid w:val="00894C01"/>
    <w:rsid w:val="00896149"/>
    <w:rsid w:val="008A05A7"/>
    <w:rsid w:val="008A421C"/>
    <w:rsid w:val="008A761B"/>
    <w:rsid w:val="008B128F"/>
    <w:rsid w:val="008B3CDC"/>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5F2D"/>
    <w:rsid w:val="00A6673F"/>
    <w:rsid w:val="00A66D9C"/>
    <w:rsid w:val="00A6714B"/>
    <w:rsid w:val="00A67C69"/>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41A3"/>
    <w:rsid w:val="00AD5FCD"/>
    <w:rsid w:val="00AD61DD"/>
    <w:rsid w:val="00AE0201"/>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51FB8"/>
    <w:rsid w:val="00B54F58"/>
    <w:rsid w:val="00B55EDB"/>
    <w:rsid w:val="00B569BE"/>
    <w:rsid w:val="00B573F3"/>
    <w:rsid w:val="00B6030D"/>
    <w:rsid w:val="00B62C5D"/>
    <w:rsid w:val="00B640BA"/>
    <w:rsid w:val="00B665BE"/>
    <w:rsid w:val="00B666D5"/>
    <w:rsid w:val="00B75165"/>
    <w:rsid w:val="00B758EE"/>
    <w:rsid w:val="00B76C53"/>
    <w:rsid w:val="00B77859"/>
    <w:rsid w:val="00B877D3"/>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913"/>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5D81"/>
    <w:rsid w:val="00C16CDE"/>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40BE"/>
    <w:rsid w:val="00C96459"/>
    <w:rsid w:val="00C97203"/>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3AB0"/>
    <w:rsid w:val="00D0088B"/>
    <w:rsid w:val="00D00C40"/>
    <w:rsid w:val="00D02690"/>
    <w:rsid w:val="00D058D2"/>
    <w:rsid w:val="00D10C7D"/>
    <w:rsid w:val="00D1299C"/>
    <w:rsid w:val="00D1555F"/>
    <w:rsid w:val="00D16EBB"/>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78E"/>
    <w:rsid w:val="00D7076C"/>
    <w:rsid w:val="00D7083A"/>
    <w:rsid w:val="00D73123"/>
    <w:rsid w:val="00D7513B"/>
    <w:rsid w:val="00D7639F"/>
    <w:rsid w:val="00D77463"/>
    <w:rsid w:val="00D8115E"/>
    <w:rsid w:val="00D84CB8"/>
    <w:rsid w:val="00D90116"/>
    <w:rsid w:val="00D9283F"/>
    <w:rsid w:val="00D949C4"/>
    <w:rsid w:val="00D97525"/>
    <w:rsid w:val="00DA0802"/>
    <w:rsid w:val="00DA0ACA"/>
    <w:rsid w:val="00DA42D0"/>
    <w:rsid w:val="00DA4D60"/>
    <w:rsid w:val="00DA7A69"/>
    <w:rsid w:val="00DA7E31"/>
    <w:rsid w:val="00DB1522"/>
    <w:rsid w:val="00DB179B"/>
    <w:rsid w:val="00DC118A"/>
    <w:rsid w:val="00DC49E9"/>
    <w:rsid w:val="00DC713A"/>
    <w:rsid w:val="00DD699C"/>
    <w:rsid w:val="00DE3C6A"/>
    <w:rsid w:val="00DF1410"/>
    <w:rsid w:val="00DF7D0F"/>
    <w:rsid w:val="00E0380C"/>
    <w:rsid w:val="00E05539"/>
    <w:rsid w:val="00E07A7D"/>
    <w:rsid w:val="00E17414"/>
    <w:rsid w:val="00E21800"/>
    <w:rsid w:val="00E2181B"/>
    <w:rsid w:val="00E21CE2"/>
    <w:rsid w:val="00E22325"/>
    <w:rsid w:val="00E23740"/>
    <w:rsid w:val="00E27FBC"/>
    <w:rsid w:val="00E30271"/>
    <w:rsid w:val="00E36BDF"/>
    <w:rsid w:val="00E41BDB"/>
    <w:rsid w:val="00E43435"/>
    <w:rsid w:val="00E46DD2"/>
    <w:rsid w:val="00E47DC0"/>
    <w:rsid w:val="00E51792"/>
    <w:rsid w:val="00E557B7"/>
    <w:rsid w:val="00E5671E"/>
    <w:rsid w:val="00E61C3B"/>
    <w:rsid w:val="00E643F8"/>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426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10064</Words>
  <Characters>57368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2018-04-14T19:03:00Z</dcterms:modified>
</cp:coreProperties>
</file>