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rsidRPr="004A566D">
        <w:rPr>
          <w:i/>
        </w:rPr>
        <w:t>MenuBar</w:t>
      </w:r>
      <w:proofErr w:type="spellEnd"/>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proofErr w:type="spellStart"/>
      <w:r w:rsidR="00C72BFE" w:rsidRPr="004A566D">
        <w:rPr>
          <w:i/>
        </w:rPr>
        <w:t>MenuItem</w:t>
      </w:r>
      <w:proofErr w:type="spellEnd"/>
      <w:r w:rsidR="00C72BFE" w:rsidRPr="004A566D">
        <w:rPr>
          <w:i/>
        </w:rPr>
        <w:t>’</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proofErr w:type="spellStart"/>
      <w:r w:rsidRPr="004A566D">
        <w:rPr>
          <w:i/>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r w:rsidR="00B94B5A">
        <w:t xml:space="preserve">The main text goes under the </w:t>
      </w:r>
      <w:proofErr w:type="spellStart"/>
      <w:r w:rsidR="00B94B5A" w:rsidRPr="004A566D">
        <w:rPr>
          <w:i/>
        </w:rPr>
        <w:t>headerText</w:t>
      </w:r>
      <w:proofErr w:type="spellEnd"/>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proofErr w:type="spellStart"/>
      <w:r w:rsidRPr="004A566D">
        <w:rPr>
          <w:i/>
        </w:rPr>
        <w:t>ListView</w:t>
      </w:r>
      <w:proofErr w:type="spellEnd"/>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w:t>
      </w:r>
      <w:proofErr w:type="gramStart"/>
      <w:r w:rsidR="00F86254">
        <w:t>‘.button</w:t>
      </w:r>
      <w:proofErr w:type="gramEnd"/>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w:t>
      </w:r>
      <w:r w:rsidR="004A566D">
        <w:t>ID</w:t>
      </w:r>
      <w:r>
        <w:t xml:space="preserve">. Use the </w:t>
      </w:r>
      <w:r w:rsidRPr="004A566D">
        <w:rPr>
          <w:i/>
        </w:rPr>
        <w:t>id</w:t>
      </w:r>
      <w:r>
        <w:t xml:space="preserve"> property to set this ID. The </w:t>
      </w:r>
      <w:proofErr w:type="spellStart"/>
      <w:r w:rsidRPr="004A566D">
        <w:rPr>
          <w:i/>
        </w:rPr>
        <w:t>fx:id</w:t>
      </w:r>
      <w:proofErr w:type="spellEnd"/>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 xml:space="preserve">JavaFX uses the </w:t>
      </w:r>
      <w:proofErr w:type="spellStart"/>
      <w:r>
        <w:t>Modina</w:t>
      </w:r>
      <w:proofErr w:type="spellEnd"/>
      <w:r>
        <w:t xml:space="preserve"> theme by default. It can be switched for other themes, e.g. Caspian. The themes are just different stylesheets. You can change the</w:t>
      </w:r>
      <w:r w:rsidR="004A566D">
        <w:t xml:space="preserve"> theme, or set your own,</w:t>
      </w:r>
      <w:r>
        <w:t xml:space="preserve"> by calling </w:t>
      </w:r>
      <w:r w:rsidR="004A566D">
        <w:rPr>
          <w:i/>
        </w:rPr>
        <w:t xml:space="preserve">Application. </w:t>
      </w:r>
      <w:proofErr w:type="spellStart"/>
      <w:proofErr w:type="gramStart"/>
      <w:r w:rsidR="004A566D">
        <w:rPr>
          <w:i/>
        </w:rPr>
        <w:t>SetUserAgentStyleSheet</w:t>
      </w:r>
      <w:proofErr w:type="spellEnd"/>
      <w:r w:rsidR="004A566D">
        <w:rPr>
          <w:i/>
        </w:rPr>
        <w:t>(</w:t>
      </w:r>
      <w:proofErr w:type="gramEnd"/>
      <w:r w:rsidR="004A566D">
        <w:rPr>
          <w:i/>
        </w:rPr>
        <w:t>)</w:t>
      </w:r>
      <w:r w:rsidR="004A566D">
        <w:t>.</w:t>
      </w:r>
    </w:p>
    <w:p w:rsidR="001E3C6F" w:rsidRDefault="001E3C6F" w:rsidP="001E3C6F">
      <w:pPr>
        <w:pStyle w:val="CGeneralText"/>
        <w:numPr>
          <w:ilvl w:val="0"/>
          <w:numId w:val="0"/>
        </w:numPr>
        <w:ind w:left="720" w:hanging="360"/>
      </w:pPr>
    </w:p>
    <w:p w:rsidR="001E3C6F"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proofErr w:type="spellStart"/>
      <w:proofErr w:type="gramStart"/>
      <w:r w:rsidR="00316B61" w:rsidRPr="00316B61">
        <w:rPr>
          <w:i/>
        </w:rPr>
        <w:t>setScaleX</w:t>
      </w:r>
      <w:proofErr w:type="spellEnd"/>
      <w:r w:rsidR="00316B61" w:rsidRPr="00316B61">
        <w:rPr>
          <w:i/>
        </w:rPr>
        <w:t>(</w:t>
      </w:r>
      <w:proofErr w:type="gramEnd"/>
      <w:r w:rsidR="00316B61" w:rsidRPr="00316B61">
        <w:rPr>
          <w:i/>
        </w:rPr>
        <w:t>)</w:t>
      </w:r>
      <w:r w:rsidR="00316B61" w:rsidRPr="00316B61">
        <w:t xml:space="preserve">, </w:t>
      </w:r>
      <w:proofErr w:type="spellStart"/>
      <w:r w:rsidR="00316B61" w:rsidRPr="00316B61">
        <w:rPr>
          <w:i/>
        </w:rPr>
        <w:t>setScaleY</w:t>
      </w:r>
      <w:proofErr w:type="spellEnd"/>
      <w:r w:rsidR="00316B61" w:rsidRPr="00316B61">
        <w:rPr>
          <w:i/>
        </w:rPr>
        <w:t>()</w:t>
      </w:r>
      <w:r w:rsidR="00316B61" w:rsidRPr="00316B61">
        <w:t>,</w:t>
      </w:r>
      <w:r w:rsidR="00316B61">
        <w:t xml:space="preserve"> etc, or through the </w:t>
      </w:r>
      <w:proofErr w:type="spellStart"/>
      <w:r w:rsidR="00316B61">
        <w:t>fxml</w:t>
      </w:r>
      <w:proofErr w:type="spellEnd"/>
      <w:r w:rsidR="00316B61">
        <w:t xml:space="preserve"> file with properties such as </w:t>
      </w:r>
      <w:r w:rsidR="00316B61" w:rsidRPr="00316B61">
        <w:rPr>
          <w:i/>
        </w:rPr>
        <w:t>rotate</w:t>
      </w:r>
      <w:r w:rsidR="00316B61">
        <w:t>.</w:t>
      </w:r>
    </w:p>
    <w:p w:rsidR="000132A6" w:rsidRDefault="000132A6" w:rsidP="001E3C6F">
      <w:pPr>
        <w:pStyle w:val="CGeneralText"/>
        <w:numPr>
          <w:ilvl w:val="0"/>
          <w:numId w:val="17"/>
        </w:numPr>
      </w:pPr>
      <w:proofErr w:type="spellStart"/>
      <w:r w:rsidRPr="000132A6">
        <w:rPr>
          <w:i/>
        </w:rPr>
        <w:t>FileChooser</w:t>
      </w:r>
      <w:proofErr w:type="spellEnd"/>
      <w:r>
        <w:t xml:space="preserve"> and </w:t>
      </w:r>
      <w:proofErr w:type="spellStart"/>
      <w:r w:rsidRPr="000132A6">
        <w:rPr>
          <w:i/>
        </w:rPr>
        <w:t>DirectoryChooser</w:t>
      </w:r>
      <w:proofErr w:type="spellEnd"/>
      <w:r>
        <w:t xml:space="preserve"> open a dialog box that allows a user to select files or directories.</w:t>
      </w:r>
      <w:r w:rsidR="00741C88">
        <w:t xml:space="preserve"> Call </w:t>
      </w:r>
      <w:proofErr w:type="spellStart"/>
      <w:proofErr w:type="gramStart"/>
      <w:r w:rsidR="004632DE">
        <w:rPr>
          <w:i/>
        </w:rPr>
        <w:t>DC.showDialog</w:t>
      </w:r>
      <w:proofErr w:type="spellEnd"/>
      <w:proofErr w:type="gramEnd"/>
      <w:r w:rsidR="004632DE">
        <w:rPr>
          <w:i/>
        </w:rPr>
        <w:t>()</w:t>
      </w:r>
      <w:r w:rsidR="004632DE">
        <w:t xml:space="preserve"> to select a directory</w:t>
      </w:r>
      <w:r w:rsidR="00D23599">
        <w:t>. Call</w:t>
      </w:r>
      <w:r w:rsidR="004632DE">
        <w:t xml:space="preserve"> </w:t>
      </w:r>
      <w:proofErr w:type="spellStart"/>
      <w:proofErr w:type="gramStart"/>
      <w:r w:rsidR="004632DE">
        <w:rPr>
          <w:i/>
        </w:rPr>
        <w:t>FC.showOpenDialog</w:t>
      </w:r>
      <w:proofErr w:type="spellEnd"/>
      <w:proofErr w:type="gramEnd"/>
      <w:r w:rsidR="004632DE">
        <w:rPr>
          <w:i/>
        </w:rPr>
        <w:t>()</w:t>
      </w:r>
      <w:r w:rsidR="00D23599">
        <w:rPr>
          <w:i/>
        </w:rPr>
        <w:t>, ‘</w:t>
      </w:r>
      <w:proofErr w:type="spellStart"/>
      <w:r w:rsidR="00D23599">
        <w:rPr>
          <w:i/>
        </w:rPr>
        <w:t>FC.showOpenMultiple</w:t>
      </w:r>
      <w:proofErr w:type="spellEnd"/>
      <w:r w:rsidR="00D23599">
        <w:rPr>
          <w:i/>
        </w:rPr>
        <w:t xml:space="preserve"> Dialog()’,</w:t>
      </w:r>
      <w:r w:rsidR="004632DE">
        <w:rPr>
          <w:i/>
        </w:rPr>
        <w:t xml:space="preserve"> </w:t>
      </w:r>
      <w:r w:rsidR="00D23599">
        <w:t>or</w:t>
      </w:r>
      <w:r w:rsidR="004632DE">
        <w:rPr>
          <w:i/>
        </w:rPr>
        <w:t xml:space="preserve"> </w:t>
      </w:r>
      <w:proofErr w:type="spellStart"/>
      <w:r w:rsidR="004632DE">
        <w:rPr>
          <w:i/>
        </w:rPr>
        <w:t>FC.showSaveDialog</w:t>
      </w:r>
      <w:proofErr w:type="spellEnd"/>
      <w:r w:rsidR="004632DE">
        <w:rPr>
          <w:i/>
        </w:rPr>
        <w:t xml:space="preserve">() </w:t>
      </w:r>
      <w:r w:rsidR="004632DE">
        <w:t>to open</w:t>
      </w:r>
      <w:r w:rsidR="00D23599">
        <w:t xml:space="preserve"> a file, open multiple files,</w:t>
      </w:r>
      <w:r w:rsidR="004632DE">
        <w:t xml:space="preserve"> or save a file respectively.</w:t>
      </w:r>
    </w:p>
    <w:p w:rsidR="004632DE" w:rsidRDefault="004632DE" w:rsidP="001E3C6F">
      <w:pPr>
        <w:pStyle w:val="CGeneralText"/>
        <w:numPr>
          <w:ilvl w:val="0"/>
          <w:numId w:val="17"/>
        </w:numPr>
      </w:pPr>
      <w:r>
        <w:t>You can set various aspects of the dialogs including title, supported file extensions, etc.</w:t>
      </w:r>
    </w:p>
    <w:p w:rsidR="00971111" w:rsidRDefault="00971111" w:rsidP="001E3C6F">
      <w:pPr>
        <w:pStyle w:val="CGeneralText"/>
        <w:numPr>
          <w:ilvl w:val="0"/>
          <w:numId w:val="17"/>
        </w:numPr>
      </w:pPr>
      <w:r>
        <w:t xml:space="preserve">The </w:t>
      </w:r>
      <w:r>
        <w:rPr>
          <w:i/>
        </w:rPr>
        <w:t>Hyperlink</w:t>
      </w:r>
      <w:r>
        <w:t xml:space="preserve"> control descends from </w:t>
      </w:r>
      <w:r>
        <w:rPr>
          <w:i/>
        </w:rPr>
        <w:t xml:space="preserve">Label </w:t>
      </w:r>
      <w:r>
        <w:t xml:space="preserve">and can be used </w:t>
      </w:r>
      <w:r w:rsidR="005F4CB8">
        <w:t>create clickable text. Clicking it can direct the user to a webpage, open a dialog box, etc</w:t>
      </w:r>
      <w:r w:rsidR="00B855BB">
        <w:t xml:space="preserve"> through an event handler</w:t>
      </w:r>
      <w:r w:rsidR="005F4CB8">
        <w:t>.</w:t>
      </w:r>
    </w:p>
    <w:p w:rsidR="00B855BB" w:rsidRDefault="00B855BB" w:rsidP="001E3C6F">
      <w:pPr>
        <w:pStyle w:val="CGeneralText"/>
        <w:numPr>
          <w:ilvl w:val="0"/>
          <w:numId w:val="17"/>
        </w:numPr>
      </w:pPr>
      <w:r>
        <w:lastRenderedPageBreak/>
        <w:t xml:space="preserve">A webpage can be opened using either the system’s default browser, or a built-in WebView controller. </w:t>
      </w:r>
      <w:r w:rsidR="003A1396">
        <w:t xml:space="preserve">To do it using the browser call </w:t>
      </w:r>
      <w:proofErr w:type="spellStart"/>
      <w:r w:rsidR="003A1396">
        <w:rPr>
          <w:i/>
        </w:rPr>
        <w:t>Desktop.getDesktop</w:t>
      </w:r>
      <w:proofErr w:type="spellEnd"/>
      <w:r w:rsidR="003A1396">
        <w:rPr>
          <w:i/>
        </w:rPr>
        <w:t>(</w:t>
      </w:r>
      <w:proofErr w:type="gramStart"/>
      <w:r w:rsidR="003A1396">
        <w:rPr>
          <w:i/>
        </w:rPr>
        <w:t>).browse</w:t>
      </w:r>
      <w:proofErr w:type="gramEnd"/>
      <w:r w:rsidR="003A1396">
        <w:rPr>
          <w:i/>
        </w:rPr>
        <w:t>()</w:t>
      </w:r>
      <w:r w:rsidR="003A1396">
        <w:t>.</w:t>
      </w:r>
    </w:p>
    <w:p w:rsidR="00895BD8" w:rsidRDefault="00895BD8" w:rsidP="00895BD8">
      <w:pPr>
        <w:pStyle w:val="CGeneralText"/>
        <w:numPr>
          <w:ilvl w:val="0"/>
          <w:numId w:val="0"/>
        </w:numPr>
        <w:ind w:left="720" w:hanging="360"/>
      </w:pPr>
    </w:p>
    <w:p w:rsidR="00895BD8" w:rsidRDefault="00895BD8" w:rsidP="00895BD8">
      <w:pPr>
        <w:pStyle w:val="CGeneralText"/>
        <w:numPr>
          <w:ilvl w:val="0"/>
          <w:numId w:val="17"/>
        </w:numPr>
      </w:pPr>
      <w:r>
        <w:t xml:space="preserve">You can layout JavaFX programs manually using </w:t>
      </w:r>
      <w:proofErr w:type="spellStart"/>
      <w:r>
        <w:t>fxml</w:t>
      </w:r>
      <w:proofErr w:type="spellEnd"/>
      <w:r>
        <w:t xml:space="preserve"> files, or through Scene Builder which accomplishes the same task through a GUI.</w:t>
      </w:r>
    </w:p>
    <w:p w:rsidR="00895BD8" w:rsidRPr="007306C0" w:rsidRDefault="00895BD8" w:rsidP="00895BD8">
      <w:pPr>
        <w:pStyle w:val="CGeneralText"/>
        <w:numPr>
          <w:ilvl w:val="0"/>
          <w:numId w:val="17"/>
        </w:numPr>
      </w:pPr>
      <w:r>
        <w:t xml:space="preserve">Scene Builder isn’t maintained by Oracle, but the community is keeping it up to date. </w:t>
      </w:r>
      <w:proofErr w:type="spellStart"/>
      <w:r>
        <w:t>GluonHQ</w:t>
      </w:r>
      <w:proofErr w:type="spellEnd"/>
      <w:r>
        <w:t xml:space="preserve"> provides up to date installers: </w:t>
      </w:r>
      <w:r w:rsidRPr="00895BD8">
        <w:t>http://gluonhq.com/products/scene-builder</w:t>
      </w:r>
      <w:r>
        <w:t>.</w:t>
      </w: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lastRenderedPageBreak/>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lastRenderedPageBreak/>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lastRenderedPageBreak/>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lastRenderedPageBreak/>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lastRenderedPageBreak/>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lastRenderedPageBreak/>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lastRenderedPageBreak/>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lastRenderedPageBreak/>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555" w:rsidRDefault="00814555" w:rsidP="0047482A">
      <w:pPr>
        <w:spacing w:after="0" w:line="240" w:lineRule="auto"/>
      </w:pPr>
      <w:r>
        <w:separator/>
      </w:r>
    </w:p>
  </w:endnote>
  <w:endnote w:type="continuationSeparator" w:id="0">
    <w:p w:rsidR="00814555" w:rsidRDefault="0081455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555" w:rsidRDefault="00814555" w:rsidP="0047482A">
      <w:pPr>
        <w:spacing w:after="0" w:line="240" w:lineRule="auto"/>
      </w:pPr>
      <w:r>
        <w:separator/>
      </w:r>
    </w:p>
  </w:footnote>
  <w:footnote w:type="continuationSeparator" w:id="0">
    <w:p w:rsidR="00814555" w:rsidRDefault="0081455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6F547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32A6"/>
    <w:rsid w:val="000217BF"/>
    <w:rsid w:val="000304AD"/>
    <w:rsid w:val="00030EED"/>
    <w:rsid w:val="000310A8"/>
    <w:rsid w:val="000325A7"/>
    <w:rsid w:val="00032E7A"/>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28CC"/>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6AF6"/>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D55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12155</Words>
  <Characters>69285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2018-05-11T12:23:00Z</dcterms:modified>
</cp:coreProperties>
</file>