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bookmarkStart w:id="0" w:name="_GoBack"/>
      <w:bookmarkEnd w:id="0"/>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6851B61B" w:rsidR="00C67128" w:rsidRPr="00E22896"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lastRenderedPageBreak/>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lastRenderedPageBreak/>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lastRenderedPageBreak/>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lastRenderedPageBreak/>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lastRenderedPageBreak/>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lastRenderedPageBreak/>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lastRenderedPageBreak/>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lastRenderedPageBreak/>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75107" w14:textId="77777777" w:rsidR="001879BD" w:rsidRDefault="001879BD" w:rsidP="0047482A">
      <w:pPr>
        <w:spacing w:after="0" w:line="240" w:lineRule="auto"/>
      </w:pPr>
      <w:r>
        <w:separator/>
      </w:r>
    </w:p>
  </w:endnote>
  <w:endnote w:type="continuationSeparator" w:id="0">
    <w:p w14:paraId="12E2140C" w14:textId="77777777" w:rsidR="001879BD" w:rsidRDefault="001879B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D811A" w14:textId="77777777" w:rsidR="001879BD" w:rsidRDefault="001879BD" w:rsidP="0047482A">
      <w:pPr>
        <w:spacing w:after="0" w:line="240" w:lineRule="auto"/>
      </w:pPr>
      <w:r>
        <w:separator/>
      </w:r>
    </w:p>
  </w:footnote>
  <w:footnote w:type="continuationSeparator" w:id="0">
    <w:p w14:paraId="6D92170E" w14:textId="77777777" w:rsidR="001879BD" w:rsidRDefault="001879B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0AB"/>
    <w:rsid w:val="00203E48"/>
    <w:rsid w:val="00205D23"/>
    <w:rsid w:val="0021046C"/>
    <w:rsid w:val="00212BE4"/>
    <w:rsid w:val="00212E8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3585"/>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B72CC"/>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2C4D"/>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14024</Words>
  <Characters>79939</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2018-07-13T16:22:00Z</dcterms:modified>
</cp:coreProperties>
</file>