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bookmarkStart w:id="0" w:name="_GoBack"/>
      <w:bookmarkEnd w:id="0"/>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lastRenderedPageBreak/>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lastRenderedPageBreak/>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lastRenderedPageBreak/>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lastRenderedPageBreak/>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lastRenderedPageBreak/>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lastRenderedPageBreak/>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lastRenderedPageBreak/>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lastRenderedPageBreak/>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80B" w:rsidRDefault="0017680B" w:rsidP="0047482A">
      <w:pPr>
        <w:spacing w:after="0" w:line="240" w:lineRule="auto"/>
      </w:pPr>
      <w:r>
        <w:separator/>
      </w:r>
    </w:p>
  </w:endnote>
  <w:endnote w:type="continuationSeparator" w:id="0">
    <w:p w:rsidR="0017680B" w:rsidRDefault="0017680B"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80B" w:rsidRDefault="0017680B" w:rsidP="0047482A">
      <w:pPr>
        <w:spacing w:after="0" w:line="240" w:lineRule="auto"/>
      </w:pPr>
      <w:r>
        <w:separator/>
      </w:r>
    </w:p>
  </w:footnote>
  <w:footnote w:type="continuationSeparator" w:id="0">
    <w:p w:rsidR="0017680B" w:rsidRDefault="0017680B"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C8807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680B"/>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A1FA6"/>
    <w:rsid w:val="002A2713"/>
    <w:rsid w:val="002A490C"/>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8DF"/>
    <w:rsid w:val="00491524"/>
    <w:rsid w:val="004961CE"/>
    <w:rsid w:val="004A064F"/>
    <w:rsid w:val="004A17B9"/>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C02"/>
    <w:rsid w:val="006B0607"/>
    <w:rsid w:val="006B0724"/>
    <w:rsid w:val="006B2FC1"/>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B2C"/>
    <w:rsid w:val="0086276C"/>
    <w:rsid w:val="0087029A"/>
    <w:rsid w:val="008706B8"/>
    <w:rsid w:val="0087252E"/>
    <w:rsid w:val="00881D2C"/>
    <w:rsid w:val="00881F1A"/>
    <w:rsid w:val="00882B2F"/>
    <w:rsid w:val="00894C01"/>
    <w:rsid w:val="00896149"/>
    <w:rsid w:val="008A05A7"/>
    <w:rsid w:val="008A421C"/>
    <w:rsid w:val="008A761B"/>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779E"/>
    <w:rsid w:val="0099092F"/>
    <w:rsid w:val="00991AAA"/>
    <w:rsid w:val="00995B4D"/>
    <w:rsid w:val="00997906"/>
    <w:rsid w:val="00997AE8"/>
    <w:rsid w:val="009A355E"/>
    <w:rsid w:val="009A3787"/>
    <w:rsid w:val="009A58C3"/>
    <w:rsid w:val="009A5E79"/>
    <w:rsid w:val="009A7060"/>
    <w:rsid w:val="009B0E13"/>
    <w:rsid w:val="009B50AD"/>
    <w:rsid w:val="009B7487"/>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7D65"/>
    <w:rsid w:val="00C508D9"/>
    <w:rsid w:val="00C51938"/>
    <w:rsid w:val="00C52B9D"/>
    <w:rsid w:val="00C602B3"/>
    <w:rsid w:val="00C60596"/>
    <w:rsid w:val="00C64783"/>
    <w:rsid w:val="00C7160D"/>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21800"/>
    <w:rsid w:val="00E2181B"/>
    <w:rsid w:val="00E21CE2"/>
    <w:rsid w:val="00E22325"/>
    <w:rsid w:val="00E23740"/>
    <w:rsid w:val="00E27FBC"/>
    <w:rsid w:val="00E30271"/>
    <w:rsid w:val="00E36BDF"/>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7B2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11087</Words>
  <Characters>63198</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2018-05-01T16:22:00Z</dcterms:modified>
</cp:coreProperties>
</file>