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30.png" ContentType="image/png"/>
  <Override PartName="/word/media/image42.png" ContentType="image/png"/>
  <Override PartName="/word/media/image54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>„</w:t>
      </w:r>
      <w:r>
        <w:rPr>
          <w:sz w:val="36"/>
          <w:szCs w:val="36"/>
        </w:rPr>
        <w:t>Online Shoppers Purchasing Intention“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Zoran Vujičić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Avgust, 2023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Seminarski rad u okviru kursa Istraživanje podataka 1 na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Matematičkom fakultetu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righ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Sadržaj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144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1 Uvod</w:t>
              <w:tab/>
              <w:t>2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1.1 Analiza skupa podataka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1452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 Preprocesiranje podataka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4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2.1 Rad sa nedostajućim vrednostima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605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2.2 Odabir atributa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2.3 Transformisanje kategoričkih atributa</w:t>
              <w:tab/>
              <w:t>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2.4 Rad sa elementima izvan granica</w:t>
              <w:tab/>
              <w:t>7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2.5 Standardizacija</w:t>
              <w:tab/>
              <w:t>8</w:t>
            </w:r>
          </w:hyperlink>
        </w:p>
        <w:p>
          <w:pPr>
            <w:pStyle w:val="Contents1"/>
            <w:rPr/>
          </w:pPr>
          <w:hyperlink w:anchor="__RefHeading___Toc1462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 Klasifikacija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4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3.1 Nasumične šume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3.2 Stabla odlučivanja</w:t>
              <w:tab/>
              <w:t>11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3.3 Logistička regresija</w:t>
              <w:tab/>
              <w:t>12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7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3.4 Metoda potpornih vektora</w:t>
              <w:tab/>
              <w:t>13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1472_3102450165">
            <w:r>
              <w:rPr>
                <w:rStyle w:val="IndexLink"/>
              </w:rPr>
              <w:t>3.4.1 Linearni SVM</w:t>
              <w:tab/>
              <w:t>13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1474_3102450165">
            <w:r>
              <w:rPr>
                <w:rStyle w:val="IndexLink"/>
              </w:rPr>
              <w:t>3.4.2 SVM sa kernelom</w:t>
              <w:tab/>
              <w:t>14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7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3.5 Poređenje modela klasifikacije</w:t>
              <w:tab/>
              <w:t>15</w:t>
            </w:r>
          </w:hyperlink>
        </w:p>
        <w:p>
          <w:pPr>
            <w:pStyle w:val="Contents1"/>
            <w:rPr/>
          </w:pPr>
          <w:hyperlink w:anchor="__RefHeading___Toc147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 Klasterovanje</w:t>
              <w:tab/>
              <w:t>16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4.1 Algoritam K-sredina</w:t>
              <w:tab/>
              <w:t>16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2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4.2 Sakupljajuće klasterovanje</w:t>
              <w:tab/>
              <w:t>18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2391_14933459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4.3 Poređenje modela klasterovanja</w:t>
              <w:tab/>
              <w:t>20</w:t>
            </w:r>
          </w:hyperlink>
        </w:p>
        <w:p>
          <w:pPr>
            <w:pStyle w:val="Contents1"/>
            <w:rPr/>
          </w:pPr>
          <w:hyperlink w:anchor="__RefHeading___Toc148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5 Pravila pridruživanja</w:t>
              <w:tab/>
              <w:t>21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5.1 Apriori</w:t>
              <w:tab/>
              <w:t>21</w:t>
            </w:r>
          </w:hyperlink>
        </w:p>
        <w:p>
          <w:pPr>
            <w:pStyle w:val="Contents1"/>
            <w:rPr/>
          </w:pPr>
          <w:hyperlink w:anchor="__RefHeading___Toc2393_14933459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6 Zaključak</w:t>
              <w:tab/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Heading1"/>
        <w:numPr>
          <w:ilvl w:val="0"/>
          <w:numId w:val="3"/>
        </w:numPr>
        <w:rPr/>
      </w:pPr>
      <w:bookmarkStart w:id="0" w:name="__RefHeading___Toc1448_3102450165"/>
      <w:bookmarkEnd w:id="0"/>
      <w:r>
        <w:rPr/>
        <w:t>1 Uvod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  <w:sz w:val="24"/>
          <w:szCs w:val="24"/>
        </w:rPr>
        <w:t xml:space="preserve">Skup podataka Online Shoppers Purchasing Intention sastavljen je od informacija o aktivnostima korisnika na internetu a podaci su prikupljeni sa sajta za maloprodaju. Konstruisan od strane </w:t>
      </w:r>
      <w:r>
        <w:rPr>
          <w:b w:val="false"/>
          <w:bCs w:val="false"/>
          <w:i/>
          <w:iCs/>
          <w:sz w:val="24"/>
          <w:szCs w:val="24"/>
        </w:rPr>
        <w:t>Google Analytics</w:t>
      </w:r>
      <w:r>
        <w:fldChar w:fldCharType="begin"/>
      </w:r>
      <w:r>
        <w:rPr>
          <w:rStyle w:val="InternetLink"/>
          <w:vertAlign w:val="superscript"/>
          <w:sz w:val="24"/>
          <w:i/>
          <w:u w:val="none"/>
          <w:b w:val="false"/>
          <w:szCs w:val="24"/>
          <w:iCs/>
          <w:bCs w:val="false"/>
          <w:color w:val="000000"/>
        </w:rPr>
        <w:instrText> HYPERLINK "https://www.techtarget.com/searchbusinessanalytics/definition/Google-Analytics" \l ":~:text=How does Google Analytics work,of Google's data collection servers."</w:instrText>
      </w:r>
      <w:r>
        <w:rPr>
          <w:rStyle w:val="InternetLink"/>
          <w:vertAlign w:val="superscript"/>
          <w:sz w:val="24"/>
          <w:i/>
          <w:u w:val="none"/>
          <w:b w:val="false"/>
          <w:szCs w:val="24"/>
          <w:iCs/>
          <w:bCs w:val="false"/>
          <w:color w:val="000000"/>
        </w:rPr>
        <w:fldChar w:fldCharType="separate"/>
      </w:r>
      <w:r>
        <w:rPr>
          <w:rStyle w:val="InternetLink"/>
          <w:b w:val="false"/>
          <w:bCs w:val="false"/>
          <w:i/>
          <w:iCs/>
          <w:color w:val="000000"/>
          <w:sz w:val="24"/>
          <w:szCs w:val="24"/>
          <w:u w:val="none"/>
          <w:vertAlign w:val="superscript"/>
        </w:rPr>
        <w:t>1</w:t>
      </w:r>
      <w:r>
        <w:rPr>
          <w:rStyle w:val="InternetLink"/>
          <w:vertAlign w:val="superscript"/>
          <w:sz w:val="24"/>
          <w:i/>
          <w:u w:val="none"/>
          <w:b w:val="false"/>
          <w:szCs w:val="24"/>
          <w:iCs/>
          <w:bCs w:val="false"/>
          <w:color w:val="000000"/>
        </w:rPr>
        <w:fldChar w:fldCharType="end"/>
      </w:r>
      <w:r>
        <w:rPr>
          <w:b w:val="false"/>
          <w:bCs w:val="false"/>
          <w:sz w:val="24"/>
          <w:szCs w:val="24"/>
        </w:rPr>
        <w:t xml:space="preserve"> servisa za sakupljanje statističkih podataka o aktivnostima korisnika na internetu, skup se sastoji od 12330 pristupa korisnika. Skup je pažljivo formiran tako da svaki pristup odgovara različitom korisniku u periodu od jedne godine, kako bi se izbegla sklonost ka specifičnom profilu korisnika, danu ili periodu.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2"/>
        <w:numPr>
          <w:ilvl w:val="1"/>
          <w:numId w:val="3"/>
        </w:numPr>
        <w:rPr/>
      </w:pPr>
      <w:bookmarkStart w:id="1" w:name="__RefHeading___Toc1450_3102450165"/>
      <w:bookmarkEnd w:id="1"/>
      <w:r>
        <w:rPr/>
        <w:t>1.1 Analiza skupa podataka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Naš skup podataka ima ukupno 18 atributa. U sledećoj tabeli si</w:t>
      </w:r>
      <w:r>
        <w:rPr>
          <w:b w:val="false"/>
          <w:bCs w:val="false"/>
        </w:rPr>
        <w:t xml:space="preserve"> ukratko opisani svi atributi,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prvih 10 su numerički a ostalih 8 su kategorički atributi. Na slici 1 su prikazani histogrami raspodele nekih atributa.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36" w:type="dxa"/>
        <w:tblCellMar>
          <w:top w:w="43" w:type="dxa"/>
          <w:left w:w="43" w:type="dxa"/>
          <w:bottom w:w="43" w:type="dxa"/>
          <w:right w:w="43" w:type="dxa"/>
        </w:tblCellMar>
      </w:tblPr>
      <w:tblGrid>
        <w:gridCol w:w="2875"/>
        <w:gridCol w:w="6762"/>
      </w:tblGrid>
      <w:tr>
        <w:trPr/>
        <w:tc>
          <w:tcPr>
            <w:tcW w:w="287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</w:tcBorders>
            <w:shd w:fill="B2B2B2" w:val="clear"/>
          </w:tcPr>
          <w:p>
            <w:pPr>
              <w:pStyle w:val="TableContents"/>
              <w:bidi w:val="0"/>
              <w:jc w:val="center"/>
              <w:rPr>
                <w:rFonts w:ascii="Liberation Sans" w:hAnsi="Liberation Sans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Atributi</w:t>
            </w:r>
          </w:p>
        </w:tc>
        <w:tc>
          <w:tcPr>
            <w:tcW w:w="6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bidi w:val="0"/>
              <w:jc w:val="center"/>
              <w:rPr>
                <w:rFonts w:ascii="Liberation Sans" w:hAnsi="Liberation Sans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Opis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Administrative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upravljanje profilom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Administrative_Duration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Vreme provedeno na veb stranama o upravljanju profilom u sekundama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Informational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informacije o sajtu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Informational_Duration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Vreme provedeno na stranama za informacije u sekundama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ProductRelated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proizvode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ProductRelated_Duration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Vreme provedeno na veb stranama vezanim za proizvode </w:t>
            </w:r>
          </w:p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u sekundama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BounceRates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Procenat korisnika koji nakon ulaska na veb sajt izađu bez pokretanja drugih zahteva ka serveru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ExitRates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Koliko je puta u procentima veb strana bila poslednja u jednom pristupu korisnika internetu, u odnosu na ukupan broj pregleda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PageValues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Predstvalja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prosečnu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vrednost veb stranica koje je korisnik posetio pre nego što je izvršio transakciju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SpecialDay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Pokazuje koliko je vreme posete veb sajtu blizu nekog specijalnog dana u godini (npr. 8. Mart), u kojima je veća verovatnoća da se uspešno izvrši transakcija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Month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Mesec u godini u kome je korisnik pristupio veb sajtu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OperatingSystems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Operativni sistem koji je koristio korisnik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Browser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Internet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pregledač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koji je koristio korisnik 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Region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 w:eastAsia="Noto Serif CJK SC" w:cs="Lohit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</w:pP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Geografski region iz kog se prijavio korisnik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TrafficType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Izvor, odakle je korisnik pristupio veb sajtu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VisitorType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Tip korisnika koji može biti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Novi Korisnik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,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Povratnik</w:t>
            </w:r>
            <w:r>
              <w:rPr>
                <w:rFonts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Ostali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Weekend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Pokazauje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da li je datum posete vikend ili ne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Revenue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Pokazuje da li je korisnik pri poseti veb sajtu ivršio transakciju ili nije</w:t>
            </w:r>
          </w:p>
        </w:tc>
      </w:tr>
    </w:tbl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-80645</wp:posOffset>
            </wp:positionH>
            <wp:positionV relativeFrom="paragraph">
              <wp:posOffset>-114935</wp:posOffset>
            </wp:positionV>
            <wp:extent cx="6120130" cy="5986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>S</w:t>
      </w:r>
      <w:r>
        <w:rPr>
          <w:i/>
          <w:iCs/>
          <w:sz w:val="21"/>
          <w:szCs w:val="21"/>
        </w:rPr>
        <w:t>lika 1: Histogrami raspodele nekih atributa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Ciljna promenljiva u procesu klasifikacije biće </w:t>
      </w:r>
      <w:r>
        <w:rPr>
          <w:b/>
          <w:bCs/>
        </w:rPr>
        <w:t>Revenue</w:t>
      </w:r>
      <w:r>
        <w:rPr/>
        <w:t xml:space="preserve">, odnosno da li je korisnik kupio neki proizvod ili nije, jer je to informacija koju želimo da dobijemo nakon istraživanja.  Atrubut Revenue ima 2 klase a to su True i False. Broj instanci klase True je 1908 a klase False 10422. Dakle klase nisu balansirane što će predstavljati problem u procesu klasifikacije. To je i prikazano na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slici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6985</wp:posOffset>
            </wp:positionH>
            <wp:positionV relativeFrom="paragraph">
              <wp:posOffset>934085</wp:posOffset>
            </wp:positionV>
            <wp:extent cx="1953260" cy="165544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2</w:t>
      </w:r>
      <w:r>
        <w:rPr/>
        <w:t xml:space="preserve">. Odnos atributa Revenue sa nekim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atributima</w:t>
      </w:r>
      <w:r>
        <w:rPr/>
        <w:t xml:space="preserve"> prikazan je na slici 3.1, 3.2, 3.3 i 3.4.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2: Procentualni prikaz raspodele klasa</w:t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-106680</wp:posOffset>
            </wp:positionV>
            <wp:extent cx="5437505" cy="195516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sz w:val="21"/>
          <w:szCs w:val="21"/>
        </w:rPr>
        <w:t xml:space="preserve">  </w:t>
      </w:r>
      <w:r>
        <w:rPr>
          <w:i/>
          <w:iCs/>
          <w:sz w:val="21"/>
          <w:szCs w:val="21"/>
        </w:rPr>
        <w:t>Slika 3.1: Odnos atributa Revenue i Month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6350</wp:posOffset>
            </wp:positionH>
            <wp:positionV relativeFrom="paragraph">
              <wp:posOffset>85725</wp:posOffset>
            </wp:positionV>
            <wp:extent cx="3369945" cy="1814195"/>
            <wp:effectExtent l="0" t="0" r="0" b="0"/>
            <wp:wrapSquare wrapText="largest"/>
            <wp:docPr id="4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   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i/>
          <w:iCs/>
          <w:sz w:val="21"/>
          <w:szCs w:val="21"/>
        </w:rPr>
        <w:t xml:space="preserve">   </w:t>
      </w:r>
      <w:r>
        <w:rPr>
          <w:i/>
          <w:iCs/>
          <w:sz w:val="21"/>
          <w:szCs w:val="21"/>
        </w:rPr>
        <w:t>Slika 3.2: Odnos atributa Revenue i Visitor Type</w:t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433060" cy="1980565"/>
            <wp:effectExtent l="0" t="0" r="0" b="0"/>
            <wp:wrapTopAndBottom/>
            <wp:docPr id="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sz w:val="21"/>
          <w:szCs w:val="21"/>
        </w:rPr>
        <w:t xml:space="preserve">  </w:t>
      </w:r>
      <w:r>
        <w:rPr>
          <w:i/>
          <w:iCs/>
          <w:sz w:val="21"/>
          <w:szCs w:val="21"/>
        </w:rPr>
        <w:t>Slika 3.3: Odnos atributa Revenue i Special Day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17145</wp:posOffset>
            </wp:positionH>
            <wp:positionV relativeFrom="paragraph">
              <wp:posOffset>20320</wp:posOffset>
            </wp:positionV>
            <wp:extent cx="5482590" cy="1880870"/>
            <wp:effectExtent l="0" t="0" r="0" b="0"/>
            <wp:wrapSquare wrapText="largest"/>
            <wp:docPr id="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   </w:t>
      </w:r>
      <w:r>
        <w:rPr>
          <w:i/>
          <w:iCs/>
          <w:sz w:val="21"/>
          <w:szCs w:val="21"/>
        </w:rPr>
        <w:t>Slika 3.4: Odnos atributa Revenue i atributa vezanih za vreme provedeno na stranicama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Vidimo da ćemo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imati</w:t>
      </w:r>
      <w:r>
        <w:rPr/>
        <w:t xml:space="preserve"> i elemenata van granica </w:t>
      </w:r>
      <w:r>
        <w:rPr>
          <w:i/>
          <w:iCs/>
        </w:rPr>
        <w:t>(outlier)</w:t>
      </w:r>
      <w:r>
        <w:rPr/>
        <w:t>, što ćemo istražiti u predprocesiranju.</w:t>
      </w:r>
    </w:p>
    <w:p>
      <w:pPr>
        <w:pStyle w:val="Heading1"/>
        <w:numPr>
          <w:ilvl w:val="0"/>
          <w:numId w:val="3"/>
        </w:numPr>
        <w:rPr/>
      </w:pPr>
      <w:bookmarkStart w:id="2" w:name="__RefHeading___Toc1452_3102450165"/>
      <w:bookmarkEnd w:id="2"/>
      <w:r>
        <w:rPr/>
        <w:t>2 Preprocesiranje podataka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3" w:name="__RefHeading___Toc1454_3102450165"/>
      <w:bookmarkEnd w:id="3"/>
      <w:r>
        <w:rPr/>
        <w:t>2.1 Rad sa nedostajućim vrednostima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Proveravamo da li u našem skupu podataka postoje nedostajuće vrednosti i ako postoje treba ih na adekvatan način eliminisati ili zameniti.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31750</wp:posOffset>
            </wp:positionH>
            <wp:positionV relativeFrom="paragraph">
              <wp:posOffset>58420</wp:posOffset>
            </wp:positionV>
            <wp:extent cx="1784350" cy="278701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Dakle, iz rezultata izvršavanja možemo videti da nema nedostajućih vrednosti.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4" w:name="__RefHeading___Toc1605_3102450165"/>
      <w:bookmarkEnd w:id="4"/>
      <w:r>
        <w:rPr/>
        <w:t>2.2 Odabir atributa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Koristićemo matricu korelacije pri odabiru atributa. Na osnovu matrice korelacije, koja je  prikazana na slici 4 saznajemo koliko atributi utiču jedni na druge. Tamno crvenom bojom su označeni atributi sa visokom korelacijom.  Na osnovu toga vidimo da su atributi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Product Related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Product Related Duration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vioko korelirani, tako da ćemo jedan izbaciti. Isto važi i za atribute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Exit Rates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Bounce Rates.  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43180</wp:posOffset>
            </wp:positionH>
            <wp:positionV relativeFrom="paragraph">
              <wp:posOffset>40005</wp:posOffset>
            </wp:positionV>
            <wp:extent cx="3560445" cy="227647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  </w:t>
      </w:r>
      <w:r>
        <w:rPr>
          <w:rFonts w:eastAsia="Noto Serif CJK SC" w:cs="Lohit Devanagari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 xml:space="preserve">Slika 5: Odnos atrubuta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 xml:space="preserve">Exit Rates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1"/>
          <w:szCs w:val="21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 xml:space="preserve"> Bounce Rates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-42545</wp:posOffset>
            </wp:positionH>
            <wp:positionV relativeFrom="paragraph">
              <wp:posOffset>28575</wp:posOffset>
            </wp:positionV>
            <wp:extent cx="5043170" cy="356044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ab/>
        <w:tab/>
        <w:tab/>
        <w:tab/>
      </w:r>
      <w:r>
        <w:rPr>
          <w:rFonts w:eastAsia="Noto Serif CJK SC" w:cs="Lohit Devanagari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Slika 4: Matrica korelacije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5" w:name="__RefHeading___Toc1456_3102450165"/>
      <w:bookmarkEnd w:id="5"/>
      <w:r>
        <w:rPr/>
        <w:t>2.3 Transformisanje kategoričkih atributa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U našem skupu podataka postoje kategorički atributi koje ćemo transformisati zbog algoritama u procesu klasifikacije koja zahtevaju da oni budu numerički. Atributi mogu da uzimaju vrednosti iz diskretnog skupa, a to može da predstavlja problem pri izračunavanju ako je neki atribut označen većim brojem a nema nužno veću vrednost. Na primer atribut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Browser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koji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uzima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vrednosti iz skupa {1, 2, … , 13}, dakle ne mora da znači da je neki veb pregledač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„veći“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od nekog drugog.  Zbog toga je potrebno izvršiti proces binarizacije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(binarization</w:t>
      </w:r>
      <w:hyperlink r:id="rId1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2</w:t>
        </w:r>
      </w:hyperlink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osnovu kategoričkog atributa koji ima n različitih vrednosti stvoriće se n novih različitih binarnih atributa. Svaki binarni atribut odgovaraće jednoj mogućoj vrednosti kategoričkog atributa. Od n atributa koji se nalaze u jednom redu tačno jedan će imati vrednost 1, a ostali će imati vrednost 0. Binarni podaci su specijalni slučaj i  numeričkih i kategoričkih atributa tako da binarni kategorički atributi koji imaju vrednosti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True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43815</wp:posOffset>
            </wp:positionH>
            <wp:positionV relativeFrom="paragraph">
              <wp:posOffset>2117725</wp:posOffset>
            </wp:positionV>
            <wp:extent cx="6120130" cy="2442210"/>
            <wp:effectExtent l="0" t="0" r="0" b="0"/>
            <wp:wrapSquare wrapText="largest"/>
            <wp:docPr id="1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F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alse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zamenjuju se sa 0 i 1. Ispod je spisak novonastalih atributa nakon transformacije.</w:t>
      </w:r>
    </w:p>
    <w:p>
      <w:pPr>
        <w:pStyle w:val="Heading2"/>
        <w:numPr>
          <w:ilvl w:val="1"/>
          <w:numId w:val="3"/>
        </w:numPr>
        <w:rPr/>
      </w:pPr>
      <w:bookmarkStart w:id="6" w:name="__RefHeading___Toc1458_3102450165"/>
      <w:bookmarkEnd w:id="6"/>
      <w:r>
        <w:rPr/>
        <w:t>2.4 Rad sa elementima izvan granica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-3175</wp:posOffset>
            </wp:positionH>
            <wp:positionV relativeFrom="paragraph">
              <wp:posOffset>102235</wp:posOffset>
            </wp:positionV>
            <wp:extent cx="2853055" cy="265747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>Slika 6: Dijagram elemenata 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Na slici 6 vidimo da atributi vezani za vreme provedeno na stranicama imaju izražene elemente izvan granica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(outliers</w:t>
      </w:r>
      <w:hyperlink r:id="rId14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3</w:t>
        </w:r>
      </w:hyperlink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To su atributi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Administrative Duration, Informational Duration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Product Related Duration.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Izdvajamo ih na posban boxplot dijagram na slici broj 7 kako bi se jasnije i preciznije videli.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404749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lika 7: Boxplot dijagram elemenata 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Prvo pokušavamo sa metodom interkvantilnog opsega (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IQR</w:t>
      </w:r>
      <w:hyperlink r:id="rId16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4</w:t>
        </w:r>
      </w:hyperlink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). Međutim, ovom metodom bismo izgubili dosta infromacija što je i prikazano na slici 8.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22225</wp:posOffset>
            </wp:positionH>
            <wp:positionV relativeFrom="paragraph">
              <wp:posOffset>47625</wp:posOffset>
            </wp:positionV>
            <wp:extent cx="4494530" cy="53594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>Slika 8: Procentualni prikaz elemenata van granica koristeći IQR metodu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Tako da će biti uklonjeni samo ekstremni elementi izvan granica. Granice bi bile 20000 za atribut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P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roduct Related Duration,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2400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za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Administrative Duration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 1900 za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Informational Duration. </w:t>
      </w:r>
      <w:bookmarkStart w:id="7" w:name="Negativne-vredosti-su-primecene-u-kolona"/>
      <w:bookmarkEnd w:id="7"/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Takođe negativne vredosti su primećene u kolonama veznaim za vreme provedeno na stranicama, pošto ove vrednosti ne mogu biti negativne zamenjene su sa 0.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8" w:name="__RefHeading___Toc1460_3102450165"/>
      <w:bookmarkEnd w:id="8"/>
      <w:r>
        <w:rPr/>
        <w:t>2.5 Standardizacija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Pre standardizacije, skup se deli na skup atributa i na specijalni atribut koji će biti korišćen kao oznaka klase. Nakon toga se oba skupa dele na trening i test skup koji će biti korišćeni u procesu klasifikacije. Pošto su atributi različito skalirani, to znači da ih ne možemo međusobno upoređivati. Zbog toga se vrši standardizacija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(standardization</w:t>
      </w:r>
      <w:hyperlink r:id="rId18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5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koja funkcioniše tako što se od atributa oduzme njegova srednja vrednost i to se podeli njegovom standardnom devijacijom. Prikaz raspodele atributa pre i posle standardizacije je na slici 9.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48260</wp:posOffset>
            </wp:positionH>
            <wp:positionV relativeFrom="paragraph">
              <wp:posOffset>123190</wp:posOffset>
            </wp:positionV>
            <wp:extent cx="4585970" cy="1555750"/>
            <wp:effectExtent l="0" t="0" r="0" b="0"/>
            <wp:wrapSquare wrapText="bothSides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9: Prikaz raspodele atributa pre i posle standardizacije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1"/>
        <w:numPr>
          <w:ilvl w:val="0"/>
          <w:numId w:val="3"/>
        </w:numPr>
        <w:rPr/>
      </w:pPr>
      <w:bookmarkStart w:id="9" w:name="__RefHeading___Toc1462_3102450165"/>
      <w:bookmarkEnd w:id="9"/>
      <w:r>
        <w:rPr/>
        <w:t>3 Klasifikacija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0" w:name="__RefHeading___Toc1464_3102450165"/>
      <w:bookmarkEnd w:id="10"/>
      <w:r>
        <w:rPr/>
        <w:t xml:space="preserve">3.1 Nasumične šume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Nasumične šume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(Random Forest</w:t>
      </w:r>
      <w:hyperlink r:id="rId20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6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algoritam radi tako što sagrađuje mnoštvo stabala odlučivanja pri treniranju i dodeljuje instanci onu klasu koja se najčešće pojavljivala. Ovo je algoritam koji spada u grupu ansabala koji koriste više algoritama za učenje kako bi postigli što bolje rezultate u predikciji klasa.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odabira parametara, broj stabala u šumi biće jednak 15 a za kriterijume podele biće korišćena Entropija. To su parametri koji su dobijeni pomoći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Grid Search</w:t>
      </w:r>
      <w:r>
        <w:fldChar w:fldCharType="begin"/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instrText> HYPERLINK "https://www.mygreatlearning.com/blog/gridsearchcv/" \l ":~:text=GridSearchCV is a technique for,parameter values%2C predictions are made."</w:instrTex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separate"/>
      </w:r>
      <w:r>
        <w:rPr>
          <w:rStyle w:val="InternetLink"/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vertAlign w:val="superscript"/>
          <w:lang w:val="en-US" w:eastAsia="zh-CN" w:bidi="hi-IN"/>
        </w:rPr>
        <w:t>7</w: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end"/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algoritma.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Prvo ćemo pokušati bez balansiranja klasa, a posle ćemo pokušati da popravimo performanse korišćenjem SMOTE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(Synthetic Minority Oversampling Technique</w:t>
      </w:r>
      <w:hyperlink r:id="rId2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u w:val="none"/>
            <w:vertAlign w:val="superscript"/>
            <w:lang w:val="en-US" w:eastAsia="zh-CN" w:bidi="hi-IN"/>
          </w:rPr>
          <w:t>8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tehnike. Ona radi tako što na slučajan način odabere tačku iz manje klase i računa k najbližih suseda za tu tačku. Tačke koje su sintetisane se dodaju između odabrane tačke i njenih suseda. Rezultati pre i posle balansiranja klasa prikazani su na slici 11, a odgovarajuće matrice konfizije sa rezultatima pre balansiranja (zelena) i posle balansiranja (crvena) na slici 12 i 13. Takođe je prikazano i poređenje ROC krive i AUC rezultata pre i posle balansiranja na slici 14. Na slici 15.1 prikazana je značajnost atribura.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13335</wp:posOffset>
            </wp:positionV>
            <wp:extent cx="3978910" cy="162369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11:  Rezultati pre i posle balansiranja klasa korišćenjem SMOTE tehnike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3317875</wp:posOffset>
            </wp:positionH>
            <wp:positionV relativeFrom="paragraph">
              <wp:posOffset>151765</wp:posOffset>
            </wp:positionV>
            <wp:extent cx="2560320" cy="265811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30480</wp:posOffset>
            </wp:positionH>
            <wp:positionV relativeFrom="paragraph">
              <wp:posOffset>151130</wp:posOffset>
            </wp:positionV>
            <wp:extent cx="2633980" cy="2766060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12: Matrica konfuzije pre balansiranja</w:t>
        <w:tab/>
        <w:tab/>
        <w:t xml:space="preserve">      Slika 13: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-1905</wp:posOffset>
            </wp:positionH>
            <wp:positionV relativeFrom="paragraph">
              <wp:posOffset>139700</wp:posOffset>
            </wp:positionV>
            <wp:extent cx="4490085" cy="2134870"/>
            <wp:effectExtent l="0" t="0" r="0" b="0"/>
            <wp:wrapTopAndBottom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15: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20130" cy="7237095"/>
            <wp:effectExtent l="0" t="0" r="0" b="0"/>
            <wp:wrapSquare wrapText="largest"/>
            <wp:docPr id="19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ab/>
        <w:tab/>
        <w:tab/>
        <w:tab/>
        <w:tab/>
        <w:t>Slika 15.1: Značajnost atributa</w:t>
      </w:r>
      <w:r>
        <w:br w:type="page"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1" w:name="__RefHeading___Toc1466_3102450165"/>
      <w:bookmarkEnd w:id="11"/>
      <w:r>
        <w:rPr/>
        <w:t xml:space="preserve">3.2 Stabla odlučivanja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Naredni algoritam koji ćemo primeniti na naš skup su Stabla odlučivanja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(Decision Trees</w:t>
      </w:r>
      <w:hyperlink r:id="rId27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9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. To je algoritam u kome se proces klasifikacije modeluje pomoću skupa hijerarhijskih odluka koje su donete na osnovu atributa trening podataka čija je struktura uređena u obliku drveta.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parametara, maksimala dubina čvorova će biti 5 pre balansiranja i 10 posle balansiranja. Za kriterijume podele biće korišćena Entropija. Kao i kod nasumičnih šuma, ovi parametri su dobijeni pomoću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Grid Search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algoritma. Na slici 16 i 17 su prikazane odgovarajuće matrice konfuzije sa rezultatima pre i posle balansiranja, a na slici 18 poređenje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-9525</wp:posOffset>
            </wp:positionH>
            <wp:positionV relativeFrom="paragraph">
              <wp:posOffset>61595</wp:posOffset>
            </wp:positionV>
            <wp:extent cx="3039110" cy="3138805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3160395</wp:posOffset>
            </wp:positionH>
            <wp:positionV relativeFrom="paragraph">
              <wp:posOffset>102235</wp:posOffset>
            </wp:positionV>
            <wp:extent cx="2874645" cy="298259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16: Matrica konfuzije pre balansiranja</w:t>
        <w:tab/>
        <w:tab/>
        <w:t xml:space="preserve">  Slika 17: Matrica konfuzije posle balansiranja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ab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-128905</wp:posOffset>
            </wp:positionH>
            <wp:positionV relativeFrom="paragraph">
              <wp:posOffset>64770</wp:posOffset>
            </wp:positionV>
            <wp:extent cx="4982210" cy="2331720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18: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2" w:name="__RefHeading___Toc1468_3102450165"/>
      <w:bookmarkEnd w:id="12"/>
      <w:r>
        <w:rPr/>
        <w:t xml:space="preserve">3.3 Logistička regresija </w:t>
      </w:r>
    </w:p>
    <w:p>
      <w:pPr>
        <w:pStyle w:val="Normal"/>
        <w:bidi w:val="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Sledeći što ćemo pokušati je Logistička regresija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(Logistic Regression</w:t>
      </w:r>
      <w:hyperlink r:id="rId3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10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. Ona je jedna od najkorišćenijih metoda te se zato  odlučujemo za nju, vrlo je jednostavna i pruža efikasno treniranje. Takođe nam odgovara zato što je upotrebljiva samo na binarnu klasifikaciju, a to jeste naš slučaj.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parametara, kao i u prethodim metodama korišćen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Grid Search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algoritam. Na slici 19 i 20 su prikazane odgovarajuće matrice konfuzije sa rezultatima pre i posle balansiranja, a na slici 21 poređenja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86995</wp:posOffset>
            </wp:positionH>
            <wp:positionV relativeFrom="paragraph">
              <wp:posOffset>109855</wp:posOffset>
            </wp:positionV>
            <wp:extent cx="2817495" cy="294386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3270885</wp:posOffset>
            </wp:positionH>
            <wp:positionV relativeFrom="paragraph">
              <wp:posOffset>80645</wp:posOffset>
            </wp:positionV>
            <wp:extent cx="2875280" cy="2974340"/>
            <wp:effectExtent l="0" t="0" r="0" b="0"/>
            <wp:wrapSquare wrapText="largest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19: Matrica konfuzije pre balansiranja</w:t>
        <w:tab/>
        <w:tab/>
        <w:t xml:space="preserve"> Slika 20: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6985</wp:posOffset>
            </wp:positionH>
            <wp:positionV relativeFrom="paragraph">
              <wp:posOffset>15240</wp:posOffset>
            </wp:positionV>
            <wp:extent cx="5417820" cy="2555240"/>
            <wp:effectExtent l="0" t="0" r="0" b="0"/>
            <wp:wrapSquare wrapText="largest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21: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3" w:name="__RefHeading___Toc1470_3102450165"/>
      <w:bookmarkEnd w:id="13"/>
      <w:r>
        <w:rPr/>
        <w:t xml:space="preserve">3.4 Metoda potpornih vektora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i w:val="false"/>
          <w:iCs w:val="false"/>
        </w:rPr>
        <w:t xml:space="preserve">Poslednja metoda koju ćemo koristiti je SVM </w:t>
      </w:r>
      <w:r>
        <w:rPr>
          <w:i/>
          <w:iCs/>
        </w:rPr>
        <w:t>(Support Vector Machine</w:t>
      </w:r>
      <w:hyperlink r:id="rId35">
        <w:r>
          <w:rPr>
            <w:rStyle w:val="InternetLink"/>
            <w:i/>
            <w:iCs/>
            <w:vertAlign w:val="superscript"/>
          </w:rPr>
          <w:t>11</w:t>
        </w:r>
      </w:hyperlink>
      <w:r>
        <w:rPr>
          <w:i/>
          <w:iCs/>
        </w:rPr>
        <w:t>).</w:t>
      </w:r>
      <w:r>
        <w:rPr>
          <w:i w:val="false"/>
          <w:iCs w:val="false"/>
        </w:rPr>
        <w:t xml:space="preserve"> To je metoda koja je zasnovana na ideji vektorskih prostora. Prvo ćemo primeniti linearni SVM, a onda i SVM sa kernel funkcijom. 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rPr/>
      </w:pPr>
      <w:bookmarkStart w:id="14" w:name="__RefHeading___Toc1472_3102450165"/>
      <w:bookmarkEnd w:id="14"/>
      <w:r>
        <w:rPr/>
        <w:t>3.4.1 Linearni SVM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/>
      </w:pPr>
      <w:r>
        <w:rPr>
          <w:i w:val="false"/>
          <w:iCs w:val="false"/>
        </w:rPr>
        <w:t xml:space="preserve">Što se tiče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parametara</w:t>
      </w:r>
      <w:r>
        <w:rPr>
          <w:i w:val="false"/>
          <w:iCs w:val="false"/>
        </w:rPr>
        <w:t xml:space="preserve"> biće izabrana vrednost 1.0 koja je dobijena na osnovu </w:t>
      </w:r>
      <w:r>
        <w:rPr>
          <w:i/>
          <w:iCs/>
        </w:rPr>
        <w:t>Grid Search</w:t>
      </w:r>
      <w:r>
        <w:rPr>
          <w:i w:val="false"/>
          <w:iCs w:val="false"/>
        </w:rPr>
        <w:t xml:space="preserve"> algoritma.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22 i 23 su prikazane odgovarajuće matrice konfuzije sa rezultatima pre i posle balansiranja, a na slici 24 poređenja ROC kirive i AUC rezultata pre i posle balansiranja.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38735</wp:posOffset>
            </wp:positionH>
            <wp:positionV relativeFrom="paragraph">
              <wp:posOffset>57785</wp:posOffset>
            </wp:positionV>
            <wp:extent cx="2802255" cy="2874010"/>
            <wp:effectExtent l="0" t="0" r="0" b="0"/>
            <wp:wrapSquare wrapText="largest"/>
            <wp:docPr id="2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3154680</wp:posOffset>
            </wp:positionH>
            <wp:positionV relativeFrom="paragraph">
              <wp:posOffset>49530</wp:posOffset>
            </wp:positionV>
            <wp:extent cx="2755900" cy="2814955"/>
            <wp:effectExtent l="0" t="0" r="0" b="0"/>
            <wp:wrapSquare wrapText="largest"/>
            <wp:docPr id="27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22: Matrica konfuzije pre balansiranja</w:t>
        <w:tab/>
        <w:tab/>
        <w:t xml:space="preserve"> Slika 23: Matrica konfuzije posle balansiranja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-50165</wp:posOffset>
            </wp:positionH>
            <wp:positionV relativeFrom="paragraph">
              <wp:posOffset>14605</wp:posOffset>
            </wp:positionV>
            <wp:extent cx="5273675" cy="2526665"/>
            <wp:effectExtent l="0" t="0" r="0" b="0"/>
            <wp:wrapSquare wrapText="largest"/>
            <wp:docPr id="28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24: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3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3"/>
        <w:rPr/>
      </w:pPr>
      <w:bookmarkStart w:id="15" w:name="__RefHeading___Toc1474_3102450165"/>
      <w:bookmarkEnd w:id="15"/>
      <w:r>
        <w:rPr/>
        <w:t>3.4.2 SVM sa kernelom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/>
        <w:t xml:space="preserve">Za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parametre biće izbarana </w:t>
      </w:r>
      <w:r>
        <w:rPr/>
        <w:t xml:space="preserve">vrednost 2.0, a za kernel je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izabran</w:t>
      </w:r>
      <w:r>
        <w:rPr/>
        <w:t xml:space="preserve"> rbf kernel. Oni su dobijeni na osnovu </w:t>
      </w:r>
      <w:r>
        <w:rPr>
          <w:i/>
          <w:iCs/>
        </w:rPr>
        <w:t>Grid Search</w:t>
      </w:r>
      <w:r>
        <w:rPr/>
        <w:t xml:space="preserve"> algoritma.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25 i 26 su prikazane odgovarajuće matrice konfuzije sa rezultatima pre i posle balansiranja, a na slici 27 poređenja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38735</wp:posOffset>
            </wp:positionH>
            <wp:positionV relativeFrom="paragraph">
              <wp:posOffset>23495</wp:posOffset>
            </wp:positionV>
            <wp:extent cx="2977515" cy="3089910"/>
            <wp:effectExtent l="0" t="0" r="0" b="0"/>
            <wp:wrapSquare wrapText="largest"/>
            <wp:docPr id="2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3094990</wp:posOffset>
            </wp:positionH>
            <wp:positionV relativeFrom="paragraph">
              <wp:posOffset>1905</wp:posOffset>
            </wp:positionV>
            <wp:extent cx="2949575" cy="3021330"/>
            <wp:effectExtent l="0" t="0" r="0" b="0"/>
            <wp:wrapSquare wrapText="largest"/>
            <wp:docPr id="3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25: Matrica konfuzije pre balansiranja</w:t>
        <w:tab/>
        <w:tab/>
        <w:t xml:space="preserve"> Slika 26: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-29845</wp:posOffset>
            </wp:positionH>
            <wp:positionV relativeFrom="paragraph">
              <wp:posOffset>130810</wp:posOffset>
            </wp:positionV>
            <wp:extent cx="5602605" cy="2600960"/>
            <wp:effectExtent l="0" t="0" r="0" b="0"/>
            <wp:wrapSquare wrapText="largest"/>
            <wp:docPr id="3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27: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6" w:name="__RefHeading___Toc1476_3102450165"/>
      <w:bookmarkEnd w:id="16"/>
      <w:r>
        <w:rPr/>
        <w:t>3.5 Poređenje modela klasifikacije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Svi korišćeni metodi se jako slično ponašaju. Na slici 25 je prikazano poređenje svih metoda. Na svaki metod balansirane je uticalo na isti način a to je da je se smanjila tačnost na test skupu ali se povećao odziv klase 1, što svakako znači da je model dobijen balansiranjem kalsa bolji. Takođe nakon balansiranja dobijamo bolje ROC i AUC rezultate. Na slici 26 prikazano je poređenje ROC krive i AUC rezultata pre balansiranja. Na njoj se vidi da najbolji rezultat daju stabla odlučivanja. Na slici 27 prikazano je poređenje ROC krive i AUC rezultata nakon balansiranja klasa, u tom slučaju iznenađujuće najbolji rezultat daje linearni SVM.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-5715</wp:posOffset>
            </wp:positionH>
            <wp:positionV relativeFrom="paragraph">
              <wp:posOffset>16510</wp:posOffset>
            </wp:positionV>
            <wp:extent cx="6120130" cy="2421890"/>
            <wp:effectExtent l="0" t="0" r="0" b="0"/>
            <wp:wrapSquare wrapText="largest"/>
            <wp:docPr id="3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28: Tablica poređenja rezultata svih metoda pre i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-35560</wp:posOffset>
            </wp:positionH>
            <wp:positionV relativeFrom="paragraph">
              <wp:posOffset>111125</wp:posOffset>
            </wp:positionV>
            <wp:extent cx="4100195" cy="1958340"/>
            <wp:effectExtent l="0" t="0" r="0" b="0"/>
            <wp:wrapSquare wrapText="largest"/>
            <wp:docPr id="33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29: Poređenje ROC krive i AUC rezultata svih metoda pre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-7620</wp:posOffset>
            </wp:positionH>
            <wp:positionV relativeFrom="paragraph">
              <wp:posOffset>41910</wp:posOffset>
            </wp:positionV>
            <wp:extent cx="3954780" cy="1943735"/>
            <wp:effectExtent l="0" t="0" r="0" b="0"/>
            <wp:wrapSquare wrapText="largest"/>
            <wp:docPr id="3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30: Poređenje ROC krive i AUC rezultata svih metoda nakon balansiranja klasa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</w:p>
    <w:p>
      <w:pPr>
        <w:pStyle w:val="Heading1"/>
        <w:numPr>
          <w:ilvl w:val="0"/>
          <w:numId w:val="3"/>
        </w:numPr>
        <w:rPr/>
      </w:pPr>
      <w:bookmarkStart w:id="17" w:name="__RefHeading___Toc1478_3102450165"/>
      <w:bookmarkEnd w:id="17"/>
      <w:r>
        <w:rPr/>
        <w:t>4 Klasterovanje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18" w:name="__RefHeading___Toc1480_3102450165"/>
      <w:bookmarkEnd w:id="18"/>
      <w:r>
        <w:rPr/>
        <w:t xml:space="preserve">4.1 Algoritam K-sredina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Algoritam K-sredina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(K-means</w:t>
      </w:r>
      <w:r>
        <w:fldChar w:fldCharType="begin"/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instrText> HYPERLINK "https://www.lifewire.com/k-means-clustering-1019648" \l ":~:text=The k-means clustering algorithm,prior knowledge of those relationships."</w:instrTex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separate"/>
      </w:r>
      <w:r>
        <w:rPr>
          <w:rStyle w:val="InternetLink"/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vertAlign w:val="superscript"/>
          <w:lang w:val="en-US" w:eastAsia="zh-CN" w:bidi="hi-IN"/>
        </w:rPr>
        <w:t>12</w: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end"/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korišćen je za grupisnje podataka u klastere na osnovu njihove</w:t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sličnosti. Na slici 31 je prikazana varijansa (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Explained Variance Ratio</w:t>
      </w:r>
      <w:hyperlink r:id="rId45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13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)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koju ćemo koristiti radi odabira broja PCA komponenti. U našem slučaju to će biti 2.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-83820</wp:posOffset>
            </wp:positionH>
            <wp:positionV relativeFrom="paragraph">
              <wp:posOffset>49530</wp:posOffset>
            </wp:positionV>
            <wp:extent cx="2990215" cy="1986915"/>
            <wp:effectExtent l="0" t="0" r="0" b="0"/>
            <wp:wrapSquare wrapText="largest"/>
            <wp:docPr id="3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31: Explained Variance Ratio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/>
        <w:t xml:space="preserve">Nakon toga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na naš model primenjujemo tehniku analize glavnih komponenti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(PCA - </w:t>
      </w:r>
      <w:r>
        <w:rPr>
          <w:rFonts w:eastAsia="Noto Serif CJK SC" w:cs="Lohit Devanagari"/>
          <w:b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Principal Component Analysis</w:t>
      </w:r>
      <w:hyperlink r:id="rId47">
        <w:r>
          <w:rPr>
            <w:rStyle w:val="InternetLink"/>
            <w:rFonts w:eastAsia="Noto Serif CJK SC" w:cs="Lohit Devanagari"/>
            <w:b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14</w:t>
        </w:r>
      </w:hyperlink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).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Model pre klasterovanja je prikazan na slici 32.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10795</wp:posOffset>
            </wp:positionH>
            <wp:positionV relativeFrom="paragraph">
              <wp:posOffset>47625</wp:posOffset>
            </wp:positionV>
            <wp:extent cx="2463800" cy="1668145"/>
            <wp:effectExtent l="0" t="0" r="0" b="0"/>
            <wp:wrapSquare wrapText="largest"/>
            <wp:docPr id="36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32: Model pre klasterovanja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Sada biramo optimalan broj klastera. Mere koje koristimo za to su inercija koja pri minimizaciji koristi </w:t>
      </w:r>
      <w:r>
        <w:rPr>
          <w:rFonts w:eastAsia="Noto Serif CJK SC" w:cs="Lohit Devanagari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„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pravilo </w:t>
      </w:r>
      <w:r>
        <w:rPr>
          <w:rFonts w:eastAsia="Noto Serif CJK SC" w:cs="Lohit Devanagari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lakta” </w:t>
      </w:r>
      <w:r>
        <w:rPr>
          <w:rFonts w:eastAsia="Noto Serif CJK SC" w:cs="Lohit Devanagari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(Elbow method</w:t>
      </w:r>
      <w:hyperlink r:id="rId49">
        <w:r>
          <w:rPr>
            <w:rStyle w:val="InternetLink"/>
            <w:rFonts w:eastAsia="Noto Serif CJK SC" w:cs="Lohit Devanagari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15</w:t>
        </w:r>
      </w:hyperlink>
      <w:r>
        <w:rPr>
          <w:rFonts w:eastAsia="Noto Serif CJK SC" w:cs="Lohit Devanagari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i silueta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(silhouette</w:t>
      </w:r>
      <w:hyperlink r:id="rId50">
        <w:r>
          <w:rPr>
            <w:rStyle w:val="InternetLink"/>
            <w:rFonts w:eastAsia="Noto Serif CJK SC" w:cs="Lohit Devanagari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16</w:t>
        </w:r>
      </w:hyperlink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, koja je najveća za 2 klastera, što će biti optimalno.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66675</wp:posOffset>
            </wp:positionH>
            <wp:positionV relativeFrom="paragraph">
              <wp:posOffset>6985</wp:posOffset>
            </wp:positionV>
            <wp:extent cx="5009515" cy="1850390"/>
            <wp:effectExtent l="0" t="0" r="0" b="0"/>
            <wp:wrapSquare wrapText="largest"/>
            <wp:docPr id="37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33: Mere inercija i silueta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Na slici 34 je prikazan model sa optimalnim brojem klastera tj. 2, centeroidima i siluetom. Za ostali broj klastera, dakle od 3 do 5 klastera prikazani su modeli na slici 35 a od 6 do 9 klastera na slici 36.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45720</wp:posOffset>
            </wp:positionH>
            <wp:positionV relativeFrom="paragraph">
              <wp:posOffset>70485</wp:posOffset>
            </wp:positionV>
            <wp:extent cx="2632710" cy="1865630"/>
            <wp:effectExtent l="0" t="0" r="0" b="0"/>
            <wp:wrapSquare wrapText="largest"/>
            <wp:docPr id="38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2879090</wp:posOffset>
            </wp:positionH>
            <wp:positionV relativeFrom="paragraph">
              <wp:posOffset>15875</wp:posOffset>
            </wp:positionV>
            <wp:extent cx="2689860" cy="8020050"/>
            <wp:effectExtent l="0" t="0" r="0" b="0"/>
            <wp:wrapSquare wrapText="largest"/>
            <wp:docPr id="39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34: Model sa 2 klastera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-10160</wp:posOffset>
            </wp:positionH>
            <wp:positionV relativeFrom="paragraph">
              <wp:posOffset>37465</wp:posOffset>
            </wp:positionV>
            <wp:extent cx="2695575" cy="5878195"/>
            <wp:effectExtent l="0" t="0" r="0" b="0"/>
            <wp:wrapSquare wrapText="largest"/>
            <wp:docPr id="40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35: Modeli sa 3, 4 i 5 klastera                               Slika 36: Modeli sa 6, 7, 8 i 9 klastera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9" w:name="__RefHeading___Toc1482_3102450165"/>
      <w:bookmarkEnd w:id="19"/>
      <w:r>
        <w:rPr/>
        <w:t xml:space="preserve">4.2 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Sakupljajuće klasterovanje</w:t>
      </w:r>
      <w:r>
        <w:rPr/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Sakupljajuće klasterovanje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(Agglomerative Clustering</w:t>
      </w:r>
      <w:r>
        <w:fldChar w:fldCharType="begin"/>
      </w:r>
      <w:r>
        <w:rPr>
          <w:rStyle w:val="InternetLink"/>
          <w:vertAlign w:val="superscript"/>
          <w:sz w:val="24"/>
          <w:i/>
          <w:kern w:val="2"/>
          <w:szCs w:val="24"/>
          <w:iCs/>
          <w:rFonts w:eastAsia="Noto Serif CJK SC" w:cs="Lohit Devanagari"/>
          <w:color w:val="auto"/>
          <w:lang w:val="en-US" w:eastAsia="zh-CN" w:bidi="hi-IN"/>
        </w:rPr>
        <w:instrText> HYPERLINK "https://towardsdatascience.com/agglomerative-clustering-and-dendrograms-explained-29fc12b85f23" \l ":~:text=Agglomerative Clustering is a type,in different clusters are dissimilar."</w:instrText>
      </w:r>
      <w:r>
        <w:rPr>
          <w:rStyle w:val="InternetLink"/>
          <w:vertAlign w:val="superscript"/>
          <w:sz w:val="24"/>
          <w:i/>
          <w:kern w:val="2"/>
          <w:szCs w:val="24"/>
          <w:iCs/>
          <w:rFonts w:eastAsia="Noto Serif CJK SC" w:cs="Lohit Devanagari"/>
          <w:color w:val="auto"/>
          <w:lang w:val="en-US" w:eastAsia="zh-CN" w:bidi="hi-IN"/>
        </w:rPr>
        <w:fldChar w:fldCharType="separate"/>
      </w:r>
      <w:r>
        <w:rPr>
          <w:rStyle w:val="InternetLink"/>
          <w:rFonts w:eastAsia="Noto Serif CJK SC" w:cs="Lohit Devanagari"/>
          <w:i/>
          <w:iCs/>
          <w:color w:val="auto"/>
          <w:kern w:val="2"/>
          <w:sz w:val="24"/>
          <w:szCs w:val="24"/>
          <w:vertAlign w:val="superscript"/>
          <w:lang w:val="en-US" w:eastAsia="zh-CN" w:bidi="hi-IN"/>
        </w:rPr>
        <w:t>17</w:t>
      </w:r>
      <w:r>
        <w:rPr>
          <w:rStyle w:val="InternetLink"/>
          <w:vertAlign w:val="superscript"/>
          <w:sz w:val="24"/>
          <w:i/>
          <w:kern w:val="2"/>
          <w:szCs w:val="24"/>
          <w:iCs/>
          <w:rFonts w:eastAsia="Noto Serif CJK SC" w:cs="Lohit Devanagari"/>
          <w:color w:val="auto"/>
          <w:lang w:val="en-US" w:eastAsia="zh-CN" w:bidi="hi-IN"/>
        </w:rPr>
        <w:fldChar w:fldCharType="end"/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je algoritam hijerarhijskog klasterovanja koji se koristi za grupisanje sličnih tačaka podataka u klasterima. Ovo je pristup odozdo prema gore (bottom-up), u kome svaka tačka podataka počinje kao sopstveni klaster, a nakon toga se iterativno spajaju klasteri na osnovu njihove sličnosti sve dok se ne dostigne željeni broj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Počinjemo tako što testiramo ponašanja algoritma za različite vrednosti parametara. Kao i ko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d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K sreditna koristili smo PCA. Definišemo klastere u rasponu od 2 do 8, slično kao za algoritam K sredina. Isprobavamo sve moguće vrednosti za parametar vezivanja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(linkage)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a to su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average, ward, complete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single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slici 37 izdvajamo model sa najboljom ocenom siluete, brojem klastera koji je jednak 2 i najboljim parametrom vezivanja a to je </w:t>
      </w:r>
      <w:r>
        <w:rPr>
          <w:rFonts w:eastAsia="Noto Serif CJK SC" w:cs="Lohit Devanagari"/>
          <w:b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average. Ostali modeli biće prikazani na slici 40. Na slici 38 su prikazani rezultati siluete u odnosu na broj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22860</wp:posOffset>
            </wp:positionH>
            <wp:positionV relativeFrom="paragraph">
              <wp:posOffset>141605</wp:posOffset>
            </wp:positionV>
            <wp:extent cx="2830830" cy="1882775"/>
            <wp:effectExtent l="0" t="0" r="0" b="0"/>
            <wp:wrapSquare wrapText="largest"/>
            <wp:docPr id="41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3009265</wp:posOffset>
            </wp:positionH>
            <wp:positionV relativeFrom="paragraph">
              <wp:posOffset>125730</wp:posOffset>
            </wp:positionV>
            <wp:extent cx="2827020" cy="1897380"/>
            <wp:effectExtent l="0" t="0" r="0" b="0"/>
            <wp:wrapSquare wrapText="largest"/>
            <wp:docPr id="42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 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37: Najbolji model</w:t>
        <w:tab/>
        <w:tab/>
        <w:t xml:space="preserve">                           Slika 38: Rezultati siluete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Da bismo dobili vizuelnu reprezentaciju hijerarhijskog klasterovanja koristimo biblioteku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scipy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, pomoću koje kreiramo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dendrogram</w:t>
      </w:r>
      <w:hyperlink r:id="rId57">
        <w:r>
          <w:rPr>
            <w:rStyle w:val="InternetLink"/>
            <w:rFonts w:eastAsia="Noto Serif CJK SC" w:cs="Lohit Devanagari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18</w:t>
        </w:r>
      </w:hyperlink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slici 39 biće prikazano poslednjih 30 klastera.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6120130" cy="3209290"/>
            <wp:effectExtent l="0" t="0" r="0" b="0"/>
            <wp:wrapSquare wrapText="largest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39: Dendogram poslednjih 30 klastera</w:t>
      </w:r>
    </w:p>
    <w:p>
      <w:pPr>
        <w:pStyle w:val="Heading2"/>
        <w:numPr>
          <w:ilvl w:val="1"/>
          <w:numId w:val="3"/>
        </w:numPr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120130" cy="7684770"/>
            <wp:effectExtent l="0" t="0" r="0" b="0"/>
            <wp:wrapSquare wrapText="largest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/>
      </w:pPr>
      <w:r>
        <w:rPr>
          <w:i/>
          <w:iCs/>
          <w:sz w:val="21"/>
          <w:szCs w:val="21"/>
        </w:rPr>
        <w:t xml:space="preserve">Slika 40: Modeli za broj klastera od 2 do 8 i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parametrima vezivanja average, ward, complete i single</w:t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1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20" w:name="__RefHeading___Toc2391_1493345932"/>
      <w:bookmarkEnd w:id="20"/>
      <w:r>
        <w:rPr/>
        <w:t>4.3 Poređenje modela klasterovanja</w:t>
      </w:r>
    </w:p>
    <w:p>
      <w:pPr>
        <w:pStyle w:val="TextBody"/>
        <w:rPr/>
      </w:pPr>
      <w:r>
        <w:rPr/>
      </w:r>
    </w:p>
    <w:p>
      <w:pPr>
        <w:pStyle w:val="Normal"/>
        <w:jc w:val="both"/>
        <w:rPr/>
      </w:pPr>
      <w:r>
        <w:rPr/>
        <w:t xml:space="preserve">Na slici 40.1 i 40.2 prikazani su rezltati poređenja silueta za modele K sredina i Sakupljajućeg 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klasterovanja</w:t>
      </w:r>
      <w:r>
        <w:rPr/>
        <w:t>. Na slici 40.3 i 40.4 prikazano je poređenje najboljih modela za oba algoritma. Oba modela daju najbolje rezultate za 2 klastera. Rezultati siluete su takođe slični, 0.89 za algoritam K sredina i 0.88 za sakupljajuće klasterovanje.</w:t>
      </w:r>
    </w:p>
    <w:p>
      <w:pPr>
        <w:pStyle w:val="Normal"/>
        <w:jc w:val="both"/>
        <w:rPr/>
      </w:pPr>
      <w:r>
        <w:rPr/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-22860</wp:posOffset>
            </wp:positionH>
            <wp:positionV relativeFrom="paragraph">
              <wp:posOffset>9525</wp:posOffset>
            </wp:positionV>
            <wp:extent cx="2946400" cy="2273935"/>
            <wp:effectExtent l="0" t="0" r="0" b="0"/>
            <wp:wrapSquare wrapText="largest"/>
            <wp:docPr id="45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3035935</wp:posOffset>
            </wp:positionH>
            <wp:positionV relativeFrom="paragraph">
              <wp:posOffset>95250</wp:posOffset>
            </wp:positionV>
            <wp:extent cx="3200400" cy="2202815"/>
            <wp:effectExtent l="0" t="0" r="0" b="0"/>
            <wp:wrapSquare wrapText="largest"/>
            <wp:docPr id="46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/>
      </w:pPr>
      <w:r>
        <w:rPr/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40.1: Rezultati siluete za K sredina</w:t>
        <w:tab/>
        <w:tab/>
        <w:t xml:space="preserve">         Slika 40.2: Rezultati siluete Sakupljajućeg klasterovanja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3046730</wp:posOffset>
            </wp:positionH>
            <wp:positionV relativeFrom="paragraph">
              <wp:posOffset>38735</wp:posOffset>
            </wp:positionV>
            <wp:extent cx="3115945" cy="2072640"/>
            <wp:effectExtent l="0" t="0" r="0" b="0"/>
            <wp:wrapSquare wrapText="largest"/>
            <wp:docPr id="47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-58420</wp:posOffset>
            </wp:positionH>
            <wp:positionV relativeFrom="paragraph">
              <wp:posOffset>-85725</wp:posOffset>
            </wp:positionV>
            <wp:extent cx="2936240" cy="2080895"/>
            <wp:effectExtent l="0" t="0" r="0" b="0"/>
            <wp:wrapSquare wrapText="largest"/>
            <wp:docPr id="48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tru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/>
      </w:pPr>
      <w:r>
        <w:rPr>
          <w:i/>
          <w:iCs/>
          <w:sz w:val="21"/>
          <w:szCs w:val="21"/>
        </w:rPr>
        <w:t xml:space="preserve">Slika 40.3: Najbolji model K sredina klasterovanja             Slika 40.3: Najbolji model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Sakupljajućeg</w:t>
      </w:r>
      <w:r>
        <w:rPr>
          <w:i/>
          <w:iCs/>
          <w:sz w:val="21"/>
          <w:szCs w:val="21"/>
        </w:rPr>
        <w:t xml:space="preserve"> klasterovanja</w:t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spacing w:before="0" w:after="0"/>
        <w:ind w:right="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21" w:name="__RefHeading___Toc1486_3102450165"/>
      <w:bookmarkEnd w:id="21"/>
      <w:r>
        <w:rPr/>
        <w:t>5 Pravila pridruživanja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22" w:name="__RefHeading___Toc1488_3102450165"/>
      <w:bookmarkEnd w:id="22"/>
      <w:r>
        <w:rPr/>
        <w:t>5.1 Apriori</w:t>
      </w:r>
    </w:p>
    <w:p>
      <w:pPr>
        <w:pStyle w:val="TextBody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TextBody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Apriori</w:t>
      </w:r>
      <w:hyperlink r:id="rId64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19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vertAlign w:val="superscript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algoritam se koristi za pronalaženje zanimljivih obrazaca koji postoje u skupovima podataka. Za primenu ovog algoritma korišćen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IBM SPSS Modeler</w:t>
      </w:r>
      <w:hyperlink r:id="rId65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20</w:t>
        </w:r>
      </w:hyperlink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. Na slici 41 prikazan je dijagram toka.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-31115</wp:posOffset>
            </wp:positionH>
            <wp:positionV relativeFrom="paragraph">
              <wp:posOffset>-53340</wp:posOffset>
            </wp:positionV>
            <wp:extent cx="3926840" cy="2151380"/>
            <wp:effectExtent l="0" t="0" r="0" b="0"/>
            <wp:wrapSquare wrapText="largest"/>
            <wp:docPr id="49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ab/>
        <w:tab/>
        <w:t xml:space="preserve">  Slika 41: Dijagram toka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/>
        <w:t xml:space="preserve">Pošto Apriori algoritam ne radi sa neprekidnim podacima nego samo sa diskretnim, morali smo neprekidne čvorove da diskretizujemo i to radimo pomoću </w:t>
      </w:r>
      <w:r>
        <w:rPr>
          <w:i/>
          <w:iCs/>
        </w:rPr>
        <w:t>bining</w:t>
      </w:r>
      <w:r>
        <w:rPr/>
        <w:t xml:space="preserve"> opcije u SPSS-u. Binovanje </w:t>
      </w:r>
      <w:r>
        <w:rPr>
          <w:i/>
          <w:iCs/>
        </w:rPr>
        <w:t>(Bining</w:t>
      </w:r>
      <w:hyperlink r:id="rId67">
        <w:r>
          <w:rPr>
            <w:rStyle w:val="InternetLink"/>
            <w:i/>
            <w:iCs/>
            <w:vertAlign w:val="superscript"/>
          </w:rPr>
          <w:t>21</w:t>
        </w:r>
      </w:hyperlink>
      <w:r>
        <w:rPr>
          <w:i/>
          <w:iCs/>
        </w:rPr>
        <w:t>)</w:t>
      </w:r>
      <w:r>
        <w:rPr/>
        <w:t xml:space="preserve"> se koristi pri radu sa neprekidnim promenljivim, konvertujući ih u „binove</w:t>
      </w:r>
      <w:r>
        <w:rPr>
          <w:b w:val="false"/>
          <w:bCs w:val="false"/>
          <w:sz w:val="24"/>
          <w:szCs w:val="24"/>
        </w:rPr>
        <w:t>“</w:t>
      </w:r>
      <w:r>
        <w:rPr/>
        <w:t xml:space="preserve"> –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intervale. Za metodu biramo fiksnu širinu. Na slici 42 je prikazan prozor.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68580</wp:posOffset>
            </wp:positionH>
            <wp:positionV relativeFrom="paragraph">
              <wp:posOffset>114300</wp:posOffset>
            </wp:positionV>
            <wp:extent cx="3353435" cy="3468370"/>
            <wp:effectExtent l="0" t="0" r="0" b="0"/>
            <wp:wrapSquare wrapText="largest"/>
            <wp:docPr id="50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42: Prozor bining opcije u SPSS-u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 slici 43 prikazan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Type</w:t>
      </w:r>
      <w:hyperlink r:id="rId69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22</w:t>
        </w:r>
      </w:hyperlink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prozor na kome smo podesili uloge naših atributa nakon binovanja.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6120130" cy="4368165"/>
            <wp:effectExtent l="0" t="0" r="0" b="0"/>
            <wp:wrapSquare wrapText="largest"/>
            <wp:docPr id="51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43: Type prozor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 slici 44 prikazan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Web</w:t>
      </w:r>
      <w:hyperlink r:id="rId7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23</w:t>
        </w:r>
      </w:hyperlink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prozor. „Deblje” linije predstavljaju jaču korelaciju. Na primer između našeg ključnog atributa Revenue (False) i Month (Nov).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7620</wp:posOffset>
            </wp:positionH>
            <wp:positionV relativeFrom="paragraph">
              <wp:posOffset>151765</wp:posOffset>
            </wp:positionV>
            <wp:extent cx="3371215" cy="2754630"/>
            <wp:effectExtent l="0" t="0" r="0" b="0"/>
            <wp:wrapSquare wrapText="largest"/>
            <wp:docPr id="52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44: Prozor na kome je prikazana mreža</w:t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 slici 45 prikazan je przor za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Lift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sortiranje. Lift vrednosti su jako visoke što ukazuje da su pravila zastupljenija nego očekivano. Na slici 46 prikazan je prozor za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Confidence (pouzdanost) s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ortiranje. Tu nam je atribut PageValues interesantan, kao i činjenica da je VisitorType jedank novom korisniku.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Support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(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podrška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 sortiranje nije prikazano jer iz njega nije nešto značajno moglo da se zaključi.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32385</wp:posOffset>
            </wp:positionH>
            <wp:positionV relativeFrom="paragraph">
              <wp:posOffset>154305</wp:posOffset>
            </wp:positionV>
            <wp:extent cx="4802505" cy="3542665"/>
            <wp:effectExtent l="0" t="0" r="0" b="0"/>
            <wp:wrapSquare wrapText="largest"/>
            <wp:docPr id="53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45: Lift sortiranje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6985</wp:posOffset>
            </wp:positionH>
            <wp:positionV relativeFrom="paragraph">
              <wp:posOffset>15875</wp:posOffset>
            </wp:positionV>
            <wp:extent cx="4798060" cy="3539490"/>
            <wp:effectExtent l="0" t="0" r="0" b="0"/>
            <wp:wrapTopAndBottom/>
            <wp:docPr id="54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46: Confidence sortiranje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Heading1"/>
        <w:numPr>
          <w:ilvl w:val="0"/>
          <w:numId w:val="2"/>
        </w:numPr>
        <w:rPr/>
      </w:pPr>
      <w:bookmarkStart w:id="23" w:name="__RefHeading___Toc2393_1493345932"/>
      <w:bookmarkEnd w:id="23"/>
      <w:r>
        <w:rPr/>
        <w:t>6 Zaključak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spacing w:before="0" w:after="0"/>
        <w:ind w:right="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n-US" w:eastAsia="zh-CN" w:bidi="hi-IN"/>
        </w:rPr>
        <w:t xml:space="preserve">Predviđanje da li će neko kupiti nešto preko interneta ne može biti perfektno, ali rekao bih da nije ni teško. Neki atributi koje smo primetili na početku još u eksplorativnoj analizi, koji bi intuitivno mogli da budu značajni, kao na primer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n-US" w:eastAsia="zh-CN" w:bidi="hi-IN"/>
        </w:rPr>
        <w:t>Special Day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n-US" w:eastAsia="zh-CN" w:bidi="hi-IN"/>
        </w:rPr>
        <w:t xml:space="preserve"> atribut, nakon klasifikacije na tabeli značajnosti atributa nije imao neku visoku poziciju. Očekivano je da klasterovanje ne daje neke značajnije rezultate jer je ipak u pitanju skup za klasifikaciju. Model pravila pridruživanja uspeo je da pronađe neka određena pravila.</w:t>
      </w:r>
    </w:p>
    <w:p>
      <w:pPr>
        <w:pStyle w:val="Normal"/>
        <w:bidi w:val="0"/>
        <w:spacing w:before="0" w:after="0"/>
        <w:ind w:right="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InternetLink">
    <w:name w:val="Hyperlink"/>
    <w:rPr>
      <w:color w:val="000080"/>
      <w:u w:val="none"/>
      <w:lang w:val="zxx" w:eastAsia="zxx" w:bidi="zxx"/>
    </w:rPr>
  </w:style>
  <w:style w:type="character" w:styleId="IndexLink">
    <w:name w:val="Index Link"/>
    <w:qFormat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355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709"/>
        <w:tab w:val="right" w:pos="9072" w:leader="dot"/>
      </w:tabs>
      <w:ind w:left="566" w:right="0" w:hanging="0"/>
    </w:pPr>
    <w:rPr/>
  </w:style>
  <w:style w:type="paragraph" w:styleId="FigureIndexHeading">
    <w:name w:val="Figure Index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Figure">
    <w:name w:val="Figure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deepai.org/machine-learning-glossary-and-terms/binarization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www.javatpoint.com/what-is-outlier-in-data-mining" TargetMode="External"/><Relationship Id="rId15" Type="http://schemas.openxmlformats.org/officeDocument/2006/relationships/image" Target="media/image12.png"/><Relationship Id="rId16" Type="http://schemas.openxmlformats.org/officeDocument/2006/relationships/hyperlink" Target="https://www.geeksforgeeks.org/interquartile-range-to-detect-outliers-in-data/" TargetMode="External"/><Relationship Id="rId17" Type="http://schemas.openxmlformats.org/officeDocument/2006/relationships/image" Target="media/image13.png"/><Relationship Id="rId18" Type="http://schemas.openxmlformats.org/officeDocument/2006/relationships/hyperlink" Target="https://builtin.com/data-science/when-and-why-standardize-your-data" TargetMode="External"/><Relationship Id="rId19" Type="http://schemas.openxmlformats.org/officeDocument/2006/relationships/image" Target="media/image14.png"/><Relationship Id="rId20" Type="http://schemas.openxmlformats.org/officeDocument/2006/relationships/hyperlink" Target="https://www.analyticsvidhya.com/blog/2021/06/understanding-random-forest/" TargetMode="External"/><Relationship Id="rId21" Type="http://schemas.openxmlformats.org/officeDocument/2006/relationships/hyperlink" Target="https://towardsdatascience.com/smote-fdce2f605729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s://www.javatpoint.com/machine-learning-decision-tree-classification-algorithm" TargetMode="Externa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hyperlink" Target="https://www.geeksforgeeks.org/understanding-logistic-regression/" TargetMode="External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hyperlink" Target="https://www.analyticsvidhya.com/blog/2021/10/support-vector-machinessvm-a-complete-guide-for-beginners/" TargetMode="External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hyperlink" Target="https://vitalflux.com/pca-explained-variance-concept-python-example/" TargetMode="External"/><Relationship Id="rId46" Type="http://schemas.openxmlformats.org/officeDocument/2006/relationships/image" Target="media/image35.png"/><Relationship Id="rId47" Type="http://schemas.openxmlformats.org/officeDocument/2006/relationships/hyperlink" Target="https://www.geeksforgeeks.org/principal-component-analysis-pca/" TargetMode="External"/><Relationship Id="rId48" Type="http://schemas.openxmlformats.org/officeDocument/2006/relationships/image" Target="media/image36.png"/><Relationship Id="rId49" Type="http://schemas.openxmlformats.org/officeDocument/2006/relationships/hyperlink" Target="https://www.geeksforgeeks.org/elbow-method-for-optimal-value-of-k-in-kmeans/" TargetMode="External"/><Relationship Id="rId50" Type="http://schemas.openxmlformats.org/officeDocument/2006/relationships/hyperlink" Target="https://medium.com/@cmukesh8688/silhouette-analysis-in-k-means-clustering-cefa9a7ad111" TargetMode="External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hyperlink" Target="https://www.displayr.com/what-is-dendrogram/" TargetMode="External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hyperlink" Target="https://www.geeksforgeeks.org/apriori-algorithm/" TargetMode="External"/><Relationship Id="rId65" Type="http://schemas.openxmlformats.org/officeDocument/2006/relationships/hyperlink" Target="https://www.ibm.com/docs/en/spss-modeler/18.0.0?topic=guide-about-spss-modeler" TargetMode="External"/><Relationship Id="rId66" Type="http://schemas.openxmlformats.org/officeDocument/2006/relationships/image" Target="media/image49.png"/><Relationship Id="rId67" Type="http://schemas.openxmlformats.org/officeDocument/2006/relationships/hyperlink" Target="https://www.ibm.com/docs/en/cloud-paks/cp-data/4.7.x?topic=operations-binning-node" TargetMode="External"/><Relationship Id="rId68" Type="http://schemas.openxmlformats.org/officeDocument/2006/relationships/image" Target="media/image50.png"/><Relationship Id="rId69" Type="http://schemas.openxmlformats.org/officeDocument/2006/relationships/hyperlink" Target="https://www.ibm.com/docs/en/cloud-paks/cp-data/4.7.x?topic=operations-type-node" TargetMode="External"/><Relationship Id="rId70" Type="http://schemas.openxmlformats.org/officeDocument/2006/relationships/image" Target="media/image51.png"/><Relationship Id="rId71" Type="http://schemas.openxmlformats.org/officeDocument/2006/relationships/hyperlink" Target="https://www.ibm.com/docs/en/cloud-paks/cp-data/4.7.x?topic=graphs-web-node" TargetMode="External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numbering" Target="numbering.xml"/><Relationship Id="rId76" Type="http://schemas.openxmlformats.org/officeDocument/2006/relationships/fontTable" Target="fontTable.xml"/><Relationship Id="rId7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2612</TotalTime>
  <Application>LibreOffice/6.4.7.2$Linux_X86_64 LibreOffice_project/40$Build-2</Application>
  <Pages>24</Pages>
  <Words>2695</Words>
  <Characters>14975</Characters>
  <CharactersWithSpaces>17767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2023-08-17T23:46:33Z</dcterms:created>
  <dc:creator/>
  <dc:description/>
  <dc:language>en-US</dc:language>
  <cp:lastModifiedBy/>
  <dcterms:modified xsi:type="dcterms:W3CDTF">2023-08-30T16:18:37Z</dcterms:modified>
  <cp:revision>168</cp:revision>
  <dc:subject/>
  <dc:title/>
</cp:coreProperties>
</file>