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12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37.png" ContentType="image/png"/>
  <Override PartName="/word/media/image7.png" ContentType="image/png"/>
  <Override PartName="/word/media/image2.png" ContentType="image/png"/>
  <Override PartName="/word/media/image32.png" ContentType="image/png"/>
  <Override PartName="/word/media/image11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t>Online Shoppers Purchasing Intention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Zoran Vujičić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  <w:t>Avgust, 2023</w:t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Seminarski rad u okviru kursa Istraživanje podataka 1 na</w:t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Matematičkom fakultetu</w:t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Sadržaj</w:t>
          </w:r>
        </w:p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> TOC \f \o "1-9" \h</w:instrText>
          </w:r>
          <w:r>
            <w:rPr>
              <w:rStyle w:val="IndexLink"/>
            </w:rPr>
            <w:fldChar w:fldCharType="separate"/>
          </w:r>
          <w:hyperlink w:anchor="__RefHeading___Toc1448_3102450165">
            <w:r>
              <w:rPr>
                <w:rStyle w:val="IndexLink"/>
              </w:rPr>
              <w:t>1 Uvod</w:t>
              <w:tab/>
              <w:t>2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50_3102450165">
            <w:r>
              <w:rPr>
                <w:rStyle w:val="IndexLink"/>
              </w:rPr>
              <w:t>1.1 Analiza skupa podataka</w:t>
              <w:tab/>
              <w:t>2</w:t>
            </w:r>
          </w:hyperlink>
        </w:p>
        <w:p>
          <w:pPr>
            <w:pStyle w:val="Contents1"/>
            <w:rPr/>
          </w:pPr>
          <w:hyperlink w:anchor="__RefHeading___Toc1452_3102450165">
            <w:r>
              <w:rPr>
                <w:rStyle w:val="IndexLink"/>
              </w:rPr>
              <w:t>2 Preprocesiranje podataka</w:t>
              <w:tab/>
              <w:t>5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54_3102450165">
            <w:r>
              <w:rPr>
                <w:rStyle w:val="IndexLink"/>
              </w:rPr>
              <w:t>2.1 Rad sa nedostajućim vrednostima</w:t>
              <w:tab/>
              <w:t>5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605_3102450165">
            <w:r>
              <w:rPr>
                <w:rStyle w:val="IndexLink"/>
              </w:rPr>
              <w:t>2.2 Odabir atributa</w:t>
              <w:tab/>
              <w:t>5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56_3102450165">
            <w:r>
              <w:rPr>
                <w:rStyle w:val="IndexLink"/>
              </w:rPr>
              <w:t>2.3 Transformisanje kategoričkih atributa</w:t>
              <w:tab/>
              <w:t>6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58_3102450165">
            <w:r>
              <w:rPr>
                <w:rStyle w:val="IndexLink"/>
              </w:rPr>
              <w:t>2.4 Rad sa elementima izvan granica</w:t>
              <w:tab/>
              <w:t>7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60_3102450165">
            <w:r>
              <w:rPr>
                <w:rStyle w:val="IndexLink"/>
              </w:rPr>
              <w:t>2.5 Standardizacija</w:t>
              <w:tab/>
              <w:t>8</w:t>
            </w:r>
          </w:hyperlink>
        </w:p>
        <w:p>
          <w:pPr>
            <w:pStyle w:val="Contents1"/>
            <w:rPr/>
          </w:pPr>
          <w:hyperlink w:anchor="__RefHeading___Toc1462_3102450165">
            <w:r>
              <w:rPr>
                <w:rStyle w:val="IndexLink"/>
              </w:rPr>
              <w:t>3 Klasifikacija</w:t>
              <w:tab/>
              <w:t>8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64_3102450165">
            <w:r>
              <w:rPr>
                <w:rStyle w:val="IndexLink"/>
              </w:rPr>
              <w:t>3.1 Nasumične šume (Random Forest)</w:t>
              <w:tab/>
              <w:t>8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66_3102450165">
            <w:r>
              <w:rPr>
                <w:rStyle w:val="IndexLink"/>
              </w:rPr>
              <w:t>3.2 Stabla odlučivanja (Decision Trees)</w:t>
              <w:tab/>
              <w:t>10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68_3102450165">
            <w:r>
              <w:rPr>
                <w:rStyle w:val="IndexLink"/>
              </w:rPr>
              <w:t>3.3 Logistička regresija (Logistic Regression)</w:t>
              <w:tab/>
              <w:t>11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70_3102450165">
            <w:r>
              <w:rPr>
                <w:rStyle w:val="IndexLink"/>
              </w:rPr>
              <w:t>3.4 Metoda potpornih vektora (SVM)</w:t>
              <w:tab/>
              <w:t>12</w:t>
            </w:r>
          </w:hyperlink>
        </w:p>
        <w:p>
          <w:pPr>
            <w:pStyle w:val="Contents3"/>
            <w:tabs>
              <w:tab w:val="clear" w:pos="9072"/>
              <w:tab w:val="right" w:pos="9638" w:leader="dot"/>
            </w:tabs>
            <w:rPr/>
          </w:pPr>
          <w:hyperlink w:anchor="__RefHeading___Toc1472_3102450165">
            <w:r>
              <w:rPr>
                <w:rStyle w:val="IndexLink"/>
              </w:rPr>
              <w:t>3.4.1 Linearni SVM</w:t>
              <w:tab/>
              <w:t>12</w:t>
            </w:r>
          </w:hyperlink>
        </w:p>
        <w:p>
          <w:pPr>
            <w:pStyle w:val="Contents3"/>
            <w:tabs>
              <w:tab w:val="clear" w:pos="9072"/>
              <w:tab w:val="right" w:pos="9638" w:leader="dot"/>
            </w:tabs>
            <w:rPr/>
          </w:pPr>
          <w:hyperlink w:anchor="__RefHeading___Toc1474_3102450165">
            <w:r>
              <w:rPr>
                <w:rStyle w:val="IndexLink"/>
              </w:rPr>
              <w:t>3.4.2 SVM sa kernelom</w:t>
              <w:tab/>
              <w:t>13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76_3102450165">
            <w:r>
              <w:rPr>
                <w:rStyle w:val="IndexLink"/>
              </w:rPr>
              <w:t>3.5 Poređenje modela klasifikacije</w:t>
              <w:tab/>
              <w:t>14</w:t>
            </w:r>
          </w:hyperlink>
        </w:p>
        <w:p>
          <w:pPr>
            <w:pStyle w:val="Contents1"/>
            <w:rPr/>
          </w:pPr>
          <w:hyperlink w:anchor="__RefHeading___Toc1478_3102450165">
            <w:r>
              <w:rPr>
                <w:rStyle w:val="IndexLink"/>
              </w:rPr>
              <w:t>4 Klasterovanje</w:t>
              <w:tab/>
              <w:t>15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80_3102450165">
            <w:r>
              <w:rPr>
                <w:rStyle w:val="IndexLink"/>
              </w:rPr>
              <w:t>4.1 Algoritam K-sredina (K-means)</w:t>
              <w:tab/>
              <w:t>15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82_3102450165">
            <w:r>
              <w:rPr>
                <w:rStyle w:val="IndexLink"/>
              </w:rPr>
              <w:t>4.2 Sakupljajuće klasterovanje (Agglomerative Clustering)</w:t>
              <w:tab/>
              <w:t>17</w:t>
            </w:r>
          </w:hyperlink>
        </w:p>
        <w:p>
          <w:pPr>
            <w:pStyle w:val="Contents1"/>
            <w:rPr/>
          </w:pPr>
          <w:hyperlink w:anchor="__RefHeading___Toc1486_3102450165">
            <w:r>
              <w:rPr>
                <w:rStyle w:val="IndexLink"/>
              </w:rPr>
              <w:t>5 Pravila pridruživanja</w:t>
              <w:tab/>
              <w:t>19</w:t>
            </w:r>
          </w:hyperlink>
        </w:p>
        <w:p>
          <w:pPr>
            <w:pStyle w:val="Contents2"/>
            <w:tabs>
              <w:tab w:val="clear" w:pos="9355"/>
              <w:tab w:val="right" w:pos="9638" w:leader="dot"/>
            </w:tabs>
            <w:rPr/>
          </w:pPr>
          <w:hyperlink w:anchor="__RefHeading___Toc1488_3102450165">
            <w:r>
              <w:rPr>
                <w:rStyle w:val="IndexLink"/>
              </w:rPr>
              <w:t>5.1 Apriori</w:t>
              <w:tab/>
              <w:t>19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bidi w:val="0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Heading1"/>
        <w:rPr>
          <w:b/>
          <w:b/>
          <w:bCs/>
          <w:sz w:val="36"/>
          <w:szCs w:val="36"/>
        </w:rPr>
      </w:pPr>
      <w:bookmarkStart w:id="0" w:name="__RefHeading___Toc1448_3102450165"/>
      <w:bookmarkEnd w:id="0"/>
      <w:r>
        <w:rPr/>
        <w:t>1 Uvod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b w:val="false"/>
          <w:bCs w:val="false"/>
          <w:sz w:val="24"/>
          <w:szCs w:val="24"/>
        </w:rPr>
        <w:t xml:space="preserve">Skup podataka Online Shoppers Purchasing Intention sastavljen je od informacija o aktivnostima korisnika na internetu a podaci su prikupljeni sa sajta za maloprodaju. Konstruisan od strane </w:t>
      </w:r>
      <w:r>
        <w:rPr>
          <w:b w:val="false"/>
          <w:bCs w:val="false"/>
          <w:i/>
          <w:iCs/>
          <w:sz w:val="24"/>
          <w:szCs w:val="24"/>
        </w:rPr>
        <w:t>Google Analytics</w:t>
      </w:r>
      <w:r>
        <w:rPr>
          <w:b w:val="false"/>
          <w:bCs w:val="false"/>
          <w:sz w:val="24"/>
          <w:szCs w:val="24"/>
        </w:rPr>
        <w:t xml:space="preserve"> servisa za sakupljanje statističkih podataka o aktivnostima korisnika na internetu, skup se sastoji od 12330 pristupa korisnika. Skup je pažljivo formiran tako da svaki pristup odgovara različitom korisniku u periodu od jedne godine, kako bi se izbegla sklonost ka specifičnom profilu korisnika, danu ili periodu.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Heading2"/>
        <w:rPr>
          <w:b w:val="false"/>
          <w:b w:val="false"/>
          <w:bCs w:val="false"/>
          <w:sz w:val="32"/>
          <w:szCs w:val="32"/>
        </w:rPr>
      </w:pPr>
      <w:bookmarkStart w:id="1" w:name="__RefHeading___Toc1450_3102450165"/>
      <w:bookmarkEnd w:id="1"/>
      <w:r>
        <w:rPr/>
        <w:t>1.1 Analiza skupa podataka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Naš skup podataka ima ukupno 18 atributa. U sledećoj tabeli si</w:t>
      </w:r>
      <w:r>
        <w:rPr>
          <w:b w:val="false"/>
          <w:bCs w:val="false"/>
        </w:rPr>
        <w:t xml:space="preserve"> ukratko opisani svi atributi, 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prvih 10 su numerički a ostalih 8 su kategorički atributi. Na slici 1 su prikazani histogrami raspodele nekih atributa.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tbl>
      <w:tblPr>
        <w:tblW w:w="9638" w:type="dxa"/>
        <w:jc w:val="left"/>
        <w:tblInd w:w="36" w:type="dxa"/>
        <w:tblCellMar>
          <w:top w:w="43" w:type="dxa"/>
          <w:left w:w="43" w:type="dxa"/>
          <w:bottom w:w="43" w:type="dxa"/>
          <w:right w:w="43" w:type="dxa"/>
        </w:tblCellMar>
      </w:tblPr>
      <w:tblGrid>
        <w:gridCol w:w="2876"/>
        <w:gridCol w:w="6761"/>
      </w:tblGrid>
      <w:tr>
        <w:trPr/>
        <w:tc>
          <w:tcPr>
            <w:tcW w:w="2876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</w:tcBorders>
            <w:shd w:fill="B2B2B2" w:val="clear"/>
          </w:tcPr>
          <w:p>
            <w:pPr>
              <w:pStyle w:val="TableContents"/>
              <w:bidi w:val="0"/>
              <w:jc w:val="center"/>
              <w:rPr>
                <w:b/>
                <w:b/>
                <w:bCs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Atributi</w:t>
            </w:r>
          </w:p>
        </w:tc>
        <w:tc>
          <w:tcPr>
            <w:tcW w:w="6761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B2B2B2" w:val="clear"/>
          </w:tcPr>
          <w:p>
            <w:pPr>
              <w:pStyle w:val="TableContents"/>
              <w:bidi w:val="0"/>
              <w:jc w:val="center"/>
              <w:rPr>
                <w:b/>
                <w:b/>
                <w:bCs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Opis</w:t>
            </w:r>
          </w:p>
        </w:tc>
      </w:tr>
      <w:tr>
        <w:trPr/>
        <w:tc>
          <w:tcPr>
            <w:tcW w:w="2876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Administrative</w:t>
            </w:r>
          </w:p>
        </w:tc>
        <w:tc>
          <w:tcPr>
            <w:tcW w:w="676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Broj posećenih veb strana vezanih za upravljanje profilom</w:t>
            </w:r>
          </w:p>
        </w:tc>
      </w:tr>
      <w:tr>
        <w:trPr/>
        <w:tc>
          <w:tcPr>
            <w:tcW w:w="2876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Administrative_Duration</w:t>
            </w:r>
          </w:p>
        </w:tc>
        <w:tc>
          <w:tcPr>
            <w:tcW w:w="676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Vreme provedeno na veb stranama o upravljanju profilom u sekundama</w:t>
            </w:r>
          </w:p>
        </w:tc>
      </w:tr>
      <w:tr>
        <w:trPr/>
        <w:tc>
          <w:tcPr>
            <w:tcW w:w="2876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Informational</w:t>
            </w:r>
          </w:p>
        </w:tc>
        <w:tc>
          <w:tcPr>
            <w:tcW w:w="676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Broj posećenih veb strana vezanih za informacije o sajtu</w:t>
            </w:r>
          </w:p>
        </w:tc>
      </w:tr>
      <w:tr>
        <w:trPr/>
        <w:tc>
          <w:tcPr>
            <w:tcW w:w="2876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Informational_Duration</w:t>
            </w:r>
          </w:p>
        </w:tc>
        <w:tc>
          <w:tcPr>
            <w:tcW w:w="676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Vreme provedeno na stranama za informacije u sekundama</w:t>
            </w:r>
          </w:p>
        </w:tc>
      </w:tr>
      <w:tr>
        <w:trPr/>
        <w:tc>
          <w:tcPr>
            <w:tcW w:w="2876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ProductRelated</w:t>
            </w:r>
          </w:p>
        </w:tc>
        <w:tc>
          <w:tcPr>
            <w:tcW w:w="676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Broj posećenih veb strana vezanih za proizvode</w:t>
            </w:r>
          </w:p>
        </w:tc>
      </w:tr>
      <w:tr>
        <w:trPr/>
        <w:tc>
          <w:tcPr>
            <w:tcW w:w="2876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ProductRelated_Duration</w:t>
            </w:r>
          </w:p>
        </w:tc>
        <w:tc>
          <w:tcPr>
            <w:tcW w:w="676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Vreme provedeno na veb stranama vezanim za proizvode </w:t>
            </w:r>
          </w:p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u sekundama</w:t>
            </w:r>
          </w:p>
        </w:tc>
      </w:tr>
      <w:tr>
        <w:trPr/>
        <w:tc>
          <w:tcPr>
            <w:tcW w:w="2876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BounceRates</w:t>
            </w:r>
          </w:p>
        </w:tc>
        <w:tc>
          <w:tcPr>
            <w:tcW w:w="676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Procenat korisnika koji nakon ulaska na veb sajt izađu bez pokretanja drugih zahteva ka serveru</w:t>
            </w:r>
          </w:p>
        </w:tc>
      </w:tr>
      <w:tr>
        <w:trPr/>
        <w:tc>
          <w:tcPr>
            <w:tcW w:w="2876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ExitRates</w:t>
            </w:r>
          </w:p>
        </w:tc>
        <w:tc>
          <w:tcPr>
            <w:tcW w:w="676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Koliko je puta u procentima veb strana bila poslednja u jednom pristupu korisnika internetu, u odnosu na ukupan broj pregleda</w:t>
            </w:r>
          </w:p>
        </w:tc>
      </w:tr>
      <w:tr>
        <w:trPr/>
        <w:tc>
          <w:tcPr>
            <w:tcW w:w="2876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PageValues</w:t>
            </w:r>
          </w:p>
        </w:tc>
        <w:tc>
          <w:tcPr>
            <w:tcW w:w="676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Predstvalja </w:t>
            </w:r>
            <w:r>
              <w:rPr>
                <w:rFonts w:eastAsia="Noto Serif CJK SC" w:cs="Lohit Devanagari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prosečnu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vrednost veb stranica koje je korisnik posetio pre nego što je izvršio transakciju</w:t>
            </w:r>
          </w:p>
        </w:tc>
      </w:tr>
      <w:tr>
        <w:trPr/>
        <w:tc>
          <w:tcPr>
            <w:tcW w:w="2876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SpecialDay</w:t>
            </w:r>
          </w:p>
        </w:tc>
        <w:tc>
          <w:tcPr>
            <w:tcW w:w="676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Pokazuje koliko je vreme posete veb sajtu blizu nekog specijalnog dana u godini (npr. 8. Mart), u kojima je veća verovatnoća da se uspešno izvrši transakcija</w:t>
            </w:r>
          </w:p>
        </w:tc>
      </w:tr>
      <w:tr>
        <w:trPr/>
        <w:tc>
          <w:tcPr>
            <w:tcW w:w="2876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Month</w:t>
            </w:r>
          </w:p>
        </w:tc>
        <w:tc>
          <w:tcPr>
            <w:tcW w:w="676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Mesec u godini u kome je korisnik pristupio veb sajtu</w:t>
            </w:r>
          </w:p>
        </w:tc>
      </w:tr>
      <w:tr>
        <w:trPr/>
        <w:tc>
          <w:tcPr>
            <w:tcW w:w="2876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OperatingSystems</w:t>
            </w:r>
          </w:p>
        </w:tc>
        <w:tc>
          <w:tcPr>
            <w:tcW w:w="676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Operativni sistem koji je koristio korisnik</w:t>
            </w:r>
          </w:p>
        </w:tc>
      </w:tr>
      <w:tr>
        <w:trPr/>
        <w:tc>
          <w:tcPr>
            <w:tcW w:w="2876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Browser</w:t>
            </w:r>
          </w:p>
        </w:tc>
        <w:tc>
          <w:tcPr>
            <w:tcW w:w="676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Internet </w:t>
            </w:r>
            <w:r>
              <w:rPr>
                <w:rFonts w:eastAsia="Noto Serif CJK SC" w:cs="Lohit Devanagari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pregledač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koji je koristio korisnik </w:t>
            </w:r>
          </w:p>
        </w:tc>
      </w:tr>
      <w:tr>
        <w:trPr/>
        <w:tc>
          <w:tcPr>
            <w:tcW w:w="2876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Region</w:t>
            </w:r>
          </w:p>
        </w:tc>
        <w:tc>
          <w:tcPr>
            <w:tcW w:w="676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Noto Serif CJK SC" w:cs="Lohit Devanagari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Geografski region iz kog se prijavio korisnik</w:t>
            </w:r>
          </w:p>
        </w:tc>
      </w:tr>
      <w:tr>
        <w:trPr/>
        <w:tc>
          <w:tcPr>
            <w:tcW w:w="2876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TrafficType</w:t>
            </w:r>
          </w:p>
        </w:tc>
        <w:tc>
          <w:tcPr>
            <w:tcW w:w="676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Izvor, odakle je korisnik pristupio veb sajtu</w:t>
            </w:r>
          </w:p>
        </w:tc>
      </w:tr>
      <w:tr>
        <w:trPr/>
        <w:tc>
          <w:tcPr>
            <w:tcW w:w="2876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VisitorType</w:t>
            </w:r>
          </w:p>
        </w:tc>
        <w:tc>
          <w:tcPr>
            <w:tcW w:w="676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Tip korisnika koji može biti </w:t>
            </w:r>
            <w:r>
              <w:rPr>
                <w:rFonts w:eastAsia="Noto Serif CJK SC" w:cs="Lohit Devanagari" w:ascii="Liberation Sans" w:hAnsi="Liberation Sans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Novi Korisnik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, </w:t>
            </w:r>
            <w:r>
              <w:rPr>
                <w:rFonts w:eastAsia="Noto Serif CJK SC" w:cs="Lohit Devanagari" w:ascii="Liberation Sans" w:hAnsi="Liberation Sans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Povratnik</w:t>
            </w:r>
            <w:r>
              <w:rPr>
                <w:rFonts w:ascii="Liberation Sans" w:hAnsi="Liberation Sans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i </w:t>
            </w:r>
            <w:r>
              <w:rPr>
                <w:rFonts w:eastAsia="Noto Serif CJK SC" w:cs="Lohit Devanagari" w:ascii="Liberation Sans" w:hAnsi="Liberation Sans"/>
                <w:b w:val="false"/>
                <w:bCs w:val="false"/>
                <w:i/>
                <w:iCs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Ostali</w:t>
            </w:r>
          </w:p>
        </w:tc>
      </w:tr>
      <w:tr>
        <w:trPr/>
        <w:tc>
          <w:tcPr>
            <w:tcW w:w="2876" w:type="dxa"/>
            <w:tcBorders>
              <w:left w:val="single" w:sz="6" w:space="0" w:color="666666"/>
              <w:bottom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Weekend</w:t>
            </w:r>
          </w:p>
        </w:tc>
        <w:tc>
          <w:tcPr>
            <w:tcW w:w="676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eastAsia="Noto Serif CJK SC" w:cs="Lohit Devanagari"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auto"/>
                <w:kern w:val="2"/>
                <w:sz w:val="24"/>
                <w:szCs w:val="24"/>
                <w:u w:val="none"/>
                <w:lang w:val="en-US" w:eastAsia="zh-CN" w:bidi="hi-IN"/>
              </w:rPr>
              <w:t>Pokazauje</w:t>
            </w: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da li je datum posete vikend ili ne</w:t>
            </w:r>
          </w:p>
        </w:tc>
      </w:tr>
      <w:tr>
        <w:trPr/>
        <w:tc>
          <w:tcPr>
            <w:tcW w:w="2876" w:type="dxa"/>
            <w:tcBorders>
              <w:left w:val="single" w:sz="6" w:space="0" w:color="666666"/>
              <w:bottom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rFonts w:ascii="Liberation Sans" w:hAnsi="Liberation Sans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Revenue</w:t>
            </w:r>
          </w:p>
        </w:tc>
        <w:tc>
          <w:tcPr>
            <w:tcW w:w="6761" w:type="dxa"/>
            <w:tcBorders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fill="EEEEEE" w:val="clear"/>
          </w:tcPr>
          <w:p>
            <w:pPr>
              <w:pStyle w:val="TableContents"/>
              <w:bidi w:val="0"/>
              <w:jc w:val="left"/>
              <w:rPr>
                <w:iCs w:val="false"/>
                <w:szCs w:val="24"/>
              </w:rPr>
            </w:pPr>
            <w:r>
              <w:rPr>
                <w:rFonts w:ascii="Liberation Sans" w:hAnsi="Liberation Sans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Pokazuje da li je korisnik pri poseti veb sajtu ivršio transakciju ili nije</w:t>
            </w:r>
          </w:p>
        </w:tc>
      </w:tr>
    </w:tbl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-80645</wp:posOffset>
            </wp:positionH>
            <wp:positionV relativeFrom="paragraph">
              <wp:posOffset>-114935</wp:posOffset>
            </wp:positionV>
            <wp:extent cx="6120130" cy="59867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1"/>
          <w:szCs w:val="21"/>
        </w:rPr>
        <w:t>S</w:t>
      </w:r>
      <w:r>
        <w:rPr>
          <w:i/>
          <w:iCs/>
          <w:sz w:val="21"/>
          <w:szCs w:val="21"/>
        </w:rPr>
        <w:t>lika 1: Histogrami raspodele nekih atributa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 xml:space="preserve">Ciljna promenljiva u procesu klasifikacije biće </w:t>
      </w:r>
      <w:r>
        <w:rPr>
          <w:b/>
          <w:bCs/>
        </w:rPr>
        <w:t>Revenue</w:t>
      </w:r>
      <w:r>
        <w:rPr/>
        <w:t xml:space="preserve">, odnosno da li je korisnik kupio neki proizvod ili nije, jer je to informacija koju želimo da dobijemo nakon istraživanja.  Atrubut Revenue ima 2 klase a to su True i False. Broj instanci klase True je 1908 a klase False 10422. Dakle klase nisu balansirane što će predstavljati problem u procesu klasifikacije. To je i prikazano na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slici </w:t>
      </w: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6985</wp:posOffset>
            </wp:positionH>
            <wp:positionV relativeFrom="paragraph">
              <wp:posOffset>934085</wp:posOffset>
            </wp:positionV>
            <wp:extent cx="1953260" cy="1655445"/>
            <wp:effectExtent l="0" t="0" r="0" b="0"/>
            <wp:wrapTopAndBottom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2</w:t>
      </w:r>
      <w:r>
        <w:rPr/>
        <w:t xml:space="preserve">. Odnos atributa Revenue sa nekim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atributima</w:t>
      </w:r>
      <w:r>
        <w:rPr/>
        <w:t xml:space="preserve"> prikazan je na slici 3.1, 3.2, 3.3 i 3.4.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>Slika 2: Procentualni prikaz raspodele klasa</w:t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-106680</wp:posOffset>
            </wp:positionV>
            <wp:extent cx="5437505" cy="1955165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1"/>
          <w:szCs w:val="21"/>
        </w:rPr>
        <w:t xml:space="preserve"> </w:t>
      </w:r>
      <w:r>
        <w:rPr>
          <w:i/>
          <w:iCs/>
          <w:sz w:val="21"/>
          <w:szCs w:val="21"/>
        </w:rPr>
        <w:t xml:space="preserve">  </w:t>
      </w:r>
      <w:r>
        <w:rPr>
          <w:i/>
          <w:iCs/>
          <w:sz w:val="21"/>
          <w:szCs w:val="21"/>
        </w:rPr>
        <w:t>Slika 3.1: Odnos atributa Revenue i Month</w:t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6350</wp:posOffset>
            </wp:positionH>
            <wp:positionV relativeFrom="paragraph">
              <wp:posOffset>85725</wp:posOffset>
            </wp:positionV>
            <wp:extent cx="3369945" cy="1814195"/>
            <wp:effectExtent l="0" t="0" r="0" b="0"/>
            <wp:wrapSquare wrapText="largest"/>
            <wp:docPr id="4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4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 xml:space="preserve">    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 xml:space="preserve">   </w:t>
      </w:r>
      <w:r>
        <w:rPr>
          <w:i/>
          <w:iCs/>
          <w:sz w:val="21"/>
          <w:szCs w:val="21"/>
        </w:rPr>
        <w:t>Slika 3.2: Odnos atributa Revenue I Visitor Type</w:t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0</wp:posOffset>
            </wp:positionH>
            <wp:positionV relativeFrom="paragraph">
              <wp:posOffset>86995</wp:posOffset>
            </wp:positionV>
            <wp:extent cx="5433060" cy="1980565"/>
            <wp:effectExtent l="0" t="0" r="0" b="0"/>
            <wp:wrapTopAndBottom/>
            <wp:docPr id="5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1"/>
          <w:szCs w:val="21"/>
        </w:rPr>
        <w:t xml:space="preserve"> </w:t>
      </w:r>
      <w:r>
        <w:rPr>
          <w:i/>
          <w:iCs/>
          <w:sz w:val="21"/>
          <w:szCs w:val="21"/>
        </w:rPr>
        <w:t xml:space="preserve">  </w:t>
      </w:r>
      <w:r>
        <w:rPr>
          <w:i/>
          <w:iCs/>
          <w:sz w:val="21"/>
          <w:szCs w:val="21"/>
        </w:rPr>
        <w:t>Slika 3.3: Odnos atributa Revenue i Special Day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17145</wp:posOffset>
            </wp:positionH>
            <wp:positionV relativeFrom="paragraph">
              <wp:posOffset>20320</wp:posOffset>
            </wp:positionV>
            <wp:extent cx="5482590" cy="1880870"/>
            <wp:effectExtent l="0" t="0" r="0" b="0"/>
            <wp:wrapSquare wrapText="largest"/>
            <wp:docPr id="6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 xml:space="preserve">   </w:t>
      </w:r>
      <w:r>
        <w:rPr>
          <w:i/>
          <w:iCs/>
          <w:sz w:val="21"/>
          <w:szCs w:val="21"/>
        </w:rPr>
        <w:t>Slika 3.4: Odnos atributa Revenue i atributa vezanih za vreme provedeno na stranicama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 xml:space="preserve">Vidimo da ćemo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imati</w:t>
      </w:r>
      <w:r>
        <w:rPr/>
        <w:t xml:space="preserve"> i elemenata van granica </w:t>
      </w:r>
      <w:r>
        <w:rPr>
          <w:i/>
          <w:iCs/>
        </w:rPr>
        <w:t>(outlier)</w:t>
      </w:r>
      <w:r>
        <w:rPr/>
        <w:t>, što ćemo istražiti u predprocesiranju.</w:t>
      </w:r>
    </w:p>
    <w:p>
      <w:pPr>
        <w:pStyle w:val="Heading1"/>
        <w:rPr>
          <w:rFonts w:ascii="Liberation Serif" w:hAnsi="Liberation Serif" w:eastAsia="Noto Serif CJK SC" w:cs="Lohit Devanagari"/>
          <w:b/>
          <w:b/>
          <w:bCs/>
          <w:color w:val="auto"/>
          <w:kern w:val="2"/>
          <w:sz w:val="36"/>
          <w:szCs w:val="36"/>
          <w:lang w:val="en-US" w:eastAsia="zh-CN" w:bidi="hi-IN"/>
        </w:rPr>
      </w:pPr>
      <w:bookmarkStart w:id="2" w:name="__RefHeading___Toc1452_3102450165"/>
      <w:bookmarkEnd w:id="2"/>
      <w:r>
        <w:rPr/>
        <w:t>2 Preprocesiranje podataka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Heading2"/>
        <w:rPr>
          <w:rFonts w:ascii="Liberation Serif" w:hAnsi="Liberation Serif" w:eastAsia="Noto Serif CJK SC" w:cs="Lohit Devanagari"/>
          <w:b/>
          <w:b/>
          <w:bCs/>
          <w:color w:val="auto"/>
          <w:kern w:val="2"/>
          <w:sz w:val="32"/>
          <w:szCs w:val="32"/>
          <w:lang w:val="en-US" w:eastAsia="zh-CN" w:bidi="hi-IN"/>
        </w:rPr>
      </w:pPr>
      <w:bookmarkStart w:id="3" w:name="__RefHeading___Toc1454_3102450165"/>
      <w:bookmarkEnd w:id="3"/>
      <w:r>
        <w:rPr/>
        <w:t>2.1 Rad sa nedostajućim vrednostima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/>
          <w:b/>
          <w:bCs/>
          <w:color w:val="auto"/>
          <w:kern w:val="2"/>
          <w:sz w:val="32"/>
          <w:szCs w:val="32"/>
          <w:lang w:val="en-US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2"/>
          <w:szCs w:val="32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Proveravamo da li u našem skupu podataka postoje nedostajuće vrednosti i ako postoje treba ih na adekvatan način eliminisati ili zameniti.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31750</wp:posOffset>
            </wp:positionH>
            <wp:positionV relativeFrom="paragraph">
              <wp:posOffset>58420</wp:posOffset>
            </wp:positionV>
            <wp:extent cx="1784350" cy="278701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Dakle, iz rezultata izvršavanja možemo videti da nema nedostajućih vrednosti.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Heading2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bookmarkStart w:id="4" w:name="__RefHeading___Toc1605_3102450165"/>
      <w:bookmarkEnd w:id="4"/>
      <w:r>
        <w:rPr/>
        <w:t>2.2 Odabir atributa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Koristićemo matricu korelacije pri odabiru atributa. Na osnovu matrice korelacije, koja je  prikazana na slici 4 saznajemo koliko atributi utiču jedni na druge. Tamno crvenom bojom su označeni atributi sa visokom korelacijom.  Na osnovu toga vidimo da su atributi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Product Related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i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Product Related Duration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vioko korelirani, tako da ćemo jedan izbaciti. Isto važi i za atribute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Exit Rates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i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Bounce Rates. 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43180</wp:posOffset>
            </wp:positionH>
            <wp:positionV relativeFrom="paragraph">
              <wp:posOffset>40005</wp:posOffset>
            </wp:positionV>
            <wp:extent cx="3560445" cy="227647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  </w:t>
      </w:r>
      <w:r>
        <w:rPr>
          <w:rFonts w:eastAsia="Noto Serif CJK SC" w:cs="Lohit Devanagari"/>
          <w:b w:val="false"/>
          <w:bCs w:val="false"/>
          <w:color w:val="auto"/>
          <w:kern w:val="2"/>
          <w:sz w:val="21"/>
          <w:szCs w:val="21"/>
          <w:lang w:val="en-US" w:eastAsia="zh-CN" w:bidi="hi-IN"/>
        </w:rPr>
        <w:t xml:space="preserve">Slika 5: Odnos atrubuta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1"/>
          <w:szCs w:val="21"/>
          <w:lang w:val="en-US" w:eastAsia="zh-CN" w:bidi="hi-IN"/>
        </w:rPr>
        <w:t xml:space="preserve">Exit Rates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1"/>
          <w:szCs w:val="21"/>
          <w:lang w:val="en-US" w:eastAsia="zh-CN" w:bidi="hi-IN"/>
        </w:rPr>
        <w:t>i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1"/>
          <w:szCs w:val="21"/>
          <w:lang w:val="en-US" w:eastAsia="zh-CN" w:bidi="hi-IN"/>
        </w:rPr>
        <w:t xml:space="preserve"> Bounce Rates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-42545</wp:posOffset>
            </wp:positionH>
            <wp:positionV relativeFrom="paragraph">
              <wp:posOffset>28575</wp:posOffset>
            </wp:positionV>
            <wp:extent cx="5043170" cy="3560445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ab/>
        <w:tab/>
        <w:tab/>
        <w:tab/>
      </w:r>
      <w:r>
        <w:rPr>
          <w:rFonts w:eastAsia="Noto Serif CJK SC" w:cs="Lohit Devanagari"/>
          <w:b w:val="false"/>
          <w:bCs w:val="false"/>
          <w:color w:val="auto"/>
          <w:kern w:val="2"/>
          <w:sz w:val="21"/>
          <w:szCs w:val="21"/>
          <w:lang w:val="en-US" w:eastAsia="zh-CN" w:bidi="hi-IN"/>
        </w:rPr>
        <w:t>Slika 4: Matrica korelacije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Heading2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bookmarkStart w:id="5" w:name="__RefHeading___Toc1456_3102450165"/>
      <w:bookmarkEnd w:id="5"/>
      <w:r>
        <w:rPr/>
        <w:t>2.3 Transformisanje kategoričkih atributa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U našem skupu podataka postoje kategorički atributi koje ćemo transformisati zbog algoritama u procesu klasifikacije koja zahtevaju da oni budu numerički. Atributi mogu da uzimaju vrednosti iz diskretnog skupa, a to može da predstavlja problem pri izračunavanju ako je neki atribut označen većim brojem a nema nužno veću vrednost. Na primer atribut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Browser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koji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uzima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vrednosti iz skupa {1, 2, … , 13}, dakle ne mora da znači da je neki veb pregledač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„veći”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od nekog drugog.  Zbog toga je potrebno izvršiti proces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binarizacije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. Na osnovu kategoričkog atributa koji ima n različitih vrednosti stvoriće se n novih različitih binarnih atributa. Svaki binarni atribut odgovaraće jednoj mogućoj vrednosti kategoričkog atributa. Od n atributa koji se nalaze u jednom redu tačno jedan će imati vrednost 1, a ostali će imati vrednost 0. Binarni podaci su specijalni slučaj i  numeričkih i kategoričkih atributa tako da binarni kategorički atributi koji imaju vrednosti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True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i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43815</wp:posOffset>
            </wp:positionH>
            <wp:positionV relativeFrom="paragraph">
              <wp:posOffset>2028190</wp:posOffset>
            </wp:positionV>
            <wp:extent cx="6120130" cy="2442210"/>
            <wp:effectExtent l="0" t="0" r="0" b="0"/>
            <wp:wrapSquare wrapText="largest"/>
            <wp:docPr id="10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F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alse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zamenjuju se sa 0 i 1.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Is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pod je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spisak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novonastalih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atributa nakon transformacije.</w:t>
      </w:r>
    </w:p>
    <w:p>
      <w:pPr>
        <w:pStyle w:val="Heading2"/>
        <w:rPr/>
      </w:pPr>
      <w:bookmarkStart w:id="6" w:name="__RefHeading___Toc1458_3102450165"/>
      <w:bookmarkEnd w:id="6"/>
      <w:r>
        <w:rPr/>
        <w:t>2.4 Rad sa elementima izvan granica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-3175</wp:posOffset>
            </wp:positionH>
            <wp:positionV relativeFrom="paragraph">
              <wp:posOffset>102235</wp:posOffset>
            </wp:positionV>
            <wp:extent cx="2853055" cy="2657475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1"/>
          <w:szCs w:val="21"/>
          <w:lang w:val="en-US" w:eastAsia="zh-CN" w:bidi="hi-IN"/>
        </w:rPr>
        <w:t>Slika 6: Dijagram elemenata van granica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Na slici 6 vidimo da atributi vezani za vreme provedeno na stranicama imaju izražene elemente izvan granica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(Outliers)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. To su atributi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Administrative Duration, Informational Duration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i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Product Related Duration.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Izdvajamo ih na posban boxplot dijagram na slici broj 7 kako bi se jasnije i preciznije videli.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6120130" cy="404749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lika 7: Boxplot dijagram elemenata van granica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>Prvo pokušavamo sa metodom interkvantilnog opsega (IQR). Međutim, ovom metodom bismo izgubili dosta infromacija što je i prikazano na slici 8.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22225</wp:posOffset>
            </wp:positionH>
            <wp:positionV relativeFrom="paragraph">
              <wp:posOffset>47625</wp:posOffset>
            </wp:positionV>
            <wp:extent cx="4494530" cy="535940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1"/>
          <w:szCs w:val="21"/>
          <w:lang w:val="en-US" w:eastAsia="zh-CN" w:bidi="hi-IN"/>
        </w:rPr>
        <w:t>Slika 8: Procentualni prikaz elemenata van granica koristeći IQR metodu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Tako da će biti uklonjeni samo ekstremni elementi izvan granica. Granice bi bile 20000 za atribut </w:t>
      </w:r>
      <w:r>
        <w:rPr>
          <w:rFonts w:eastAsia="Noto Serif CJK SC" w:cs="Lohit Devanagari"/>
          <w:b w:val="false"/>
          <w:bCs w:val="false"/>
          <w:i/>
          <w:iCs/>
          <w:color w:val="auto"/>
          <w:kern w:val="2"/>
          <w:sz w:val="24"/>
          <w:szCs w:val="24"/>
          <w:lang w:val="en-US" w:eastAsia="zh-CN" w:bidi="hi-IN"/>
        </w:rPr>
        <w:t>P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roduct Related Duration,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2400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za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Administrative Duration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i 1900 za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Informational Duration. </w:t>
      </w:r>
      <w:bookmarkStart w:id="7" w:name="Negativne-vredosti-su-primecene-u-kolona"/>
      <w:bookmarkEnd w:id="7"/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Takođe negativne vredosti su primećene u kolonama veznaim za vreme provedeno na stranicama, pošto ove vrednosti ne mogu biti negativne zamenjene su sa 0.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rPr>
          <w:i w:val="false"/>
          <w:i w:val="false"/>
          <w:iCs w:val="false"/>
        </w:rPr>
      </w:pPr>
      <w:bookmarkStart w:id="8" w:name="__RefHeading___Toc1460_3102450165"/>
      <w:bookmarkEnd w:id="8"/>
      <w:r>
        <w:rPr/>
        <w:t>2.5 Standardizacija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Pre standardizacije, skup se deli na skup atributa i na specijalni atribut koji će biti korišćen kao oznaka klase. Nakon toga se oba skupa dele na trening i test skup koji će biti korišćeni u procesu klasifikacije. Pošto su atributi različito skalirani, to znači da ih ne možemo međusobno upoređivati. Zbog toga se vrši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standardizacija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koja funkcioniše tako što se od atributa oduzme njegova srednja vrednost i to se podeli njegovom standardnom devijacijom.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48260</wp:posOffset>
            </wp:positionH>
            <wp:positionV relativeFrom="paragraph">
              <wp:posOffset>123190</wp:posOffset>
            </wp:positionV>
            <wp:extent cx="4585970" cy="1555750"/>
            <wp:effectExtent l="0" t="0" r="0" b="0"/>
            <wp:wrapSquare wrapText="bothSides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7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9: Prikaz raspodele atributa pre i posle standardizacije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1"/>
        <w:rPr/>
      </w:pPr>
      <w:bookmarkStart w:id="9" w:name="__RefHeading___Toc1462_3102450165"/>
      <w:bookmarkEnd w:id="9"/>
      <w:r>
        <w:rPr/>
        <w:t>3 Klasifikacija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rPr/>
      </w:pPr>
      <w:bookmarkStart w:id="10" w:name="__RefHeading___Toc1464_3102450165"/>
      <w:bookmarkEnd w:id="10"/>
      <w:r>
        <w:rPr/>
        <w:t>3.1 Nasumične šume (Random Forest)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Random Forest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algoritam radi tako što sagrađuje mnoštvo stabala odlučivanja pri treniranju i dodeljuje instanci onu klasu koja se najčešće pojavljivala. Ovo je algoritam koji spada u grupu ansabala koji koriste više algoritama za učenje kako bi postigli što bolje rezultate u predikciji klasa.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Što se tiče odabira parametara, broj stabala u šumi biće jednak 15 a za kriterijume podele biće korišćena Entropija. To su parametri koji su dobijeni pomoći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Grid Search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algoritma. 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Prvo ćemo pokušati bez balansiranja klasa, a posle ćemo pokušati da popravimo performanse korišćenjem SMOTE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(Synthetic Minority Oversampling Technique)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tehnike. Ona radi tako što na slučajan način odabere tačku iz manje klase i računa k najbližih suseda za tu tačku. Tačke koje su sintetisane se dodaju između odabrane tačke i njenih suseda. Rezultati pre i posle balansiranja klasa prikazani su na slici 11, a odgovarajuće matrice konfizije sa rezultatima pre balansiranja (zelena) i posle balansiranja (crvena) na slici 12 i 13. Takođe je prikazano i poređenje ROC krive i AUC rezultata pre i posle balansiranja na slici 14.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36830</wp:posOffset>
            </wp:positionH>
            <wp:positionV relativeFrom="paragraph">
              <wp:posOffset>13335</wp:posOffset>
            </wp:positionV>
            <wp:extent cx="3978910" cy="1623695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11:  Rezultati pre i posle balansiranja klasa korišćenjem SMOTE tehnike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3317875</wp:posOffset>
            </wp:positionH>
            <wp:positionV relativeFrom="paragraph">
              <wp:posOffset>151765</wp:posOffset>
            </wp:positionV>
            <wp:extent cx="2560320" cy="2658110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30480</wp:posOffset>
            </wp:positionH>
            <wp:positionV relativeFrom="paragraph">
              <wp:posOffset>151130</wp:posOffset>
            </wp:positionV>
            <wp:extent cx="2633980" cy="2766060"/>
            <wp:effectExtent l="0" t="0" r="0" b="0"/>
            <wp:wrapSquare wrapText="largest"/>
            <wp:docPr id="1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12: Matrica konfuzije pre balansiranja</w:t>
        <w:tab/>
        <w:tab/>
        <w:t xml:space="preserve">      Slika 13: Matrica konfuzije posle balansiranja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-1905</wp:posOffset>
            </wp:positionH>
            <wp:positionV relativeFrom="paragraph">
              <wp:posOffset>139700</wp:posOffset>
            </wp:positionV>
            <wp:extent cx="4490085" cy="2134870"/>
            <wp:effectExtent l="0" t="0" r="0" b="0"/>
            <wp:wrapTopAndBottom/>
            <wp:docPr id="1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i/>
          <w:i/>
          <w:iCs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15: Poređenje ROC krive i AUC rezltata pre i posle balansiranja klasa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rPr/>
      </w:pPr>
      <w:bookmarkStart w:id="11" w:name="__RefHeading___Toc1466_3102450165"/>
      <w:bookmarkEnd w:id="11"/>
      <w:r>
        <w:rPr/>
        <w:t>3.2 Stabla odlučivanja (Decision Trees)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Naredni algoritam koji ćemo primeniti na naš skup su stabla odlučivanja. To je algoritam u kome se proces klasifikacije modeluje pomoću skupa hijerarhijskih odluka koje su donete na osnovu atributa trening podataka čija je struktura uređena u obliku drveta.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Što se tiče parametara, maksimala dubina čvorova će biti 5 pre balansiranja i 10 posle balansiranja. Za kriterijume podele biće korišćena Entropija. Kao i kod nasumičnih šuma, ovi parametri su dobijeni pomoću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Grid Search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algoritma. Na slici 16 i 17 su prikazane odgovarajuće matrice konfuzije sa rezultatima pre i posle balansiranja, a na slici 18 poređenje ROC kirive i AUC rezultata pre i posle balansiranja.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-9525</wp:posOffset>
            </wp:positionH>
            <wp:positionV relativeFrom="paragraph">
              <wp:posOffset>61595</wp:posOffset>
            </wp:positionV>
            <wp:extent cx="3039110" cy="3138805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3160395</wp:posOffset>
            </wp:positionH>
            <wp:positionV relativeFrom="paragraph">
              <wp:posOffset>102235</wp:posOffset>
            </wp:positionV>
            <wp:extent cx="2874645" cy="2982595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16: Matrica konfuzije pre balansiranja</w:t>
        <w:tab/>
        <w:tab/>
        <w:t xml:space="preserve">  Slika 17: Matrica konfuzije posle balansiranja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ab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-128905</wp:posOffset>
            </wp:positionH>
            <wp:positionV relativeFrom="paragraph">
              <wp:posOffset>64770</wp:posOffset>
            </wp:positionV>
            <wp:extent cx="4982210" cy="2331720"/>
            <wp:effectExtent l="0" t="0" r="0" b="0"/>
            <wp:wrapSquare wrapText="largest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18: Poređenje ROC krive i AUC rezltata pre i posle balansiranja klasa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rPr/>
      </w:pPr>
      <w:bookmarkStart w:id="12" w:name="__RefHeading___Toc1468_3102450165"/>
      <w:bookmarkEnd w:id="12"/>
      <w:r>
        <w:rPr/>
        <w:t>3.3 Logistička regresija (Logistic Regression)</w:t>
      </w:r>
    </w:p>
    <w:p>
      <w:pPr>
        <w:pStyle w:val="Normal"/>
        <w:bidi w:val="0"/>
        <w:jc w:val="both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Sledeći što ćemo pokušati je logistička regresija. Ona je jedna od najkorišćenijih metoda te se zato  odlučujemo za nju, vrlo je jednostavna i pruža efikasno treniranje. Takođe nam odgovara zato što je upotrebljiva samo na binarnu klasifikaciju, a to jeste naš slučaj.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Što se tiče parametara, kao i u prethodim metodama korišćen je 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Grid Search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 algoritam. Na slici 19 i 20 su prikazane odgovarajuće matrice konfuzije sa rezultatima pre i posle balansiranja, a na slici 21 poređenja ROC kirive i AUC rezultata pre i posle balansiranja.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86995</wp:posOffset>
            </wp:positionH>
            <wp:positionV relativeFrom="paragraph">
              <wp:posOffset>109855</wp:posOffset>
            </wp:positionV>
            <wp:extent cx="2817495" cy="2943860"/>
            <wp:effectExtent l="0" t="0" r="0" b="0"/>
            <wp:wrapSquare wrapText="largest"/>
            <wp:docPr id="2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3270885</wp:posOffset>
            </wp:positionH>
            <wp:positionV relativeFrom="paragraph">
              <wp:posOffset>80645</wp:posOffset>
            </wp:positionV>
            <wp:extent cx="2875280" cy="2974340"/>
            <wp:effectExtent l="0" t="0" r="0" b="0"/>
            <wp:wrapSquare wrapText="largest"/>
            <wp:docPr id="2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19: Matrica konfuzije pre balansiranja</w:t>
        <w:tab/>
        <w:tab/>
        <w:t xml:space="preserve"> Slika 20: Matrica konfuzije posle balansiranja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6985</wp:posOffset>
            </wp:positionH>
            <wp:positionV relativeFrom="paragraph">
              <wp:posOffset>15240</wp:posOffset>
            </wp:positionV>
            <wp:extent cx="5417820" cy="2555240"/>
            <wp:effectExtent l="0" t="0" r="0" b="0"/>
            <wp:wrapSquare wrapText="largest"/>
            <wp:docPr id="2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21: Poređenje ROC krive i AUC rezltata pre i posle balansiranja klasa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rPr/>
      </w:pPr>
      <w:bookmarkStart w:id="13" w:name="__RefHeading___Toc1470_3102450165"/>
      <w:bookmarkEnd w:id="13"/>
      <w:r>
        <w:rPr/>
        <w:t>3.4 Metoda potpornih vektora (SVM)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Poslednja metoda koju ćemo koristiti je SVM </w:t>
      </w:r>
      <w:r>
        <w:rPr>
          <w:i/>
          <w:iCs/>
        </w:rPr>
        <w:t>(Support Vector Machine).</w:t>
      </w:r>
      <w:r>
        <w:rPr>
          <w:i w:val="false"/>
          <w:iCs w:val="false"/>
        </w:rPr>
        <w:t xml:space="preserve"> To je metoda koja je zasnovana na ideji vektorskih prostora. Prvo ćemo primeniti linearni SVM, a onda i SVM sa kernel funkcijom. </w:t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Heading3"/>
        <w:rPr>
          <w:i w:val="false"/>
          <w:i w:val="false"/>
          <w:iCs w:val="false"/>
        </w:rPr>
      </w:pPr>
      <w:bookmarkStart w:id="14" w:name="__RefHeading___Toc1472_3102450165"/>
      <w:bookmarkEnd w:id="14"/>
      <w:r>
        <w:rPr/>
        <w:t>3.4.1 Linearni SVM</w:t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/>
      </w:pPr>
      <w:r>
        <w:rPr>
          <w:i w:val="false"/>
          <w:iCs w:val="false"/>
        </w:rPr>
        <w:t xml:space="preserve">Što se tiče 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parametara</w:t>
      </w:r>
      <w:r>
        <w:rPr>
          <w:i w:val="false"/>
          <w:iCs w:val="false"/>
        </w:rPr>
        <w:t xml:space="preserve"> biće izabrana vrednost 1.0 koja je dobijena na osnovu </w:t>
      </w:r>
      <w:r>
        <w:rPr>
          <w:i/>
          <w:iCs/>
        </w:rPr>
        <w:t>Grid Search</w:t>
      </w:r>
      <w:r>
        <w:rPr>
          <w:i w:val="false"/>
          <w:iCs w:val="false"/>
        </w:rPr>
        <w:t xml:space="preserve"> algoritma.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Na slici 22 i 23 su prikazane odgovarajuće matrice konfuzije sa rezultatima pre i posle balansiranja, a na slici 24 poređenja ROC kirive i AUC rezultata pre i posle balansiranja.</w:t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38735</wp:posOffset>
            </wp:positionH>
            <wp:positionV relativeFrom="paragraph">
              <wp:posOffset>57785</wp:posOffset>
            </wp:positionV>
            <wp:extent cx="2802255" cy="2874010"/>
            <wp:effectExtent l="0" t="0" r="0" b="0"/>
            <wp:wrapSquare wrapText="largest"/>
            <wp:docPr id="25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3154680</wp:posOffset>
            </wp:positionH>
            <wp:positionV relativeFrom="paragraph">
              <wp:posOffset>49530</wp:posOffset>
            </wp:positionV>
            <wp:extent cx="2755900" cy="2814955"/>
            <wp:effectExtent l="0" t="0" r="0" b="0"/>
            <wp:wrapSquare wrapText="largest"/>
            <wp:docPr id="26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22: Matrica konfuzije pre balansiranja</w:t>
        <w:tab/>
        <w:tab/>
        <w:t xml:space="preserve"> Slika 23: Matrica konfuzije posle balansiranja</w:t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-50165</wp:posOffset>
            </wp:positionH>
            <wp:positionV relativeFrom="paragraph">
              <wp:posOffset>14605</wp:posOffset>
            </wp:positionV>
            <wp:extent cx="5273675" cy="2526665"/>
            <wp:effectExtent l="0" t="0" r="0" b="0"/>
            <wp:wrapSquare wrapText="largest"/>
            <wp:docPr id="27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24: Poređenje ROC krive i AUC rezltata pre i posle balansiranja klasa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3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/>
      </w:r>
    </w:p>
    <w:p>
      <w:pPr>
        <w:pStyle w:val="Heading3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bookmarkStart w:id="15" w:name="__RefHeading___Toc1474_3102450165"/>
      <w:bookmarkEnd w:id="15"/>
      <w:r>
        <w:rPr/>
        <w:t>3.4.2 SVM sa kernelom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/>
        <w:t xml:space="preserve">Za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parametre biće izbarana </w:t>
      </w:r>
      <w:r>
        <w:rPr/>
        <w:t xml:space="preserve">vrednost 2.0, a za kernel je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izabran</w:t>
      </w:r>
      <w:r>
        <w:rPr/>
        <w:t xml:space="preserve"> rbf kernel. Oni su dobijeni na osnovu </w:t>
      </w:r>
      <w:r>
        <w:rPr>
          <w:i/>
          <w:iCs/>
        </w:rPr>
        <w:t>Grid Search</w:t>
      </w:r>
      <w:r>
        <w:rPr/>
        <w:t xml:space="preserve"> algoritma.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Na slici 25 i 26 su prikazane odgovarajuće matrice konfuzije sa rezultatima pre i posle balansiranja, a na slici 27 poređenja ROC kirive i AUC rezultata pre i posle balansiranja.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38735</wp:posOffset>
            </wp:positionH>
            <wp:positionV relativeFrom="paragraph">
              <wp:posOffset>23495</wp:posOffset>
            </wp:positionV>
            <wp:extent cx="2977515" cy="3089910"/>
            <wp:effectExtent l="0" t="0" r="0" b="0"/>
            <wp:wrapSquare wrapText="largest"/>
            <wp:docPr id="28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3094990</wp:posOffset>
            </wp:positionH>
            <wp:positionV relativeFrom="paragraph">
              <wp:posOffset>1905</wp:posOffset>
            </wp:positionV>
            <wp:extent cx="2949575" cy="3021330"/>
            <wp:effectExtent l="0" t="0" r="0" b="0"/>
            <wp:wrapSquare wrapText="largest"/>
            <wp:docPr id="29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7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25: Matrica konfuzije pre balansiranja</w:t>
        <w:tab/>
        <w:tab/>
        <w:t xml:space="preserve"> Slika 26: Matrica konfuzije posle balansiranja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-29845</wp:posOffset>
            </wp:positionH>
            <wp:positionV relativeFrom="paragraph">
              <wp:posOffset>130810</wp:posOffset>
            </wp:positionV>
            <wp:extent cx="5602605" cy="2600960"/>
            <wp:effectExtent l="0" t="0" r="0" b="0"/>
            <wp:wrapSquare wrapText="largest"/>
            <wp:docPr id="30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27: Poređenje ROC krive i AUC rezltata pre i posle balansiranja klasa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bookmarkStart w:id="16" w:name="__RefHeading___Toc1476_3102450165"/>
      <w:bookmarkEnd w:id="16"/>
      <w:r>
        <w:rPr/>
        <w:t xml:space="preserve">3.5 Poređenje modela </w:t>
      </w:r>
      <w:r>
        <w:rPr/>
        <w:t>klasifikacije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Svi korišćeni metodi se jako slično ponašaju. Na slici 25 je prikazano poređenje svih metoda. Na svaki metod balansirane je uticalo na isti način a to je da je se smanjila tačnost na test skupu ali se povećao odziv klase 1, što svakako znači da je model dobijen balansiranjem kalsa bolji. Takođe nakon balansiranja dobijamo bolje ROC i AUC rezultate. Na slici 26 prikazano je poređenje ROC krive i AUC rezultata pre balansiranja. Na njoj se vidi da najbolji rezultat daju stabla odlučivanja. Na slici 27 prikazano je poređenje ROC krive i AUC rezultata nakon balansiranja klasa, u tom slučaju iznenađujuće najbolji rezultat daje linearni SVM.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-5715</wp:posOffset>
            </wp:positionH>
            <wp:positionV relativeFrom="paragraph">
              <wp:posOffset>16510</wp:posOffset>
            </wp:positionV>
            <wp:extent cx="6120130" cy="2421890"/>
            <wp:effectExtent l="0" t="0" r="0" b="0"/>
            <wp:wrapSquare wrapText="largest"/>
            <wp:docPr id="31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i/>
          <w:i/>
          <w:iCs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28: Tablica poređenja rezultata svih metoda pre i posle balansiranja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-35560</wp:posOffset>
            </wp:positionH>
            <wp:positionV relativeFrom="paragraph">
              <wp:posOffset>111125</wp:posOffset>
            </wp:positionV>
            <wp:extent cx="4100195" cy="1958340"/>
            <wp:effectExtent l="0" t="0" r="0" b="0"/>
            <wp:wrapSquare wrapText="largest"/>
            <wp:docPr id="32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i/>
          <w:i/>
          <w:iCs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29: Poređenje ROC krive i AUC rezultata pre balansiranja klasa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-7620</wp:posOffset>
            </wp:positionH>
            <wp:positionV relativeFrom="paragraph">
              <wp:posOffset>41910</wp:posOffset>
            </wp:positionV>
            <wp:extent cx="3954780" cy="1943735"/>
            <wp:effectExtent l="0" t="0" r="0" b="0"/>
            <wp:wrapSquare wrapText="largest"/>
            <wp:docPr id="33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lang w:val="en-US" w:eastAsia="zh-CN" w:bidi="hi-IN"/>
        </w:rPr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lang w:val="en-US" w:eastAsia="zh-CN" w:bidi="hi-IN"/>
        </w:rPr>
      </w:r>
    </w:p>
    <w:p>
      <w:pPr>
        <w:pStyle w:val="Normal"/>
        <w:bidi w:val="0"/>
        <w:jc w:val="both"/>
        <w:rPr>
          <w:sz w:val="21"/>
          <w:szCs w:val="21"/>
        </w:rPr>
      </w:pP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>Slika 30: Poređenje ROC krive i AUC rezultata nakon balansiranja klasa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1"/>
          <w:szCs w:val="21"/>
          <w:lang w:val="en-US" w:eastAsia="zh-CN" w:bidi="hi-IN"/>
        </w:rPr>
        <w:t xml:space="preserve"> </w:t>
      </w:r>
    </w:p>
    <w:p>
      <w:pPr>
        <w:pStyle w:val="Heading1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bookmarkStart w:id="17" w:name="__RefHeading___Toc1478_3102450165"/>
      <w:bookmarkEnd w:id="17"/>
      <w:r>
        <w:rPr/>
        <w:t>4 Klasterovanje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rPr/>
      </w:pPr>
      <w:bookmarkStart w:id="18" w:name="__RefHeading___Toc1480_3102450165"/>
      <w:bookmarkEnd w:id="18"/>
      <w:r>
        <w:rPr/>
        <w:t>4.1 Algoritam K-sredina (K-means)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Na slici 31 je prikazana varijansa (</w:t>
      </w:r>
      <w:r>
        <w:rPr>
          <w:rFonts w:eastAsia="Noto Serif CJK SC" w:cs="Lohit Devanagari"/>
          <w:b w:val="false"/>
          <w:bCs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Explained Variance Ratio) </w:t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koju ćemo koristiti radi odabira broja PCA komponenti. U našem slučaju to će biti 2.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-83820</wp:posOffset>
            </wp:positionH>
            <wp:positionV relativeFrom="paragraph">
              <wp:posOffset>49530</wp:posOffset>
            </wp:positionV>
            <wp:extent cx="2990215" cy="1986915"/>
            <wp:effectExtent l="0" t="0" r="0" b="0"/>
            <wp:wrapSquare wrapText="largest"/>
            <wp:docPr id="34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  <w:t>Slika 31: Explained Variance Ratio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/>
        <w:t xml:space="preserve">Nakon toga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 xml:space="preserve">na naš model primenjujemo tehniku analize glavnih komponenti 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(PCA - </w:t>
      </w:r>
      <w:r>
        <w:rPr>
          <w:rFonts w:eastAsia="Noto Serif CJK SC" w:cs="Lohit Devanagari"/>
          <w:b w:val="false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Principal Component Analysis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). 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Model pre klasterovanja je prikazan na slici 32.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10795</wp:posOffset>
            </wp:positionH>
            <wp:positionV relativeFrom="paragraph">
              <wp:posOffset>79375</wp:posOffset>
            </wp:positionV>
            <wp:extent cx="2463800" cy="1668145"/>
            <wp:effectExtent l="0" t="0" r="0" b="0"/>
            <wp:wrapSquare wrapText="largest"/>
            <wp:docPr id="35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Slika 32: Model pre klasterovanja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Sada biramo optimalan broj klastera. Mere koje koristimo za to su inercija koja pri minimizaciji koristi </w:t>
      </w:r>
      <w:r>
        <w:rPr>
          <w:rFonts w:eastAsia="Noto Serif CJK SC" w:cs="Lohit Devanagari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„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pravilo </w:t>
      </w:r>
      <w:r>
        <w:rPr>
          <w:rFonts w:eastAsia="Noto Serif CJK SC" w:cs="Lohit Devanagari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 xml:space="preserve">lakta” </w:t>
      </w:r>
      <w:r>
        <w:rPr>
          <w:rFonts w:eastAsia="Noto Serif CJK SC" w:cs="Lohit Devanagari"/>
          <w:i/>
          <w:iCs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(Elbow method)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i silueta, koja je najveća za 2 klastera, što će biti optimalno.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66675</wp:posOffset>
            </wp:positionH>
            <wp:positionV relativeFrom="paragraph">
              <wp:posOffset>6985</wp:posOffset>
            </wp:positionV>
            <wp:extent cx="5009515" cy="1850390"/>
            <wp:effectExtent l="0" t="0" r="0" b="0"/>
            <wp:wrapSquare wrapText="largest"/>
            <wp:docPr id="36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                                            </w:t>
      </w: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Slika 33: Mere inercija i silueta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Na slici 34 je prikazan model sa optimalnim brojem klastera tj. 2, centeroidima i siluetom. Za ostali broj klastera, dakle od 3 do 5 klastera prikazani su modeli na slici 35 a od 6 do 9 klastera na slici 36.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45720</wp:posOffset>
            </wp:positionH>
            <wp:positionV relativeFrom="paragraph">
              <wp:posOffset>70485</wp:posOffset>
            </wp:positionV>
            <wp:extent cx="2632710" cy="1865630"/>
            <wp:effectExtent l="0" t="0" r="0" b="0"/>
            <wp:wrapSquare wrapText="largest"/>
            <wp:docPr id="37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2879090</wp:posOffset>
            </wp:positionH>
            <wp:positionV relativeFrom="paragraph">
              <wp:posOffset>15875</wp:posOffset>
            </wp:positionV>
            <wp:extent cx="2689860" cy="8020050"/>
            <wp:effectExtent l="0" t="0" r="0" b="0"/>
            <wp:wrapSquare wrapText="largest"/>
            <wp:docPr id="38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Slika 34: Model sa 2 klastera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-10160</wp:posOffset>
            </wp:positionH>
            <wp:positionV relativeFrom="paragraph">
              <wp:posOffset>37465</wp:posOffset>
            </wp:positionV>
            <wp:extent cx="2695575" cy="5878195"/>
            <wp:effectExtent l="0" t="0" r="0" b="0"/>
            <wp:wrapSquare wrapText="largest"/>
            <wp:docPr id="39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Slika 35: Modeli sa 3, 4 i 5 klastera                               Slika 36: Modeli sa 6, 7, 8 i 9 klastera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rPr/>
      </w:pPr>
      <w:bookmarkStart w:id="19" w:name="__RefHeading___Toc1482_3102450165"/>
      <w:bookmarkEnd w:id="19"/>
      <w:r>
        <w:rPr/>
        <w:t xml:space="preserve">4.2 </w:t>
      </w:r>
      <w:r>
        <w:rPr>
          <w:rFonts w:eastAsia="Noto Sans CJK SC" w:cs="Lohit Devanagari"/>
          <w:b/>
          <w:bCs/>
          <w:color w:val="auto"/>
          <w:kern w:val="2"/>
          <w:sz w:val="32"/>
          <w:szCs w:val="32"/>
          <w:lang w:val="en-US" w:eastAsia="zh-CN" w:bidi="hi-IN"/>
        </w:rPr>
        <w:t>Sakupljajuće klasterovanje</w:t>
      </w:r>
      <w:r>
        <w:rPr/>
        <w:t xml:space="preserve"> (Agglomerative Clustering)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Sakupljajuće klasterovanje je algoritam hijerarhijskog klasterovanja koji se koristi za grupisanje sličnih tačaka podataka u klasterima. Ovo je pristup odozdo prema gore (bottom-up), u kome svaka tačka podataka počinje kao sopstveni klaster, a nakon toga se iterativno spajaju klasteri na osnovu njihove sličnosti sve dok se ne dostigne željeni broj klastera.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Počinjemo tako što testiramo ponašanja algoritma za različite vrednosti parametara. Definišemo klastere u rasponu od 2 do 8, slično kao za algoritam K sredina. Isprobavamo sve moguće vrednosti za parametar vezivanja 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>(linkage)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a to su 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average, ward, complete 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i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 xml:space="preserve"> single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. Na slici 37 izdvajamo model sa najboljom ocenom siluete, brojem klastera koji je jednak 2 i najboljim parametrom vezivanja a to je </w:t>
      </w:r>
      <w:r>
        <w:rPr>
          <w:rFonts w:eastAsia="Noto Serif CJK SC" w:cs="Lohit Devanagari"/>
          <w:b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t>average. Ostali modeli biće prikazani na slici 40. Na slici 38 su prikazani rezultati siluete u odnosu na broj klastera.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22860</wp:posOffset>
            </wp:positionH>
            <wp:positionV relativeFrom="paragraph">
              <wp:posOffset>141605</wp:posOffset>
            </wp:positionV>
            <wp:extent cx="2830830" cy="1882775"/>
            <wp:effectExtent l="0" t="0" r="0" b="0"/>
            <wp:wrapSquare wrapText="largest"/>
            <wp:docPr id="40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3009265</wp:posOffset>
            </wp:positionH>
            <wp:positionV relativeFrom="paragraph">
              <wp:posOffset>125730</wp:posOffset>
            </wp:positionV>
            <wp:extent cx="2827020" cy="1897380"/>
            <wp:effectExtent l="0" t="0" r="0" b="0"/>
            <wp:wrapSquare wrapText="largest"/>
            <wp:docPr id="41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   </w:t>
      </w: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Slika 37: Najbolji model</w:t>
        <w:tab/>
        <w:tab/>
        <w:t xml:space="preserve">                           Slika 38: Rezultati siluete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Da bismo dobili vizuelnu reprezentaciju hijerarhijskog klasterovanja koristimo biblioteku </w:t>
      </w:r>
      <w:r>
        <w:rPr>
          <w:rFonts w:eastAsia="Noto Serif CJK SC" w:cs="Lohit Devanagari"/>
          <w:i/>
          <w:iCs/>
          <w:color w:val="auto"/>
          <w:kern w:val="2"/>
          <w:sz w:val="24"/>
          <w:szCs w:val="24"/>
          <w:lang w:val="en-US" w:eastAsia="zh-CN" w:bidi="hi-IN"/>
        </w:rPr>
        <w:t>scipy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 xml:space="preserve">, pomoću koje kreiramo dendrogram. </w:t>
      </w:r>
      <w:r>
        <w:rPr>
          <w:rFonts w:eastAsia="Noto Serif CJK SC" w:cs="Lohit Devanagari"/>
          <w:i w:val="false"/>
          <w:iCs w:val="false"/>
          <w:color w:val="auto"/>
          <w:kern w:val="2"/>
          <w:sz w:val="24"/>
          <w:szCs w:val="24"/>
          <w:lang w:val="en-US" w:eastAsia="zh-CN" w:bidi="hi-IN"/>
        </w:rPr>
        <w:t>Na slici 39 biće prikazano poslednjih 30 klastera.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0</wp:posOffset>
            </wp:positionH>
            <wp:positionV relativeFrom="paragraph">
              <wp:posOffset>105410</wp:posOffset>
            </wp:positionV>
            <wp:extent cx="6120130" cy="3209290"/>
            <wp:effectExtent l="0" t="0" r="0" b="0"/>
            <wp:wrapSquare wrapText="largest"/>
            <wp:docPr id="42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i/>
          <w:i/>
          <w:iCs/>
          <w:sz w:val="21"/>
          <w:szCs w:val="21"/>
        </w:rPr>
      </w:pP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Slika 39: Dendogram na osnvu koga se ne može nešto značajno zaključiti</w:t>
      </w:r>
    </w:p>
    <w:p>
      <w:pPr>
        <w:pStyle w:val="Heading2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6120130" cy="7684770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i/>
          <w:i/>
          <w:iCs/>
          <w:sz w:val="21"/>
          <w:szCs w:val="21"/>
        </w:rPr>
      </w:pPr>
      <w:r>
        <w:rPr>
          <w:i/>
          <w:iCs/>
          <w:sz w:val="21"/>
          <w:szCs w:val="21"/>
        </w:rPr>
      </w:r>
    </w:p>
    <w:p>
      <w:pPr>
        <w:pStyle w:val="Normal"/>
        <w:rPr/>
      </w:pPr>
      <w:r>
        <w:rPr>
          <w:i/>
          <w:iCs/>
          <w:sz w:val="21"/>
          <w:szCs w:val="21"/>
        </w:rPr>
        <w:t xml:space="preserve">Slika 40: Modeli za broj klastera od 2 do 8 </w:t>
      </w:r>
      <w:r>
        <w:rPr>
          <w:i/>
          <w:iCs/>
          <w:sz w:val="21"/>
          <w:szCs w:val="21"/>
        </w:rPr>
        <w:t>i</w:t>
      </w:r>
      <w:r>
        <w:rPr>
          <w:i/>
          <w:iCs/>
          <w:sz w:val="21"/>
          <w:szCs w:val="21"/>
        </w:rPr>
        <w:t xml:space="preserve"> </w:t>
      </w:r>
      <w:r>
        <w:rPr>
          <w:rFonts w:eastAsia="Noto Serif CJK SC" w:cs="Lohit Devanagari"/>
          <w:i/>
          <w:iCs/>
          <w:color w:val="auto"/>
          <w:kern w:val="2"/>
          <w:sz w:val="21"/>
          <w:szCs w:val="21"/>
          <w:lang w:val="en-US" w:eastAsia="zh-CN" w:bidi="hi-IN"/>
        </w:rPr>
        <w:t>parametrima vezivanja average, ward, complete i single</w:t>
      </w:r>
    </w:p>
    <w:p>
      <w:pPr>
        <w:pStyle w:val="Normal"/>
        <w:rPr/>
      </w:pPr>
      <w:r>
        <w:rPr/>
      </w:r>
    </w:p>
    <w:p>
      <w:pPr>
        <w:pStyle w:val="Heading2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/>
      </w:r>
    </w:p>
    <w:p>
      <w:pPr>
        <w:pStyle w:val="Heading1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bookmarkStart w:id="20" w:name="__RefHeading___Toc1486_3102450165"/>
      <w:bookmarkEnd w:id="20"/>
      <w:r>
        <w:rPr/>
        <w:t>5 Pravila pridruživanja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Heading2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bookmarkStart w:id="21" w:name="__RefHeading___Toc1488_3102450165"/>
      <w:bookmarkEnd w:id="21"/>
      <w:r>
        <w:rPr/>
        <w:t>5.1 Apriori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38735</wp:posOffset>
            </wp:positionH>
            <wp:positionV relativeFrom="paragraph">
              <wp:posOffset>29210</wp:posOffset>
            </wp:positionV>
            <wp:extent cx="3856355" cy="237490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2"/>
          <w:sz w:val="24"/>
          <w:szCs w:val="24"/>
          <w:lang w:val="en-US" w:eastAsia="zh-CN" w:bidi="hi-IN"/>
        </w:rPr>
      </w:pPr>
      <w:r>
        <w:rPr/>
      </w:r>
      <w:bookmarkStart w:id="22" w:name="__RefHeading___Toc1490_3102450165"/>
      <w:bookmarkStart w:id="23" w:name="__RefHeading___Toc1490_3102450165"/>
      <w:bookmarkEnd w:id="23"/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5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A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638" w:leader="dot"/>
      </w:tabs>
      <w:ind w:left="0" w:hanging="0"/>
    </w:pPr>
    <w:rPr/>
  </w:style>
  <w:style w:type="paragraph" w:styleId="Contents2">
    <w:name w:val="TOC 2"/>
    <w:basedOn w:val="Index"/>
    <w:pPr>
      <w:tabs>
        <w:tab w:val="clear" w:pos="709"/>
        <w:tab w:val="right" w:pos="9355" w:leader="dot"/>
      </w:tabs>
      <w:ind w:left="283" w:hanging="0"/>
    </w:pPr>
    <w:rPr/>
  </w:style>
  <w:style w:type="paragraph" w:styleId="Contents3">
    <w:name w:val="TOC 3"/>
    <w:basedOn w:val="Index"/>
    <w:pPr>
      <w:tabs>
        <w:tab w:val="clear" w:pos="709"/>
        <w:tab w:val="right" w:pos="9072" w:leader="dot"/>
      </w:tabs>
      <w:ind w:left="566" w:hanging="0"/>
    </w:pPr>
    <w:rPr/>
  </w:style>
  <w:style w:type="paragraph" w:styleId="FigureIndexHeading">
    <w:name w:val="Figure Index Heading"/>
    <w:basedOn w:val="IndexHeading"/>
    <w:qFormat/>
    <w:pPr>
      <w:suppressLineNumbers/>
      <w:ind w:left="0" w:hanging="0"/>
    </w:pPr>
    <w:rPr>
      <w:b/>
      <w:bCs/>
      <w:sz w:val="32"/>
      <w:szCs w:val="32"/>
    </w:rPr>
  </w:style>
  <w:style w:type="paragraph" w:styleId="Figure">
    <w:name w:val="Figure"/>
    <w:basedOn w:val="Caption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2315</TotalTime>
  <Application>LibreOffice/6.4.7.2$Linux_X86_64 LibreOffice_project/40$Build-2</Application>
  <Pages>19</Pages>
  <Words>2275</Words>
  <Characters>12575</Characters>
  <CharactersWithSpaces>14862</CharactersWithSpaces>
  <Paragraphs>155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2023-08-17T23:46:33Z</dcterms:created>
  <dc:creator/>
  <dc:description/>
  <dc:language>en-US</dc:language>
  <cp:lastModifiedBy/>
  <dcterms:modified xsi:type="dcterms:W3CDTF">2023-08-28T22:53:46Z</dcterms:modified>
  <cp:revision>84</cp:revision>
  <dc:subject/>
  <dc:title/>
</cp:coreProperties>
</file>