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Calibri" w:cs="Calibri" w:hAnsi="Calibri" w:eastAsia="Calibri"/>
          <w:outline w:val="0"/>
          <w:color w:val="ff9900"/>
          <w:u w:color="ff9900"/>
          <w14:textFill>
            <w14:solidFill>
              <w14:srgbClr w14:val="FF9900"/>
            </w14:solidFill>
          </w14:textFill>
        </w:rPr>
      </w:pPr>
      <w:r>
        <w:rPr>
          <w:rFonts w:ascii="Calibri" w:hAnsi="Calibri"/>
          <w:rtl w:val="0"/>
          <w:lang w:val="de-DE"/>
        </w:rPr>
        <w:t>ASSURED SHORTHOLD TENANCY AGREEMENT (AST)</w:t>
      </w:r>
    </w:p>
    <w:p>
      <w:pPr>
        <w:pStyle w:val="Body"/>
        <w:spacing w:before="86"/>
        <w:ind w:left="105" w:firstLine="0"/>
        <w:rPr>
          <w:outline w:val="0"/>
          <w:color w:val="231f20"/>
          <w:sz w:val="26"/>
          <w:szCs w:val="26"/>
          <w:u w:color="231f20"/>
          <w14:textFill>
            <w14:solidFill>
              <w14:srgbClr w14:val="231F20"/>
            </w14:solidFill>
          </w14:textFill>
        </w:rPr>
      </w:pPr>
    </w:p>
    <w:p>
      <w:pPr>
        <w:pStyle w:val="Heading 2"/>
        <w:ind w:firstLine="103"/>
        <w:rPr>
          <w:rFonts w:ascii="Calibri" w:cs="Calibri" w:hAnsi="Calibri" w:eastAsia="Calibri"/>
        </w:rPr>
      </w:pPr>
      <w:bookmarkStart w:name="_headingh.dg3s2uelge5y" w:id="0"/>
      <w:bookmarkEnd w:id="0"/>
      <w:r>
        <w:rPr>
          <w:rFonts w:ascii="Calibri" w:hAnsi="Calibri"/>
          <w:rtl w:val="0"/>
        </w:rPr>
        <w:t>G</w:t>
      </w:r>
      <w:r>
        <w:rPr>
          <w:rFonts w:ascii="Calibri" w:hAnsi="Calibri"/>
          <w:rtl w:val="0"/>
          <w:lang w:val="en-US"/>
        </w:rPr>
        <w:t>UIDANCE NOTES FOR TENANTS</w:t>
      </w:r>
    </w:p>
    <w:p>
      <w:pPr>
        <w:pStyle w:val="Body"/>
        <w:spacing w:before="160" w:line="235" w:lineRule="auto"/>
        <w:ind w:left="103" w:right="118"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Welcome to your Assured Shorthold Tenancy Agreement</w:t>
      </w:r>
      <w:r>
        <w:rPr>
          <w:outline w:val="0"/>
          <w:color w:val="231f20"/>
          <w:sz w:val="18"/>
          <w:szCs w:val="18"/>
          <w:u w:color="231f20"/>
          <w:rtl w:val="0"/>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It is an important document as it will govern your relationship with the Landlord of your new property</w:t>
      </w:r>
      <w:r>
        <w:rPr>
          <w:outline w:val="0"/>
          <w:color w:val="231f20"/>
          <w:sz w:val="18"/>
          <w:szCs w:val="18"/>
          <w:u w:color="231f20"/>
          <w:rtl w:val="0"/>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As such you should read the </w:t>
      </w:r>
      <w:r>
        <w:rPr>
          <w:outline w:val="0"/>
          <w:color w:val="231f20"/>
          <w:sz w:val="18"/>
          <w:szCs w:val="18"/>
          <w:u w:color="231f20"/>
          <w:rtl w:val="0"/>
          <w:lang w:val="en-US"/>
          <w14:textFill>
            <w14:solidFill>
              <w14:srgbClr w14:val="231F20"/>
            </w14:solidFill>
          </w14:textFill>
        </w:rPr>
        <w:t>document carefully</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and raise any queries with the letting Agent or Landlord who gave you this Agreement.</w:t>
      </w:r>
    </w:p>
    <w:p>
      <w:pPr>
        <w:pStyle w:val="Body"/>
        <w:spacing w:before="11"/>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w:spacing w:line="235" w:lineRule="auto"/>
        <w:ind w:left="103" w:right="399"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At the same time, please be aware that you have the right to seek independent advice if you wish either from your solicitor or other advice agency.</w:t>
      </w:r>
    </w:p>
    <w:p>
      <w:pPr>
        <w:pStyle w:val="Body"/>
        <w:spacing w:before="9"/>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w:spacing w:line="235" w:lineRule="auto"/>
        <w:ind w:left="103" w:right="399"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As well as this Agreement, you may be asked to sign the Check-In or Inventory which will list the Landlord</w:t>
      </w:r>
      <w:r>
        <w:rPr>
          <w:caps w:val="0"/>
          <w:smallCaps w:val="0"/>
          <w:strike w:val="0"/>
          <w:dstrike w:val="0"/>
          <w:outline w:val="0"/>
          <w:color w:val="231f20"/>
          <w:sz w:val="18"/>
          <w:szCs w:val="18"/>
          <w:u w:val="none" w:color="231f20"/>
          <w:vertAlign w:val="baseline"/>
          <w:rtl w:val="1"/>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s Fixtures and Fittings and the other items which the Landlord provides for your use during the Tenancy. You will also be given copies of the following documents, receipt of which is acknowledged on the final page of the Agreement itself:</w:t>
      </w:r>
    </w:p>
    <w:p>
      <w:pPr>
        <w:pStyle w:val="Body"/>
        <w:numPr>
          <w:ilvl w:val="0"/>
          <w:numId w:val="2"/>
        </w:numPr>
        <w:bidi w:val="0"/>
        <w:spacing w:before="178" w:line="282" w:lineRule="auto"/>
        <w:ind w:right="0"/>
        <w:jc w:val="left"/>
        <w:rPr>
          <w:sz w:val="18"/>
          <w:szCs w:val="18"/>
          <w:rtl w:val="0"/>
        </w:rPr>
      </w:pPr>
      <w:r>
        <w:rPr>
          <w:caps w:val="0"/>
          <w:smallCaps w:val="0"/>
          <w:strike w:val="0"/>
          <w:dstrike w:val="0"/>
          <w:outline w:val="0"/>
          <w:color w:val="231f20"/>
          <w:sz w:val="18"/>
          <w:szCs w:val="18"/>
          <w:u w:val="none" w:color="231f20"/>
          <w:vertAlign w:val="baseline"/>
          <w:rtl w:val="1"/>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How to Rent</w:t>
      </w:r>
      <w:r>
        <w:rPr>
          <w:caps w:val="0"/>
          <w:smallCaps w:val="0"/>
          <w:strike w:val="0"/>
          <w:dstrike w:val="0"/>
          <w:outline w:val="0"/>
          <w:color w:val="231f20"/>
          <w:sz w:val="18"/>
          <w:szCs w:val="18"/>
          <w:u w:val="none" w:color="231f20"/>
          <w:vertAlign w:val="baseline"/>
          <w:rtl w:val="1"/>
          <w14:textFill>
            <w14:solidFill>
              <w14:srgbClr w14:val="231F20"/>
            </w14:solidFill>
          </w14:textFill>
        </w:rPr>
        <w:t xml:space="preserve">’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guide produced by HM Government</w:t>
      </w:r>
    </w:p>
    <w:p>
      <w:pPr>
        <w:pStyle w:val="Body"/>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Energy Performance Certificate (EPC) for your property</w:t>
      </w:r>
    </w:p>
    <w:p>
      <w:pPr>
        <w:pStyle w:val="Body"/>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 current Gas Safety Certificate for your property</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if there is a gas supply</w:t>
      </w:r>
    </w:p>
    <w:p>
      <w:pPr>
        <w:pStyle w:val="Body"/>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 copy of the electrical installation inspection report for your property</w:t>
      </w:r>
    </w:p>
    <w:p>
      <w:pPr>
        <w:pStyle w:val="Body"/>
        <w:numPr>
          <w:ilvl w:val="0"/>
          <w:numId w:val="2"/>
        </w:numPr>
        <w:bidi w:val="0"/>
        <w:spacing w:line="271" w:lineRule="auto"/>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Details of the scheme with which your Deposit will be registered, including details as to how you will</w:t>
      </w:r>
    </w:p>
    <w:p>
      <w:pPr>
        <w:pStyle w:val="Body"/>
        <w:spacing w:line="200" w:lineRule="auto"/>
        <w:ind w:left="463"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recover your Deposit on your departure</w:t>
      </w:r>
    </w:p>
    <w:p>
      <w:pPr>
        <w:pStyle w:val="Body"/>
        <w:numPr>
          <w:ilvl w:val="0"/>
          <w:numId w:val="3"/>
        </w:numPr>
        <w:bidi w:val="0"/>
        <w:spacing w:line="220" w:lineRule="auto"/>
        <w:ind w:right="759"/>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A checklist of the key Deposit registration information generally described as </w:t>
      </w:r>
      <w:r>
        <w:rPr>
          <w:caps w:val="0"/>
          <w:smallCaps w:val="0"/>
          <w:strike w:val="0"/>
          <w:dstrike w:val="0"/>
          <w:outline w:val="0"/>
          <w:color w:val="231f20"/>
          <w:sz w:val="18"/>
          <w:szCs w:val="18"/>
          <w:u w:val="none" w:color="231f20"/>
          <w:vertAlign w:val="baseline"/>
          <w:rtl w:val="1"/>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Prescribed Information</w:t>
      </w:r>
      <w:r>
        <w:rPr>
          <w:caps w:val="0"/>
          <w:smallCaps w:val="0"/>
          <w:strike w:val="0"/>
          <w:dstrike w:val="0"/>
          <w:outline w:val="0"/>
          <w:color w:val="231f20"/>
          <w:sz w:val="18"/>
          <w:szCs w:val="18"/>
          <w:u w:val="none" w:color="231f20"/>
          <w:vertAlign w:val="baseline"/>
          <w:rtl w:val="1"/>
          <w14:textFill>
            <w14:solidFill>
              <w14:srgbClr w14:val="231F20"/>
            </w14:solidFill>
          </w14:textFill>
        </w:rPr>
        <w:t xml:space="preserve">’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(to be provided within 30 days of paying your Security Deposit)</w:t>
      </w:r>
    </w:p>
    <w:p>
      <w:pPr>
        <w:pStyle w:val="Body"/>
        <w:spacing w:before="10"/>
        <w:rPr>
          <w:caps w:val="0"/>
          <w:smallCaps w:val="0"/>
          <w:strike w:val="0"/>
          <w:dstrike w:val="0"/>
          <w:outline w:val="0"/>
          <w:color w:val="000000"/>
          <w:sz w:val="16"/>
          <w:szCs w:val="16"/>
          <w:u w:val="none" w:color="000000"/>
          <w:vertAlign w:val="baseline"/>
          <w14:textFill>
            <w14:solidFill>
              <w14:srgbClr w14:val="000000"/>
            </w14:solidFill>
          </w14:textFill>
        </w:rPr>
      </w:pPr>
    </w:p>
    <w:p>
      <w:pPr>
        <w:pStyle w:val="Body"/>
        <w:spacing w:line="235" w:lineRule="auto"/>
        <w:ind w:left="103" w:right="118"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If any of these documents are missing when you come to sign this Tenancy Agreement, speak with your letting agent </w:t>
      </w:r>
      <w:r>
        <w:rPr>
          <w:outline w:val="0"/>
          <w:color w:val="231f20"/>
          <w:sz w:val="18"/>
          <w:szCs w:val="18"/>
          <w:u w:color="231f20"/>
          <w:rtl w:val="0"/>
          <w:lang w:val="de-DE"/>
          <w14:textFill>
            <w14:solidFill>
              <w14:srgbClr w14:val="231F20"/>
            </w14:solidFill>
          </w14:textFill>
        </w:rPr>
        <w:t xml:space="preserve">or Landlord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as these documents are just as important as the Agreement itself.</w:t>
      </w:r>
    </w:p>
    <w:p>
      <w:pPr>
        <w:pStyle w:val="Body"/>
        <w:spacing w:before="12"/>
        <w:rPr>
          <w:caps w:val="0"/>
          <w:smallCaps w:val="0"/>
          <w:strike w:val="0"/>
          <w:dstrike w:val="0"/>
          <w:outline w:val="0"/>
          <w:color w:val="000000"/>
          <w:sz w:val="18"/>
          <w:szCs w:val="18"/>
          <w:u w:val="none" w:color="000000"/>
          <w:vertAlign w:val="baseline"/>
          <w14:textFill>
            <w14:solidFill>
              <w14:srgbClr w14:val="000000"/>
            </w14:solidFill>
          </w14:textFill>
        </w:rPr>
      </w:pPr>
    </w:p>
    <w:p>
      <w:pPr>
        <w:pStyle w:val="Body"/>
        <w:spacing w:before="12"/>
        <w:rPr>
          <w:caps w:val="0"/>
          <w:smallCaps w:val="0"/>
          <w:strike w:val="0"/>
          <w:dstrike w:val="0"/>
          <w:outline w:val="0"/>
          <w:color w:val="000000"/>
          <w:u w:val="none" w:color="000000"/>
          <w:vertAlign w:val="baseline"/>
          <w14:textFill>
            <w14:solidFill>
              <w14:srgbClr w14:val="000000"/>
            </w14:solidFill>
          </w14:textFill>
        </w:rPr>
      </w:pPr>
    </w:p>
    <w:p>
      <w:pPr>
        <w:pStyle w:val="Body"/>
        <w:spacing w:before="4"/>
        <w:rPr>
          <w:caps w:val="0"/>
          <w:smallCaps w:val="0"/>
          <w:strike w:val="0"/>
          <w:dstrike w:val="0"/>
          <w:outline w:val="0"/>
          <w:color w:val="000000"/>
          <w:sz w:val="24"/>
          <w:szCs w:val="24"/>
          <w:u w:val="none" w:color="000000"/>
          <w:vertAlign w:val="baseline"/>
          <w14:textFill>
            <w14:solidFill>
              <w14:srgbClr w14:val="000000"/>
            </w14:solidFill>
          </w14:textFill>
        </w:rPr>
      </w:pPr>
    </w:p>
    <w:p>
      <w:pPr>
        <w:pStyle w:val="Body"/>
        <w:spacing w:line="246" w:lineRule="auto"/>
        <w:ind w:left="103" w:right="3885" w:firstLine="0"/>
        <w:rPr>
          <w:b w:val="1"/>
          <w:bCs w:val="1"/>
          <w:sz w:val="16"/>
          <w:szCs w:val="16"/>
        </w:rPr>
      </w:pPr>
      <w:r>
        <w:rPr>
          <w:b w:val="1"/>
          <w:bCs w:val="1"/>
          <w:outline w:val="0"/>
          <w:color w:val="231f20"/>
          <w:sz w:val="16"/>
          <w:szCs w:val="16"/>
          <w:u w:color="231f20"/>
          <w:rtl w:val="0"/>
          <w:lang w:val="en-US"/>
          <w14:textFill>
            <w14:solidFill>
              <w14:srgbClr w14:val="231F20"/>
            </w14:solidFill>
          </w14:textFill>
        </w:rPr>
        <w:t xml:space="preserve">Drafted by Dutton Gregory Solicitors, produced by Propertymark Copyright </w:t>
      </w:r>
      <w:r>
        <w:rPr>
          <w:outline w:val="0"/>
          <w:color w:val="231f20"/>
          <w:sz w:val="20"/>
          <w:szCs w:val="20"/>
          <w:u w:color="231f20"/>
          <w:rtl w:val="0"/>
          <w:lang w:val="de-DE"/>
          <w14:textFill>
            <w14:solidFill>
              <w14:srgbClr w14:val="231F20"/>
            </w14:solidFill>
          </w14:textFill>
        </w:rPr>
        <w:t xml:space="preserve">© </w:t>
      </w:r>
      <w:r>
        <w:rPr>
          <w:b w:val="1"/>
          <w:bCs w:val="1"/>
          <w:outline w:val="0"/>
          <w:color w:val="231f20"/>
          <w:sz w:val="16"/>
          <w:szCs w:val="16"/>
          <w:u w:color="231f20"/>
          <w:rtl w:val="0"/>
          <w:lang w:val="en-US"/>
          <w14:textFill>
            <w14:solidFill>
              <w14:srgbClr w14:val="231F20"/>
            </w14:solidFill>
          </w14:textFill>
        </w:rPr>
        <w:t>Propertymark Ltd</w:t>
      </w:r>
    </w:p>
    <w:p>
      <w:pPr>
        <w:pStyle w:val="Body"/>
        <w:spacing w:before="167" w:line="235" w:lineRule="auto"/>
        <w:ind w:left="103" w:right="5086" w:firstLine="0"/>
        <w:rPr>
          <w:sz w:val="14"/>
          <w:szCs w:val="14"/>
        </w:rPr>
      </w:pPr>
      <w:r>
        <w:rPr>
          <w:outline w:val="0"/>
          <w:color w:val="231f20"/>
          <w:sz w:val="14"/>
          <w:szCs w:val="14"/>
          <w:u w:color="231f20"/>
          <w:rtl w:val="0"/>
          <w:lang w:val="en-US"/>
          <w14:textFill>
            <w14:solidFill>
              <w14:srgbClr w14:val="231F20"/>
            </w14:solidFill>
          </w14:textFill>
        </w:rPr>
        <w:t>All rights reserved.</w:t>
      </w:r>
    </w:p>
    <w:p>
      <w:pPr>
        <w:pStyle w:val="Body"/>
        <w:spacing w:before="7"/>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3"/>
        <w:rPr>
          <w:rFonts w:ascii="Calibri" w:cs="Calibri" w:hAnsi="Calibri" w:eastAsia="Calibri"/>
        </w:rPr>
      </w:pPr>
      <w:bookmarkStart w:name="_headingh.h8hkfimvc29i" w:id="1"/>
      <w:bookmarkEnd w:id="1"/>
      <w:r>
        <w:rPr>
          <w:rFonts w:ascii="Calibri" w:hAnsi="Calibri"/>
          <w:rtl w:val="0"/>
        </w:rPr>
        <w:t>L</w:t>
      </w:r>
      <w:r>
        <w:rPr>
          <w:rFonts w:ascii="Calibri" w:hAnsi="Calibri"/>
          <w:rtl w:val="0"/>
          <w:lang w:val="en-US"/>
        </w:rPr>
        <w:t>ast updated: 7 June 2023</w:t>
      </w:r>
    </w:p>
    <w:p>
      <w:pPr>
        <w:pStyle w:val="Heading 3"/>
        <w:sectPr>
          <w:headerReference w:type="default" r:id="rId4"/>
          <w:footerReference w:type="default" r:id="rId5"/>
          <w:pgSz w:w="11920" w:h="16840" w:orient="portrait"/>
          <w:pgMar w:top="1200" w:right="1180" w:bottom="1220" w:left="1200" w:header="0" w:footer="1024"/>
          <w:pgNumType w:start="1"/>
          <w:bidi w:val="0"/>
        </w:sectPr>
      </w:pPr>
      <w:bookmarkStart w:name="_headingh.3ijceh3zmoeu" w:id="2"/>
      <w:bookmarkEnd w:id="2"/>
      <w:r>
        <w:rPr>
          <w:rFonts w:ascii="Calibri" w:hAnsi="Calibri"/>
          <w:rtl w:val="0"/>
        </w:rPr>
        <w:t>S</w:t>
      </w:r>
      <w:r>
        <w:rPr>
          <w:rFonts w:ascii="Calibri" w:hAnsi="Calibri"/>
          <w:rtl w:val="0"/>
          <w:lang w:val="en-US"/>
        </w:rPr>
        <w:t>olicitor review: 1 May 2020</w:t>
      </w:r>
    </w:p>
    <w:p>
      <w:pPr>
        <w:pStyle w:val="Heading 3"/>
        <w:rPr>
          <w:rFonts w:ascii="Calibri" w:cs="Calibri" w:hAnsi="Calibri" w:eastAsia="Calibri"/>
          <w:sz w:val="18"/>
          <w:szCs w:val="18"/>
        </w:rPr>
      </w:pPr>
      <w:r>
        <w:rPr>
          <w:rFonts w:ascii="Calibri" w:hAnsi="Calibri"/>
          <w:sz w:val="18"/>
          <w:szCs w:val="18"/>
          <w:rtl w:val="0"/>
          <w:lang w:val="en-US"/>
        </w:rPr>
        <w:t>SUMMARY OF AGREEMENT</w:t>
      </w:r>
    </w:p>
    <w:p>
      <w:pPr>
        <w:pStyle w:val="Body"/>
        <w:spacing w:before="2"/>
        <w:rPr>
          <w:sz w:val="15"/>
          <w:szCs w:val="15"/>
        </w:rPr>
      </w:pPr>
    </w:p>
    <w:tbl>
      <w:tblPr>
        <w:tblW w:w="9282" w:type="dxa"/>
        <w:jc w:val="left"/>
        <w:tblInd w:w="22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54"/>
        <w:gridCol w:w="7328"/>
      </w:tblGrid>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Landlord(s)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[ALL_LANDLORD_NAMES]</w:t>
            </w:r>
          </w:p>
        </w:tc>
      </w:tr>
      <w:tr>
        <w:tblPrEx>
          <w:shd w:val="clear" w:color="auto" w:fill="ced7e7"/>
        </w:tblPrEx>
        <w:trPr>
          <w:trHeight w:val="380"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Tenant(s)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[ALL_TENANT NAME(S)]</w:t>
            </w:r>
          </w:p>
        </w:tc>
      </w:tr>
      <w:tr>
        <w:tblPrEx>
          <w:shd w:val="clear" w:color="auto" w:fill="ced7e7"/>
        </w:tblPrEx>
        <w:trPr>
          <w:trHeight w:val="49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Permitted Occupier(s)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[PERMITTED OCCUPIER NAMES]</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Guarantor(s)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[GUARANTOR NAMES and address]</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Premises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[PROPERTY ADDRESS]</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[RENT_AMOUNT] per month</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 Due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 DUE DATE]</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[DEPOSIT_ AMOUNT]</w:t>
            </w:r>
          </w:p>
        </w:tc>
      </w:tr>
      <w:tr>
        <w:tblPrEx>
          <w:shd w:val="clear" w:color="auto" w:fill="ced7e7"/>
        </w:tblPrEx>
        <w:trPr>
          <w:trHeight w:val="49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 Scheme Type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DPS [Insured_Custodial]</w:t>
            </w:r>
          </w:p>
        </w:tc>
      </w:tr>
      <w:tr>
        <w:tblPrEx>
          <w:shd w:val="clear" w:color="auto" w:fill="ced7e7"/>
        </w:tblPrEx>
        <w:trPr>
          <w:trHeight w:val="49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Commencement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[tenancy_start_date]</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Expiry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[tenancy_end_date] and thereafter from month-to-month.</w:t>
            </w:r>
          </w:p>
        </w:tc>
      </w:tr>
    </w:tbl>
    <w:p>
      <w:pPr>
        <w:pStyle w:val="Body"/>
        <w:spacing w:before="2"/>
        <w:ind w:left="118" w:hanging="118"/>
        <w:rPr>
          <w:sz w:val="15"/>
          <w:szCs w:val="15"/>
        </w:rPr>
      </w:pPr>
    </w:p>
    <w:p>
      <w:pPr>
        <w:pStyle w:val="Body"/>
        <w:spacing w:before="7"/>
        <w:rPr>
          <w:caps w:val="0"/>
          <w:smallCaps w:val="0"/>
          <w:strike w:val="0"/>
          <w:dstrike w:val="0"/>
          <w:outline w:val="0"/>
          <w:color w:val="000000"/>
          <w:sz w:val="27"/>
          <w:szCs w:val="27"/>
          <w:u w:val="none" w:color="000000"/>
          <w:vertAlign w:val="baseline"/>
          <w14:textFill>
            <w14:solidFill>
              <w14:srgbClr w14:val="000000"/>
            </w14:solidFill>
          </w14:textFill>
        </w:rPr>
      </w:pPr>
    </w:p>
    <w:p>
      <w:pPr>
        <w:pStyle w:val="Heading 2"/>
        <w:ind w:left="103" w:firstLine="0"/>
        <w:rPr>
          <w:rFonts w:ascii="Calibri" w:cs="Calibri" w:hAnsi="Calibri" w:eastAsia="Calibri"/>
        </w:rPr>
      </w:pPr>
      <w:bookmarkStart w:name="_headingh.nos8x4i7qzy2" w:id="3"/>
      <w:bookmarkEnd w:id="3"/>
      <w:r>
        <w:rPr>
          <w:rFonts w:ascii="Calibri" w:hAnsi="Calibri"/>
          <w:rtl w:val="0"/>
        </w:rPr>
        <w:t>D</w:t>
      </w:r>
      <w:r>
        <w:rPr>
          <w:rFonts w:ascii="Calibri" w:hAnsi="Calibri"/>
          <w:rtl w:val="0"/>
          <w:lang w:val="en-US"/>
        </w:rPr>
        <w:t>EFINITIONS</w:t>
      </w:r>
    </w:p>
    <w:p>
      <w:pPr>
        <w:pStyle w:val="Body"/>
        <w:spacing w:before="173" w:line="264" w:lineRule="auto"/>
        <w:ind w:left="103" w:firstLine="0"/>
        <w:rPr>
          <w:b w:val="1"/>
          <w:bCs w:val="1"/>
          <w:sz w:val="20"/>
          <w:szCs w:val="20"/>
        </w:rPr>
      </w:pPr>
      <w:r>
        <w:rPr>
          <w:b w:val="1"/>
          <w:bCs w:val="1"/>
          <w:outline w:val="0"/>
          <w:color w:val="231f20"/>
          <w:sz w:val="20"/>
          <w:szCs w:val="20"/>
          <w:u w:color="231f20"/>
          <w:rtl w:val="0"/>
          <w:lang w:val="en-US"/>
          <w14:textFill>
            <w14:solidFill>
              <w14:srgbClr w14:val="231F20"/>
            </w14:solidFill>
          </w14:textFill>
        </w:rPr>
        <w:t>Act of Parliament</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Any reference to any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Act of Parliament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includes a reference to amended or replacement legislation and to subordinate legislation made under such Acts of Parliament.</w:t>
      </w:r>
    </w:p>
    <w:p>
      <w:pPr>
        <w:pStyle w:val="Body"/>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spacing w:line="264" w:lineRule="auto"/>
        <w:ind w:left="103" w:firstLine="0"/>
        <w:rPr>
          <w:b w:val="1"/>
          <w:bCs w:val="1"/>
          <w:sz w:val="20"/>
          <w:szCs w:val="20"/>
        </w:rPr>
      </w:pPr>
      <w:r>
        <w:rPr>
          <w:b w:val="1"/>
          <w:bCs w:val="1"/>
          <w:outline w:val="0"/>
          <w:color w:val="231f20"/>
          <w:sz w:val="20"/>
          <w:szCs w:val="20"/>
          <w:u w:color="231f20"/>
          <w:rtl w:val="0"/>
          <w:lang w:val="en-US"/>
          <w14:textFill>
            <w14:solidFill>
              <w14:srgbClr w14:val="231F20"/>
            </w14:solidFill>
          </w14:textFill>
        </w:rPr>
        <w:t>The Agreement</w:t>
      </w:r>
    </w:p>
    <w:p>
      <w:pPr>
        <w:pStyle w:val="Body"/>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Agreement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or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Agreement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are to this Tenancy Agreement.</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Check-In Inventory and Schedule of Condition</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Check-In Inventory and Schedule of Condition</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or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it-IT"/>
          <w14:textFill>
            <w14:solidFill>
              <w14:srgbClr w14:val="231F20"/>
            </w14:solidFill>
          </w14:textFill>
        </w:rPr>
        <w:t>Inventory</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the document drawn up prior to the commencement of the Tenancy by the Landlord,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Agent or an inventory clerk.</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pt-PT"/>
          <w14:textFill>
            <w14:solidFill>
              <w14:srgbClr w14:val="231F20"/>
            </w14:solidFill>
          </w14:textFill>
        </w:rPr>
        <w:t>Deposit</w:t>
      </w:r>
    </w:p>
    <w:p>
      <w:pPr>
        <w:pStyle w:val="Body"/>
        <w:spacing w:line="235" w:lineRule="auto"/>
        <w:ind w:left="103" w:right="259"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Deposit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any single amount of money paid by the Tenant or a third party to the Landlord or to the Agent under the Tenancy as security against the performance of 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under the Tenancy, the discharge of any liabilities, any damage to the Premises and/or non-payment of rent during the Tenancy.</w:t>
      </w:r>
    </w:p>
    <w:p>
      <w:pPr>
        <w:pStyle w:val="Body"/>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Fixtures and Fittings</w:t>
      </w:r>
    </w:p>
    <w:p>
      <w:pPr>
        <w:pStyle w:val="Body"/>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the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Fixtures and Fittings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 any of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contents, including all items contained in the Inventory and signed on behalf of the parties at the commencement of the Agreement or any items replacing them, including reference to any of the fixtures, fittings, furnishings or effects, floor, ceiling and wall coverings.</w:t>
      </w:r>
    </w:p>
    <w:p>
      <w:pPr>
        <w:pStyle w:val="Body"/>
        <w:spacing w:before="10"/>
        <w:rPr>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it-IT"/>
          <w14:textFill>
            <w14:solidFill>
              <w14:srgbClr w14:val="231F20"/>
            </w14:solidFill>
          </w14:textFill>
        </w:rPr>
        <w:t>Guarantor</w:t>
      </w:r>
    </w:p>
    <w:p>
      <w:pPr>
        <w:pStyle w:val="Body"/>
        <w:spacing w:line="235" w:lineRule="auto"/>
        <w:ind w:left="103" w:right="35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Any person(s) who has agreed to meet all of 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responsibilities under the Agreement in the event the Tenant defaults on any of their obligations under this Agreement.</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ICE</w:t>
      </w:r>
    </w:p>
    <w:p>
      <w:pPr>
        <w:pStyle w:val="Body"/>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ICE</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is an Independent Case Examiner of the </w:t>
      </w:r>
      <w:r>
        <w:rPr>
          <w:outline w:val="0"/>
          <w:color w:val="231f20"/>
          <w:sz w:val="20"/>
          <w:szCs w:val="20"/>
          <w:u w:color="231f20"/>
          <w:rtl w:val="0"/>
          <w:lang w:val="pt-PT"/>
          <w14:textFill>
            <w14:solidFill>
              <w14:srgbClr w14:val="231F20"/>
            </w14:solidFill>
          </w14:textFill>
        </w:rPr>
        <w:t>DPS.</w:t>
      </w: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Insurable Risks</w:t>
      </w:r>
    </w:p>
    <w:p>
      <w:pPr>
        <w:pStyle w:val="Body"/>
        <w:spacing w:line="235" w:lineRule="auto"/>
        <w:ind w:left="103" w:firstLine="0"/>
        <w:rPr>
          <w:outline w:val="0"/>
          <w:color w:val="231f20"/>
          <w:sz w:val="20"/>
          <w:szCs w:val="20"/>
          <w:u w:color="231f20"/>
          <w14:textFill>
            <w14:solidFill>
              <w14:srgbClr w14:val="231F2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Insurable Risks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fire, storm, tempest and such other perils that are included in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insurance policy if affected.</w:t>
      </w: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b w:val="1"/>
          <w:bCs w:val="1"/>
          <w:sz w:val="20"/>
          <w:szCs w:val="20"/>
        </w:rPr>
      </w:pPr>
      <w:r>
        <w:rPr>
          <w:b w:val="1"/>
          <w:bCs w:val="1"/>
          <w:outline w:val="0"/>
          <w:color w:val="231f20"/>
          <w:sz w:val="20"/>
          <w:szCs w:val="20"/>
          <w:u w:color="231f20"/>
          <w:rtl w:val="0"/>
          <w:lang w:val="en-US"/>
          <w14:textFill>
            <w14:solidFill>
              <w14:srgbClr w14:val="231F20"/>
            </w14:solidFill>
          </w14:textFill>
        </w:rPr>
        <w:t>Joint and Several</w:t>
      </w:r>
    </w:p>
    <w:p>
      <w:pPr>
        <w:pStyle w:val="Body"/>
        <w:spacing w:line="235" w:lineRule="auto"/>
        <w:ind w:left="103" w:right="132"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Tenant is more than one person 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s covenants are joint and several. The expression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Joint and Several</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p>
    <w:p>
      <w:pPr>
        <w:pStyle w:val="Body"/>
        <w:spacing w:before="11"/>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Landlord</w:t>
      </w:r>
    </w:p>
    <w:p>
      <w:pPr>
        <w:pStyle w:val="Body"/>
        <w:spacing w:line="235" w:lineRule="auto"/>
        <w:ind w:left="103" w:right="910" w:firstLine="0"/>
        <w:rPr>
          <w:caps w:val="0"/>
          <w:smallCaps w:val="0"/>
          <w:strike w:val="0"/>
          <w:dstrike w:val="0"/>
          <w:outline w:val="0"/>
          <w:color w:val="231f20"/>
          <w:sz w:val="20"/>
          <w:szCs w:val="20"/>
          <w:u w:val="none" w:color="231f20"/>
          <w:vertAlign w:val="baseline"/>
          <w14:textFill>
            <w14:solidFill>
              <w14:srgbClr w14:val="231F2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expression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Landlord</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shall include anyone lawfully entitled to the Premises upon the termination of the Tenancy.</w:t>
      </w:r>
    </w:p>
    <w:p>
      <w:pPr>
        <w:pStyle w:val="Body"/>
        <w:spacing w:line="235" w:lineRule="auto"/>
        <w:ind w:left="103" w:right="910" w:firstLine="0"/>
        <w:rPr>
          <w:outline w:val="0"/>
          <w:color w:val="231f20"/>
          <w:sz w:val="20"/>
          <w:szCs w:val="20"/>
          <w:u w:color="231f20"/>
          <w14:textFill>
            <w14:solidFill>
              <w14:srgbClr w14:val="231F20"/>
            </w14:solidFill>
          </w14:textFill>
        </w:rPr>
      </w:pPr>
    </w:p>
    <w:p>
      <w:pPr>
        <w:pStyle w:val="Body"/>
        <w:spacing w:line="235" w:lineRule="auto"/>
        <w:ind w:left="103" w:right="910" w:firstLine="0"/>
        <w:rPr>
          <w:b w:val="1"/>
          <w:bCs w:val="1"/>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Agent</w:t>
      </w:r>
    </w:p>
    <w:p>
      <w:pPr>
        <w:pStyle w:val="Body"/>
        <w:spacing w:line="235" w:lineRule="auto"/>
        <w:ind w:left="103" w:right="910"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Where the Landlord has appointed and agent to deal with the letting of their property, either in a tenant find only or a managed capacity.</w:t>
      </w:r>
    </w:p>
    <w:p>
      <w:pPr>
        <w:pStyle w:val="Body"/>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Permitted Occupier</w:t>
      </w:r>
    </w:p>
    <w:p>
      <w:pPr>
        <w:pStyle w:val="Body"/>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Permitted Occupier</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if used in the Agreement, includes any person who is licensed by the Landlord to reside at the Premises and who will be bound by all the terms of this Agreement apart from the payment of rent.</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Premises</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include reference to any part or parts of the Premises and the curtilage of the same, together with the garden, garage and parking space (if applicable) </w:t>
      </w:r>
    </w:p>
    <w:p>
      <w:pPr>
        <w:pStyle w:val="Body"/>
        <w:spacing w:before="11"/>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fr-FR"/>
          <w14:textFill>
            <w14:solidFill>
              <w14:srgbClr w14:val="231F20"/>
            </w14:solidFill>
          </w14:textFill>
        </w:rPr>
        <w:t>Relevant Persons</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fr-FR"/>
          <w14:textFill>
            <w14:solidFill>
              <w14:srgbClr w14:val="231F20"/>
            </w14:solidFill>
          </w14:textFill>
        </w:rPr>
        <w:t>Relevant Persons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mentioned in the Prescribed Information pages attached to this Agreement means any other person or company paying the Deposit on behalf of the Tenant, e.g. a local authority, parent, or Guarantor.</w:t>
      </w:r>
    </w:p>
    <w:p>
      <w:pPr>
        <w:pStyle w:val="Body"/>
        <w:spacing w:line="242"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Relevant Persons will be given details of the scheme with which the Deposit will be registered.</w:t>
      </w:r>
    </w:p>
    <w:p>
      <w:pPr>
        <w:pStyle w:val="Body"/>
        <w:spacing w:before="8"/>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Stakeholder</w:t>
      </w:r>
    </w:p>
    <w:p>
      <w:pPr>
        <w:pStyle w:val="Body"/>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Where the Deposit is held as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Stakeholder</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no deductions can be made from the Deposit without consent, preferably in writing, from both parties, or from the court, or an adjudication decision from </w:t>
      </w:r>
      <w:r>
        <w:rPr>
          <w:outline w:val="0"/>
          <w:color w:val="231f20"/>
          <w:sz w:val="20"/>
          <w:szCs w:val="20"/>
          <w:u w:color="231f20"/>
          <w:rtl w:val="0"/>
          <w:lang w:val="en-US"/>
          <w14:textFill>
            <w14:solidFill>
              <w14:srgbClr w14:val="231F20"/>
            </w14:solidFill>
          </w14:textFill>
        </w:rPr>
        <w:t>your deposit provider.</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9"/>
        <w:rPr>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Tenant</w:t>
      </w:r>
    </w:p>
    <w:p>
      <w:pPr>
        <w:pStyle w:val="Body"/>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includes anyone to whom the Tenancy has been lawfully transferred.</w:t>
      </w:r>
    </w:p>
    <w:p>
      <w:pPr>
        <w:pStyle w:val="Body"/>
        <w:spacing w:before="8"/>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Term/the Tenancy</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Term</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or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Tenancy</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 any extension or continuation of the Agreement or any periodic Tenancy which may arise following the expiry or determination of the period of the Term specified in clause 2.</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Water Charges</w:t>
      </w:r>
    </w:p>
    <w:p>
      <w:pPr>
        <w:pStyle w:val="Body"/>
        <w:spacing w:line="235" w:lineRule="auto"/>
        <w:ind w:left="103" w:right="910"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in this Agreement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Water Charges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 references to sewerage and environmental service charges.</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spacing w:line="235" w:lineRule="auto"/>
        <w:ind w:left="103" w:right="346" w:firstLine="0"/>
        <w:sectPr>
          <w:headerReference w:type="default" r:id="rId6"/>
          <w:pgSz w:w="11920" w:h="16840" w:orient="portrait"/>
          <w:pgMar w:top="1200" w:right="1180" w:bottom="1220" w:left="1200" w:header="0" w:footer="1024"/>
          <w:bidi w:val="0"/>
        </w:sectPr>
      </w:pPr>
      <w:r>
        <w:rPr>
          <w:i w:val="1"/>
          <w:iCs w:val="1"/>
          <w:outline w:val="0"/>
          <w:color w:val="231f20"/>
          <w:sz w:val="20"/>
          <w:szCs w:val="20"/>
          <w:u w:color="231f20"/>
          <w:rtl w:val="0"/>
          <w:lang w:val="en-US"/>
          <w14:textFill>
            <w14:solidFill>
              <w14:srgbClr w14:val="231F20"/>
            </w14:solidFill>
          </w14:textFill>
        </w:rPr>
        <w:t>The masculine gender includes the feminine gender and any reference to the singular includes a reference to the plural and vice versa.</w:t>
      </w:r>
    </w:p>
    <w:p>
      <w:pPr>
        <w:pStyle w:val="Heading 2"/>
        <w:ind w:firstLine="103"/>
        <w:rPr>
          <w:rFonts w:ascii="Calibri" w:cs="Calibri" w:hAnsi="Calibri" w:eastAsia="Calibri"/>
        </w:rPr>
      </w:pPr>
      <w:bookmarkStart w:name="_headingh.wafze9exvcwm" w:id="4"/>
      <w:bookmarkEnd w:id="4"/>
      <w:r>
        <w:rPr>
          <w:rFonts w:ascii="Calibri" w:hAnsi="Calibri"/>
          <w:rtl w:val="0"/>
        </w:rPr>
        <w:t>A</w:t>
      </w:r>
      <w:r>
        <w:rPr>
          <w:rFonts w:ascii="Calibri" w:hAnsi="Calibri"/>
          <w:rtl w:val="0"/>
          <w:lang w:val="de-DE"/>
        </w:rPr>
        <w:t>SSURED SHORTHOLD TENANCY AGREEMENT</w:t>
      </w:r>
    </w:p>
    <w:p>
      <w:pPr>
        <w:pStyle w:val="Body"/>
        <w:spacing w:before="129"/>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This Agreement is made on the </w:t>
      </w:r>
      <w:r>
        <w:rPr>
          <w:outline w:val="0"/>
          <w:color w:val="231f20"/>
          <w:sz w:val="20"/>
          <w:szCs w:val="20"/>
          <w:u w:color="231f20"/>
          <w:rtl w:val="0"/>
          <w:lang w:val="pt-PT"/>
          <w14:textFill>
            <w14:solidFill>
              <w14:srgbClr w14:val="231F20"/>
            </w14:solidFill>
          </w14:textFill>
        </w:rPr>
        <w:t>[date].</w:t>
      </w:r>
    </w:p>
    <w:p>
      <w:pPr>
        <w:pStyle w:val="Heading 2"/>
        <w:spacing w:before="123"/>
        <w:ind w:firstLine="103"/>
        <w:rPr>
          <w:rFonts w:ascii="Calibri" w:cs="Calibri" w:hAnsi="Calibri" w:eastAsia="Calibri"/>
        </w:rPr>
      </w:pPr>
      <w:r>
        <w:rPr>
          <w:rFonts w:ascii="Calibri" w:hAnsi="Calibri"/>
          <w:outline w:val="0"/>
          <w:color w:val="231f20"/>
          <w:u w:color="231f20"/>
          <w:rtl w:val="0"/>
          <w:lang w:val="en-US"/>
          <w14:textFill>
            <w14:solidFill>
              <w14:srgbClr w14:val="231F20"/>
            </w14:solidFill>
          </w14:textFill>
        </w:rPr>
        <w:t>Between:</w:t>
      </w:r>
    </w:p>
    <w:p>
      <w:pPr>
        <w:pStyle w:val="Body"/>
        <w:spacing w:before="8"/>
        <w:rPr>
          <w:sz w:val="17"/>
          <w:szCs w:val="17"/>
        </w:rPr>
      </w:pPr>
    </w:p>
    <w:tbl>
      <w:tblPr>
        <w:tblW w:w="9283" w:type="dxa"/>
        <w:jc w:val="left"/>
        <w:tblInd w:w="22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3"/>
      </w:tblGrid>
      <w:tr>
        <w:tblPrEx>
          <w:shd w:val="clear" w:color="auto" w:fill="ced7e7"/>
        </w:tblPrEx>
        <w:trPr>
          <w:trHeight w:val="231" w:hRule="atLeast"/>
        </w:trPr>
        <w:tc>
          <w:tcPr>
            <w:tcW w:type="dxa" w:w="9283"/>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[ALL_LANDLORD_NAMES_AND_ADDRESSES]</w:t>
            </w:r>
          </w:p>
        </w:tc>
      </w:tr>
    </w:tbl>
    <w:p>
      <w:pPr>
        <w:pStyle w:val="Body"/>
        <w:spacing w:before="8"/>
        <w:ind w:left="118" w:hanging="118"/>
        <w:rPr>
          <w:sz w:val="17"/>
          <w:szCs w:val="17"/>
        </w:rPr>
      </w:pPr>
    </w:p>
    <w:p>
      <w:pPr>
        <w:pStyle w:val="Body"/>
        <w:spacing w:before="172"/>
        <w:rPr>
          <w:caps w:val="0"/>
          <w:smallCaps w:val="0"/>
          <w:strike w:val="0"/>
          <w:dstrike w:val="0"/>
          <w:outline w:val="0"/>
          <w:color w:val="000000"/>
          <w:sz w:val="20"/>
          <w:szCs w:val="20"/>
          <w:u w:val="none" w:color="000000"/>
          <w:vertAlign w:val="baseline"/>
          <w14:textFill>
            <w14:solidFill>
              <w14:srgbClr w14:val="000000"/>
            </w14:solidFill>
          </w14:textFill>
        </w:rPr>
      </w:pPr>
      <w:r>
        <w:rPr>
          <w:rtl w:val="0"/>
        </w:rPr>
        <w:t xml:space="preserve">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and</w:t>
      </w:r>
    </w:p>
    <w:p>
      <w:pPr>
        <w:pStyle w:val="Body"/>
        <w:spacing w:before="8"/>
        <w:rPr>
          <w:caps w:val="0"/>
          <w:smallCaps w:val="0"/>
          <w:strike w:val="0"/>
          <w:dstrike w:val="0"/>
          <w:outline w:val="0"/>
          <w:color w:val="000000"/>
          <w:sz w:val="17"/>
          <w:szCs w:val="17"/>
          <w:u w:val="none" w:color="000000"/>
          <w:vertAlign w:val="baseline"/>
          <w14:textFill>
            <w14:solidFill>
              <w14:srgbClr w14:val="000000"/>
            </w14:solidFill>
          </w14:textFill>
        </w:rPr>
      </w:pPr>
    </w:p>
    <w:tbl>
      <w:tblPr>
        <w:tblW w:w="9283" w:type="dxa"/>
        <w:jc w:val="left"/>
        <w:tblInd w:w="22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3"/>
      </w:tblGrid>
      <w:tr>
        <w:tblPrEx>
          <w:shd w:val="clear" w:color="auto" w:fill="ced7e7"/>
        </w:tblPrEx>
        <w:trPr>
          <w:trHeight w:val="231" w:hRule="atLeast"/>
        </w:trPr>
        <w:tc>
          <w:tcPr>
            <w:tcW w:type="dxa" w:w="9283"/>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[ALL_TENANT_NAMES_AND_ADDRESSES]</w:t>
            </w:r>
          </w:p>
        </w:tc>
      </w:tr>
    </w:tbl>
    <w:p>
      <w:pPr>
        <w:pStyle w:val="Body"/>
        <w:spacing w:before="8"/>
        <w:ind w:left="118" w:hanging="118"/>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w:spacing w:before="172"/>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and</w:t>
      </w:r>
    </w:p>
    <w:p>
      <w:pPr>
        <w:pStyle w:val="Body"/>
        <w:spacing w:before="8"/>
        <w:rPr>
          <w:caps w:val="0"/>
          <w:smallCaps w:val="0"/>
          <w:strike w:val="0"/>
          <w:dstrike w:val="0"/>
          <w:outline w:val="0"/>
          <w:color w:val="000000"/>
          <w:sz w:val="15"/>
          <w:szCs w:val="15"/>
          <w:u w:val="none" w:color="000000"/>
          <w:vertAlign w:val="baseline"/>
          <w14:textFill>
            <w14:solidFill>
              <w14:srgbClr w14:val="000000"/>
            </w14:solidFill>
          </w14:textFill>
        </w:rPr>
      </w:pPr>
    </w:p>
    <w:p>
      <w:pPr>
        <w:pStyle w:val="Heading 2"/>
        <w:ind w:firstLine="103"/>
        <w:rPr>
          <w:rFonts w:ascii="Calibri" w:cs="Calibri" w:hAnsi="Calibri" w:eastAsia="Calibri"/>
        </w:rPr>
      </w:pPr>
      <w:bookmarkStart w:name="_headingh.nf6kdo168t94" w:id="5"/>
      <w:bookmarkEnd w:id="5"/>
      <w:r>
        <w:rPr>
          <w:rFonts w:ascii="Calibri" w:hAnsi="Calibri"/>
          <w:rtl w:val="0"/>
        </w:rPr>
        <w:t>I</w:t>
      </w:r>
      <w:r>
        <w:rPr>
          <w:rFonts w:ascii="Calibri" w:hAnsi="Calibri"/>
          <w:rtl w:val="0"/>
        </w:rPr>
        <w:t>T IS AGREED AS FOLLOWS:</w:t>
      </w:r>
    </w:p>
    <w:p>
      <w:pPr>
        <w:pStyle w:val="Body"/>
        <w:numPr>
          <w:ilvl w:val="0"/>
          <w:numId w:val="5"/>
        </w:numPr>
        <w:bidi w:val="0"/>
        <w:spacing w:before="173"/>
        <w:ind w:right="0"/>
        <w:jc w:val="left"/>
        <w:rPr>
          <w:sz w:val="20"/>
          <w:szCs w:val="20"/>
          <w:rtl w:val="0"/>
        </w:rPr>
      </w:pPr>
      <w:r>
        <w:rPr>
          <w:outline w:val="0"/>
          <w:color w:val="231f20"/>
          <w:sz w:val="20"/>
          <w:szCs w:val="20"/>
          <w:u w:color="231f20"/>
          <w:rtl w:val="0"/>
          <w14:textFill>
            <w14:solidFill>
              <w14:srgbClr w14:val="231F20"/>
            </w14:solidFill>
          </w14:textFill>
        </w:rPr>
        <w:tab/>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lets to the Tenant the residential Premises known as: </w:t>
      </w:r>
      <w:r>
        <w:rPr>
          <w:outline w:val="0"/>
          <w:color w:val="231f20"/>
          <w:sz w:val="20"/>
          <w:szCs w:val="20"/>
          <w:u w:color="231f20"/>
          <w:rtl w:val="0"/>
          <w:lang w:val="en-US"/>
          <w14:textFill>
            <w14:solidFill>
              <w14:srgbClr w14:val="231F20"/>
            </w14:solidFill>
          </w14:textFill>
        </w:rPr>
        <w:t xml:space="preserve">[property_address] </w:t>
      </w:r>
      <w:r>
        <w:rPr>
          <w:caps w:val="0"/>
          <w:smallCaps w:val="0"/>
          <w:strike w:val="0"/>
          <w:dstrike w:val="0"/>
          <w:outline w:val="0"/>
          <w:color w:val="231f20"/>
          <w:sz w:val="20"/>
          <w:szCs w:val="20"/>
          <w:u w:val="none" w:color="231f20"/>
          <w:vertAlign w:val="baseline"/>
          <w:rtl w:val="0"/>
          <w14:textFill>
            <w14:solidFill>
              <w14:srgbClr w14:val="231F20"/>
            </w14:solidFill>
          </w14:textFill>
        </w:rPr>
        <w: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10"/>
        <w:rPr>
          <w:caps w:val="0"/>
          <w:smallCaps w:val="0"/>
          <w:strike w:val="0"/>
          <w:dstrike w:val="0"/>
          <w:outline w:val="0"/>
          <w:color w:val="000000"/>
          <w:sz w:val="19"/>
          <w:szCs w:val="19"/>
          <w:u w:val="none" w:color="000000"/>
          <w:vertAlign w:val="baseline"/>
          <w14:textFill>
            <w14:solidFill>
              <w14:srgbClr w14:val="000000"/>
            </w14:solidFill>
          </w14:textFill>
        </w:rPr>
      </w:pPr>
    </w:p>
    <w:p>
      <w:pPr>
        <w:pStyle w:val="Body"/>
        <w:numPr>
          <w:ilvl w:val="0"/>
          <w:numId w:val="6"/>
        </w:numPr>
        <w:bidi w:val="0"/>
        <w:spacing w:line="232" w:lineRule="auto"/>
        <w:ind w:right="32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Tenancy shall be from and including the </w:t>
      </w:r>
      <w:r>
        <w:rPr>
          <w:outline w:val="0"/>
          <w:color w:val="231f20"/>
          <w:sz w:val="20"/>
          <w:szCs w:val="20"/>
          <w:u w:color="231f20"/>
          <w:rtl w:val="0"/>
          <w:lang w:val="en-US"/>
          <w14:textFill>
            <w14:solidFill>
              <w14:srgbClr w14:val="231F20"/>
            </w14:solidFill>
          </w14:textFill>
        </w:rPr>
        <w:t xml:space="preserve">[tenancy_start_date] </w:t>
      </w:r>
      <w:r>
        <w:rPr>
          <w:caps w:val="0"/>
          <w:smallCaps w:val="0"/>
          <w:strike w:val="0"/>
          <w:dstrike w:val="0"/>
          <w:outline w:val="0"/>
          <w:color w:val="231f20"/>
          <w:sz w:val="20"/>
          <w:szCs w:val="20"/>
          <w:u w:val="none" w:color="231f20"/>
          <w:vertAlign w:val="baseline"/>
          <w:rtl w:val="0"/>
          <w14:textFill>
            <w14:solidFill>
              <w14:srgbClr w14:val="231F20"/>
            </w14:solidFill>
          </w14:textFill>
        </w:rPr>
        <w: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Commencement Date</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to and including the </w:t>
      </w:r>
      <w:r>
        <w:rPr>
          <w:outline w:val="0"/>
          <w:color w:val="231f20"/>
          <w:sz w:val="20"/>
          <w:szCs w:val="20"/>
          <w:u w:color="231f20"/>
          <w:rtl w:val="0"/>
          <w:lang w:val="en-US"/>
          <w14:textFill>
            <w14:solidFill>
              <w14:srgbClr w14:val="231F20"/>
            </w14:solidFill>
          </w14:textFill>
        </w:rPr>
        <w:t>[tenancy_end_date]</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and thereafter from month-to-month and until terminated by either party serving a notice on the other in accordance with this Agreement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the Expiration Date</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Term</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12"/>
        <w:rPr>
          <w:caps w:val="0"/>
          <w:smallCaps w:val="0"/>
          <w:strike w:val="0"/>
          <w:dstrike w:val="0"/>
          <w:outline w:val="0"/>
          <w:color w:val="000000"/>
          <w:sz w:val="19"/>
          <w:szCs w:val="19"/>
          <w:u w:val="none" w:color="000000"/>
          <w:vertAlign w:val="baseline"/>
          <w14:textFill>
            <w14:solidFill>
              <w14:srgbClr w14:val="000000"/>
            </w14:solidFill>
          </w14:textFill>
        </w:rPr>
      </w:pPr>
    </w:p>
    <w:p>
      <w:pPr>
        <w:pStyle w:val="Body"/>
        <w:numPr>
          <w:ilvl w:val="0"/>
          <w:numId w:val="7"/>
        </w:numPr>
        <w:bidi w:val="0"/>
        <w:spacing w:line="264" w:lineRule="auto"/>
        <w:ind w:right="0"/>
        <w:jc w:val="left"/>
        <w:rPr>
          <w:sz w:val="20"/>
          <w:szCs w:val="20"/>
          <w:rtl w:val="0"/>
        </w:rPr>
      </w:pPr>
      <w:r>
        <w:rPr>
          <w:outline w:val="0"/>
          <w:color w:val="231f20"/>
          <w:sz w:val="20"/>
          <w:szCs w:val="20"/>
          <w:u w:color="231f20"/>
          <w:rtl w:val="0"/>
          <w14:textFill>
            <w14:solidFill>
              <w14:srgbClr w14:val="231F20"/>
            </w14:solidFill>
          </w14:textFill>
        </w:rPr>
        <w:tab/>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pay to the Landlord or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Agent by way of rent the amount of</w:t>
      </w:r>
    </w:p>
    <w:p>
      <w:pPr>
        <w:pStyle w:val="Body"/>
        <w:spacing w:line="235" w:lineRule="auto"/>
        <w:ind w:left="103" w:right="469" w:firstLine="0"/>
        <w:rPr>
          <w:caps w:val="0"/>
          <w:smallCaps w:val="0"/>
          <w:strike w:val="0"/>
          <w:dstrike w:val="0"/>
          <w:outline w:val="0"/>
          <w:color w:val="000000"/>
          <w:sz w:val="20"/>
          <w:szCs w:val="20"/>
          <w:u w:val="none" w:color="000000"/>
          <w:vertAlign w:val="baseline"/>
          <w14:textFill>
            <w14:solidFill>
              <w14:srgbClr w14:val="000000"/>
            </w14:solidFill>
          </w14:textFill>
        </w:rPr>
      </w:pPr>
      <w:r>
        <w:rPr>
          <w:outline w:val="0"/>
          <w:color w:val="231f20"/>
          <w:sz w:val="20"/>
          <w:szCs w:val="20"/>
          <w:u w:color="231f20"/>
          <w:rtl w:val="0"/>
          <w:lang w:val="en-US"/>
          <w14:textFill>
            <w14:solidFill>
              <w14:srgbClr w14:val="231F20"/>
            </w14:solidFill>
          </w14:textFill>
        </w:rPr>
        <w:t>[RENT_AMOUNT]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per calendar month by Bank Standing Order to: Account number:</w:t>
      </w:r>
      <w:r>
        <w:rPr>
          <w:outline w:val="0"/>
          <w:color w:val="231f20"/>
          <w:sz w:val="20"/>
          <w:szCs w:val="20"/>
          <w:u w:color="231f20"/>
          <w:rtl w:val="0"/>
          <w:lang w:val="en-US"/>
          <w14:textFill>
            <w14:solidFill>
              <w14:srgbClr w14:val="231F20"/>
            </w14:solidFill>
          </w14:textFill>
        </w:rPr>
        <w:t xml:space="preserve"> [LANDLORD/AGENT_ACCOUNT_NUMBER]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 Sort Code: </w:t>
      </w:r>
      <w:r>
        <w:rPr>
          <w:outline w:val="0"/>
          <w:color w:val="231f20"/>
          <w:sz w:val="20"/>
          <w:szCs w:val="20"/>
          <w:u w:color="231f20"/>
          <w:rtl w:val="0"/>
          <w:lang w:val="en-US"/>
          <w14:textFill>
            <w14:solidFill>
              <w14:srgbClr w14:val="231F20"/>
            </w14:solidFill>
          </w14:textFill>
        </w:rPr>
        <w:t>[LANDLORD/AGENT_SORT_CODE]</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in the name of </w:t>
      </w:r>
      <w:r>
        <w:rPr>
          <w:outline w:val="0"/>
          <w:color w:val="231f20"/>
          <w:sz w:val="20"/>
          <w:szCs w:val="20"/>
          <w:u w:color="231f20"/>
          <w:rtl w:val="0"/>
          <w:lang w:val="en-US"/>
          <w14:textFill>
            <w14:solidFill>
              <w14:srgbClr w14:val="231F20"/>
            </w14:solidFill>
          </w14:textFill>
        </w:rPr>
        <w:t xml:space="preserve">[LANDLORD/AGENT_ACCOUNT_NAME] </w:t>
      </w:r>
      <w:r>
        <w:rPr>
          <w:caps w:val="0"/>
          <w:smallCaps w:val="0"/>
          <w:strike w:val="0"/>
          <w:dstrike w:val="0"/>
          <w:outline w:val="0"/>
          <w:color w:val="231f20"/>
          <w:sz w:val="20"/>
          <w:szCs w:val="20"/>
          <w:u w:val="none" w:color="231f20"/>
          <w:vertAlign w:val="baseline"/>
          <w:rtl w:val="0"/>
          <w14:textFill>
            <w14:solidFill>
              <w14:srgbClr w14:val="231F20"/>
            </w14:solidFill>
          </w14:textFill>
        </w:rPr>
        <w:t>payable in</w:t>
      </w:r>
      <w:r>
        <w:rPr>
          <w:sz w:val="20"/>
          <w:szCs w:val="20"/>
          <w:rtl w:val="0"/>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advance on or before the </w:t>
      </w:r>
      <w:r>
        <w:rPr>
          <w:outline w:val="0"/>
          <w:color w:val="231f20"/>
          <w:sz w:val="20"/>
          <w:szCs w:val="20"/>
          <w:u w:color="231f20"/>
          <w:rtl w:val="0"/>
          <w:lang w:val="en-US"/>
          <w14:textFill>
            <w14:solidFill>
              <w14:srgbClr w14:val="231F20"/>
            </w14:solidFill>
          </w14:textFill>
        </w:rPr>
        <w:t>[TENANCY_START_DATE]</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day of each month during the Term. The first such payment to be made on the signing of this Agreement for the period from the Commencement Date until the next rent payment date.</w:t>
      </w:r>
    </w:p>
    <w:p>
      <w:pPr>
        <w:pStyle w:val="Body"/>
        <w:spacing w:before="5"/>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0"/>
          <w:numId w:val="8"/>
        </w:numPr>
        <w:bidi w:val="0"/>
        <w:spacing w:line="232" w:lineRule="auto"/>
        <w:ind w:right="27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This Agreement is intended to create an Assured Shorthold Tenancy as defined by Section 19A of the Housing Act 1988 as amended and shall take effect subject to the provisions for recovery of possession provided for by virtue of Section 21 of that Act.</w:t>
      </w:r>
    </w:p>
    <w:p>
      <w:pPr>
        <w:pStyle w:val="Body"/>
        <w:spacing w:before="6"/>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0"/>
          <w:numId w:val="9"/>
        </w:numPr>
        <w:bidi w:val="0"/>
        <w:spacing w:line="232" w:lineRule="auto"/>
        <w:ind w:right="14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Tenancy shall include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Fixtures and Fittings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Fixtures and Fittings</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in the Premises this includes, amongst other things, all matters specified in the Inventory and Schedule of Condition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Check- In Inventory and Schedule of Condition</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5"/>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0"/>
          <w:numId w:val="8"/>
        </w:numPr>
        <w:bidi w:val="0"/>
        <w:spacing w:before="1" w:line="232" w:lineRule="auto"/>
        <w:ind w:right="404"/>
        <w:jc w:val="left"/>
        <w:rPr>
          <w:sz w:val="20"/>
          <w:szCs w:val="20"/>
          <w:rtl w:val="0"/>
          <w:lang w:val="en-US"/>
        </w:rPr>
        <w:sectPr>
          <w:headerReference w:type="default" r:id="rId7"/>
          <w:pgSz w:w="11920" w:h="16840" w:orient="portrait"/>
          <w:pgMar w:top="1200" w:right="1180" w:bottom="1220" w:left="1200" w:header="0" w:footer="1024"/>
          <w:bidi w:val="0"/>
        </w:sect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 the event of a default by the Tenant(s) of any of their obligations or responsibilities under the Agreement, the Guarantor(s) (if any) shall become immediately liable to remedy said default. In the event of multiple Guarantors, each shall be Joint and Severally liable.</w:t>
      </w:r>
    </w:p>
    <w:p>
      <w:pPr>
        <w:pStyle w:val="Body"/>
        <w:widowControl w:val="1"/>
        <w:numPr>
          <w:ilvl w:val="0"/>
          <w:numId w:val="12"/>
        </w:numPr>
        <w:bidi w:val="0"/>
        <w:spacing w:line="276" w:lineRule="auto"/>
        <w:ind w:right="0"/>
        <w:jc w:val="left"/>
        <w:rPr>
          <w:sz w:val="20"/>
          <w:szCs w:val="20"/>
          <w:rtl w:val="0"/>
          <w:lang w:val="pt-PT"/>
        </w:rPr>
      </w:pPr>
      <w:r>
        <w:rPr>
          <w:b w:val="1"/>
          <w:bCs w:val="1"/>
          <w:outline w:val="0"/>
          <w:color w:val="231f20"/>
          <w:sz w:val="20"/>
          <w:szCs w:val="20"/>
          <w:u w:color="231f20"/>
          <w:rtl w:val="0"/>
          <w:lang w:val="pt-PT"/>
          <w14:textFill>
            <w14:solidFill>
              <w14:srgbClr w14:val="231F20"/>
            </w14:solidFill>
          </w14:textFill>
        </w:rPr>
        <w:t>Deposit</w:t>
      </w:r>
    </w:p>
    <w:p>
      <w:pPr>
        <w:pStyle w:val="Body"/>
        <w:widowControl w:val="1"/>
        <w:spacing w:line="288" w:lineRule="auto"/>
        <w:ind w:left="897" w:firstLine="0"/>
        <w:rPr>
          <w:b w:val="1"/>
          <w:bCs w:val="1"/>
          <w:sz w:val="20"/>
          <w:szCs w:val="20"/>
        </w:rPr>
      </w:pPr>
      <w:r>
        <w:rPr>
          <w:b w:val="1"/>
          <w:bCs w:val="1"/>
          <w:sz w:val="20"/>
          <w:szCs w:val="20"/>
          <w:rtl w:val="0"/>
        </w:rPr>
        <w:t xml:space="preserve"> </w:t>
      </w:r>
    </w:p>
    <w:p>
      <w:pPr>
        <w:pStyle w:val="Body"/>
        <w:widowControl w:val="1"/>
        <w:spacing w:line="282" w:lineRule="auto"/>
        <w:ind w:left="897" w:right="16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 xml:space="preserve">7.1 </w:t>
      </w:r>
      <w:r>
        <w:rPr>
          <w:sz w:val="20"/>
          <w:szCs w:val="20"/>
          <w:rtl w:val="0"/>
          <w:lang w:val="en-US"/>
        </w:rPr>
        <w:t>The sum of [DEPOSIT_AMOUNT] shall be paid by [DEPOSIT_PAYER_NAME_AND_ADDRESS] ('The Relevant Person') to the Landlord/Agent</w:t>
      </w:r>
      <w:r>
        <w:rPr>
          <w:outline w:val="0"/>
          <w:color w:val="231f20"/>
          <w:sz w:val="20"/>
          <w:szCs w:val="20"/>
          <w:u w:color="231f20"/>
          <w:rtl w:val="0"/>
          <w:lang w:val="en-US"/>
          <w14:textFill>
            <w14:solidFill>
              <w14:srgbClr w14:val="231F20"/>
            </w14:solidFill>
          </w14:textFill>
        </w:rPr>
        <w:t xml:space="preserve"> upon the signing of this Agreement by way of a security Deposit (</w:t>
      </w:r>
      <w:r>
        <w:rPr>
          <w:outline w:val="0"/>
          <w:color w:val="231f20"/>
          <w:sz w:val="20"/>
          <w:szCs w:val="20"/>
          <w:u w:color="231f20"/>
          <w:rtl w:val="1"/>
          <w14:textFill>
            <w14:solidFill>
              <w14:srgbClr w14:val="231F20"/>
            </w14:solidFill>
          </w14:textFill>
        </w:rPr>
        <w:t>‘</w:t>
      </w:r>
      <w:r>
        <w:rPr>
          <w:outline w:val="0"/>
          <w:color w:val="231f20"/>
          <w:sz w:val="20"/>
          <w:szCs w:val="20"/>
          <w:u w:color="231f20"/>
          <w:rtl w:val="0"/>
          <w:lang w:val="en-US"/>
          <w14:textFill>
            <w14:solidFill>
              <w14:srgbClr w14:val="231F20"/>
            </w14:solidFill>
          </w14:textFill>
        </w:rPr>
        <w:t>the Deposit</w:t>
      </w:r>
      <w:r>
        <w:rPr>
          <w:outline w:val="0"/>
          <w:color w:val="231f20"/>
          <w:sz w:val="20"/>
          <w:szCs w:val="20"/>
          <w:u w:color="231f20"/>
          <w:rtl w:val="1"/>
          <w14:textFill>
            <w14:solidFill>
              <w14:srgbClr w14:val="231F20"/>
            </w14:solidFill>
          </w14:textFill>
        </w:rPr>
        <w:t>’</w:t>
      </w:r>
      <w:r>
        <w:rPr>
          <w:outline w:val="0"/>
          <w:color w:val="231f20"/>
          <w:sz w:val="20"/>
          <w:szCs w:val="20"/>
          <w:u w:color="231f20"/>
          <w:rtl w:val="0"/>
          <w14:textFill>
            <w14:solidFill>
              <w14:srgbClr w14:val="231F20"/>
            </w14:solidFill>
          </w14:textFill>
        </w:rPr>
        <w: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82" w:lineRule="auto"/>
        <w:ind w:left="897" w:right="18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 xml:space="preserve">7.2 </w:t>
      </w:r>
      <w:r>
        <w:rPr>
          <w:outline w:val="0"/>
          <w:color w:val="231f20"/>
          <w:sz w:val="20"/>
          <w:szCs w:val="20"/>
          <w:u w:color="231f20"/>
          <w:rtl w:val="0"/>
          <w:lang w:val="en-US"/>
          <w14:textFill>
            <w14:solidFill>
              <w14:srgbClr w14:val="231F20"/>
            </w14:solidFill>
          </w14:textFill>
        </w:rPr>
        <w:t>Upon the Tenant vacating the Premises and after deduction of all agreed or authorised deductions, the balance of the Deposit shall be refunded to the person or persons outlined at clause 7.1 above.</w:t>
      </w:r>
    </w:p>
    <w:p>
      <w:pPr>
        <w:pStyle w:val="Body"/>
        <w:widowControl w:val="1"/>
        <w:spacing w:before="100" w:line="276" w:lineRule="auto"/>
        <w:ind w:left="897" w:firstLine="0"/>
        <w:rPr>
          <w:sz w:val="20"/>
          <w:szCs w:val="20"/>
        </w:rPr>
      </w:pPr>
      <w:r>
        <w:rPr>
          <w:b w:val="1"/>
          <w:bCs w:val="1"/>
          <w:sz w:val="20"/>
          <w:szCs w:val="20"/>
          <w:rtl w:val="0"/>
        </w:rPr>
        <w:t>7.2.1</w:t>
      </w:r>
      <w:r>
        <w:rPr>
          <w:sz w:val="20"/>
          <w:szCs w:val="20"/>
          <w:rtl w:val="0"/>
        </w:rPr>
        <w:t xml:space="preserve"> </w:t>
      </w:r>
      <w:r>
        <w:rPr>
          <w:b w:val="1"/>
          <w:bCs w:val="1"/>
          <w:sz w:val="20"/>
          <w:szCs w:val="20"/>
          <w:rtl w:val="0"/>
          <w:lang w:val="it-IT"/>
        </w:rPr>
        <w:t xml:space="preserve">Custodial Scheme: </w:t>
      </w:r>
      <w:r>
        <w:rPr>
          <w:sz w:val="20"/>
          <w:szCs w:val="20"/>
          <w:rtl w:val="0"/>
          <w:lang w:val="en-US"/>
        </w:rPr>
        <w:t>The Deposit will be held by the Deposit Protection Service (</w:t>
      </w:r>
      <w:r>
        <w:rPr>
          <w:sz w:val="20"/>
          <w:szCs w:val="20"/>
          <w:rtl w:val="1"/>
        </w:rPr>
        <w:t>‘</w:t>
      </w:r>
      <w:r>
        <w:rPr>
          <w:sz w:val="20"/>
          <w:szCs w:val="20"/>
          <w:rtl w:val="0"/>
          <w:lang w:val="pt-PT"/>
        </w:rPr>
        <w:t>DPS</w:t>
      </w:r>
      <w:r>
        <w:rPr>
          <w:sz w:val="20"/>
          <w:szCs w:val="20"/>
          <w:rtl w:val="1"/>
        </w:rPr>
        <w:t>’</w:t>
      </w:r>
      <w:r>
        <w:rPr>
          <w:sz w:val="20"/>
          <w:szCs w:val="20"/>
          <w:rtl w:val="0"/>
        </w:rPr>
        <w:t>).</w:t>
      </w:r>
    </w:p>
    <w:p>
      <w:pPr>
        <w:pStyle w:val="Body"/>
        <w:widowControl w:val="1"/>
        <w:spacing w:line="282" w:lineRule="auto"/>
        <w:ind w:left="897" w:right="340" w:firstLine="0"/>
        <w:rPr>
          <w:sz w:val="20"/>
          <w:szCs w:val="20"/>
        </w:rPr>
      </w:pPr>
      <w:r>
        <w:rPr>
          <w:b w:val="1"/>
          <w:bCs w:val="1"/>
          <w:sz w:val="20"/>
          <w:szCs w:val="20"/>
          <w:rtl w:val="0"/>
          <w:lang w:val="en-US"/>
        </w:rPr>
        <w:t xml:space="preserve">Insured Scheme: </w:t>
      </w:r>
      <w:r>
        <w:rPr>
          <w:sz w:val="20"/>
          <w:szCs w:val="20"/>
          <w:rtl w:val="0"/>
          <w:lang w:val="en-US"/>
        </w:rPr>
        <w:t>The Deposit will be held by the Agent as Stakeholder. The Agent is a member of The Deposit Protection Service (</w:t>
      </w:r>
      <w:r>
        <w:rPr>
          <w:sz w:val="20"/>
          <w:szCs w:val="20"/>
          <w:rtl w:val="1"/>
        </w:rPr>
        <w:t>‘</w:t>
      </w:r>
      <w:r>
        <w:rPr>
          <w:sz w:val="20"/>
          <w:szCs w:val="20"/>
          <w:rtl w:val="0"/>
          <w:lang w:val="pt-PT"/>
        </w:rPr>
        <w:t>DPS</w:t>
      </w:r>
      <w:r>
        <w:rPr>
          <w:sz w:val="20"/>
          <w:szCs w:val="20"/>
          <w:rtl w:val="1"/>
        </w:rPr>
        <w:t>’</w:t>
      </w:r>
      <w:r>
        <w:rPr>
          <w:sz w:val="20"/>
          <w:szCs w:val="20"/>
          <w:rtl w:val="0"/>
        </w:rPr>
        <w: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before="40" w:line="282" w:lineRule="auto"/>
        <w:ind w:left="897" w:right="940" w:firstLine="0"/>
        <w:rPr>
          <w:sz w:val="20"/>
          <w:szCs w:val="20"/>
        </w:rPr>
      </w:pPr>
      <w:r>
        <w:rPr>
          <w:b w:val="1"/>
          <w:bCs w:val="1"/>
          <w:sz w:val="20"/>
          <w:szCs w:val="20"/>
          <w:rtl w:val="0"/>
        </w:rPr>
        <w:t xml:space="preserve">7.3 </w:t>
      </w:r>
      <w:r>
        <w:rPr>
          <w:sz w:val="20"/>
          <w:szCs w:val="20"/>
          <w:rtl w:val="0"/>
          <w:lang w:val="en-US"/>
        </w:rPr>
        <w:t>The Landlord</w:t>
      </w:r>
      <w:r>
        <w:rPr>
          <w:sz w:val="20"/>
          <w:szCs w:val="20"/>
          <w:rtl w:val="1"/>
        </w:rPr>
        <w:t>’</w:t>
      </w:r>
      <w:r>
        <w:rPr>
          <w:sz w:val="20"/>
          <w:szCs w:val="20"/>
          <w:rtl w:val="0"/>
          <w:lang w:val="en-US"/>
        </w:rPr>
        <w:t>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82" w:lineRule="auto"/>
        <w:ind w:left="897" w:right="600" w:firstLine="0"/>
        <w:rPr>
          <w:sz w:val="20"/>
          <w:szCs w:val="20"/>
        </w:rPr>
      </w:pPr>
      <w:r>
        <w:rPr>
          <w:b w:val="1"/>
          <w:bCs w:val="1"/>
          <w:sz w:val="20"/>
          <w:szCs w:val="20"/>
          <w:rtl w:val="0"/>
          <w:lang w:val="it-IT"/>
        </w:rPr>
        <w:t xml:space="preserve">7.4 Custodial Scheme: </w:t>
      </w:r>
      <w:r>
        <w:rPr>
          <w:sz w:val="20"/>
          <w:szCs w:val="20"/>
          <w:rtl w:val="0"/>
          <w:lang w:val="en-US"/>
        </w:rPr>
        <w:t>Any interest earned on the holding of the Deposit will belong to the Deposit Protection Service (</w:t>
      </w:r>
      <w:r>
        <w:rPr>
          <w:sz w:val="20"/>
          <w:szCs w:val="20"/>
          <w:rtl w:val="1"/>
        </w:rPr>
        <w:t>‘</w:t>
      </w:r>
      <w:r>
        <w:rPr>
          <w:sz w:val="20"/>
          <w:szCs w:val="20"/>
          <w:rtl w:val="0"/>
          <w:lang w:val="pt-PT"/>
        </w:rPr>
        <w:t>DPS</w:t>
      </w:r>
      <w:r>
        <w:rPr>
          <w:sz w:val="20"/>
          <w:szCs w:val="20"/>
          <w:rtl w:val="1"/>
        </w:rPr>
        <w:t>’</w:t>
      </w:r>
      <w:r>
        <w:rPr>
          <w:sz w:val="20"/>
          <w:szCs w:val="20"/>
          <w:rtl w:val="0"/>
        </w:rPr>
        <w:t>).</w:t>
      </w:r>
    </w:p>
    <w:p>
      <w:pPr>
        <w:pStyle w:val="Body"/>
        <w:widowControl w:val="1"/>
        <w:spacing w:line="235" w:lineRule="auto"/>
        <w:ind w:left="897" w:firstLine="0"/>
        <w:rPr>
          <w:sz w:val="20"/>
          <w:szCs w:val="20"/>
        </w:rPr>
      </w:pPr>
      <w:r>
        <w:rPr>
          <w:b w:val="1"/>
          <w:bCs w:val="1"/>
          <w:sz w:val="20"/>
          <w:szCs w:val="20"/>
          <w:rtl w:val="0"/>
          <w:lang w:val="en-US"/>
        </w:rPr>
        <w:t xml:space="preserve">Insured Scheme: </w:t>
      </w:r>
      <w:r>
        <w:rPr>
          <w:sz w:val="20"/>
          <w:szCs w:val="20"/>
          <w:rtl w:val="0"/>
          <w:lang w:val="en-US"/>
        </w:rPr>
        <w:t>Any interest earned on the holding of the Deposit will belong to the Landlord or Agent].</w:t>
      </w:r>
    </w:p>
    <w:p>
      <w:pPr>
        <w:pStyle w:val="Body"/>
        <w:widowControl w:val="1"/>
        <w:spacing w:before="120" w:line="288" w:lineRule="auto"/>
        <w:ind w:left="897" w:firstLine="0"/>
        <w:rPr>
          <w:sz w:val="20"/>
          <w:szCs w:val="20"/>
        </w:rPr>
      </w:pPr>
      <w:r>
        <w:rPr>
          <w:b w:val="1"/>
          <w:bCs w:val="1"/>
          <w:sz w:val="20"/>
          <w:szCs w:val="20"/>
          <w:rtl w:val="0"/>
        </w:rPr>
        <w:t xml:space="preserve">7.5 </w:t>
      </w:r>
      <w:r>
        <w:rPr>
          <w:sz w:val="20"/>
          <w:szCs w:val="20"/>
          <w:rtl w:val="0"/>
          <w:lang w:val="en-US"/>
        </w:rPr>
        <w:t>The Deposit has been taken for the following purposes:</w:t>
      </w:r>
    </w:p>
    <w:p>
      <w:pPr>
        <w:pStyle w:val="Body"/>
        <w:widowControl w:val="1"/>
        <w:spacing w:before="100" w:line="282" w:lineRule="auto"/>
        <w:ind w:left="897" w:right="940" w:firstLine="0"/>
        <w:rPr>
          <w:sz w:val="20"/>
          <w:szCs w:val="20"/>
        </w:rPr>
      </w:pPr>
      <w:r>
        <w:rPr>
          <w:b w:val="1"/>
          <w:bCs w:val="1"/>
          <w:sz w:val="20"/>
          <w:szCs w:val="20"/>
          <w:rtl w:val="0"/>
        </w:rPr>
        <w:t>7.5.1</w:t>
      </w:r>
      <w:r>
        <w:rPr>
          <w:sz w:val="20"/>
          <w:szCs w:val="20"/>
          <w:rtl w:val="0"/>
          <w:lang w:val="en-US"/>
        </w:rPr>
        <w:t xml:space="preserve"> Any fees or other monies that the Agent is entitled to recover from the Tenant pursuant to the Agreement.</w:t>
      </w:r>
    </w:p>
    <w:p>
      <w:pPr>
        <w:pStyle w:val="Body"/>
        <w:widowControl w:val="1"/>
        <w:spacing w:before="100" w:line="282" w:lineRule="auto"/>
        <w:ind w:left="897" w:right="120" w:firstLine="0"/>
        <w:rPr>
          <w:outline w:val="0"/>
          <w:color w:val="231f20"/>
          <w:sz w:val="20"/>
          <w:szCs w:val="20"/>
          <w:u w:color="231f20"/>
          <w14:textFill>
            <w14:solidFill>
              <w14:srgbClr w14:val="231F20"/>
            </w14:solidFill>
          </w14:textFill>
        </w:rPr>
      </w:pPr>
      <w:r>
        <w:rPr>
          <w:b w:val="1"/>
          <w:bCs w:val="1"/>
          <w:sz w:val="20"/>
          <w:szCs w:val="20"/>
          <w:rtl w:val="0"/>
        </w:rPr>
        <w:t>7.5.2</w:t>
      </w:r>
      <w:r>
        <w:rPr>
          <w:sz w:val="20"/>
          <w:szCs w:val="20"/>
          <w:rtl w:val="0"/>
          <w:lang w:val="en-US"/>
        </w:rPr>
        <w:t xml:space="preserve"> Any rent or other m</w:t>
      </w:r>
      <w:r>
        <w:rPr>
          <w:outline w:val="0"/>
          <w:color w:val="231f20"/>
          <w:sz w:val="20"/>
          <w:szCs w:val="20"/>
          <w:u w:color="231f20"/>
          <w:rtl w:val="0"/>
          <w:lang w:val="en-US"/>
          <w14:textFill>
            <w14:solidFill>
              <w14:srgbClr w14:val="231F20"/>
            </w14:solidFill>
          </w14:textFill>
        </w:rPr>
        <w:t>oney due or payable by the Tenant under the Tenancy of which the Tenant has been made aware and which remains unpaid after the end of the Tenancy. This will include a fee which any Agent is entitled to recover from the Tenant.</w:t>
      </w:r>
    </w:p>
    <w:p>
      <w:pPr>
        <w:pStyle w:val="Body"/>
        <w:widowControl w:val="1"/>
        <w:spacing w:before="100" w:line="282" w:lineRule="auto"/>
        <w:ind w:left="897" w:right="10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7.5.3</w:t>
      </w:r>
      <w:r>
        <w:rPr>
          <w:outline w:val="0"/>
          <w:color w:val="231f20"/>
          <w:sz w:val="20"/>
          <w:szCs w:val="20"/>
          <w:u w:color="231f20"/>
          <w:rtl w:val="0"/>
          <w:lang w:val="en-US"/>
          <w14:textFill>
            <w14:solidFill>
              <w14:srgbClr w14:val="231F20"/>
            </w14:solidFill>
          </w14:textFill>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pPr>
        <w:pStyle w:val="Body"/>
        <w:widowControl w:val="1"/>
        <w:spacing w:before="100" w:line="282" w:lineRule="auto"/>
        <w:ind w:left="897" w:right="10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7.5.4</w:t>
      </w:r>
      <w:r>
        <w:rPr>
          <w:outline w:val="0"/>
          <w:color w:val="231f20"/>
          <w:sz w:val="20"/>
          <w:szCs w:val="20"/>
          <w:u w:color="231f20"/>
          <w:rtl w:val="0"/>
          <w:lang w:val="en-US"/>
          <w14:textFill>
            <w14:solidFill>
              <w14:srgbClr w14:val="231F20"/>
            </w14:solidFill>
          </w14:textFill>
        </w:rPr>
        <w:t xml:space="preserve"> The reasonable costs incurred in compensating the Landlord for, or for rectifying or remedying any major breach by the Tenant of the Tenant</w:t>
      </w:r>
      <w:r>
        <w:rPr>
          <w:outline w:val="0"/>
          <w:color w:val="231f20"/>
          <w:sz w:val="20"/>
          <w:szCs w:val="20"/>
          <w:u w:color="231f20"/>
          <w:rtl w:val="1"/>
          <w14:textFill>
            <w14:solidFill>
              <w14:srgbClr w14:val="231F20"/>
            </w14:solidFill>
          </w14:textFill>
        </w:rPr>
        <w:t>’</w:t>
      </w:r>
      <w:r>
        <w:rPr>
          <w:outline w:val="0"/>
          <w:color w:val="231f20"/>
          <w:sz w:val="20"/>
          <w:szCs w:val="20"/>
          <w:u w:color="231f20"/>
          <w:rtl w:val="0"/>
          <w:lang w:val="en-US"/>
          <w14:textFill>
            <w14:solidFill>
              <w14:srgbClr w14:val="231F20"/>
            </w14:solidFill>
          </w14:textFill>
        </w:rPr>
        <w:t>s obligations under the Agreement, including those relating to the cleaning of the Premises and its Fixtures and Fittings, and contents.</w:t>
      </w:r>
    </w:p>
    <w:p>
      <w:pPr>
        <w:pStyle w:val="Body"/>
        <w:widowControl w:val="1"/>
        <w:spacing w:before="100" w:line="282" w:lineRule="auto"/>
        <w:ind w:left="897" w:right="14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7.5.5</w:t>
      </w:r>
      <w:r>
        <w:rPr>
          <w:outline w:val="0"/>
          <w:color w:val="231f20"/>
          <w:sz w:val="20"/>
          <w:szCs w:val="20"/>
          <w:u w:color="231f20"/>
          <w:rtl w:val="0"/>
          <w:lang w:val="en-US"/>
          <w14:textFill>
            <w14:solidFill>
              <w14:srgbClr w14:val="231F20"/>
            </w14:solidFill>
          </w14:textFill>
        </w:rPr>
        <w:t xml:space="preserve"> Any unpaid accounts for utilities or water charges or environmental services or other similar services or Council Tax incurred at the Premises for which the Tenant is liable.</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before="40" w:line="282" w:lineRule="auto"/>
        <w:ind w:left="897" w:right="680" w:firstLine="0"/>
        <w:rPr>
          <w:b w:val="1"/>
          <w:bCs w:val="1"/>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en-US"/>
          <w14:textFill>
            <w14:solidFill>
              <w14:srgbClr w14:val="231F20"/>
            </w14:solidFill>
          </w14:textFill>
        </w:rPr>
        <w:t>Note: Adjudicators will consider claims against the Deposit in the order set out in the Tenancy Agreement.</w:t>
      </w:r>
    </w:p>
    <w:p>
      <w:pPr>
        <w:pStyle w:val="Body"/>
        <w:widowControl w:val="1"/>
        <w:spacing w:line="288" w:lineRule="auto"/>
        <w:ind w:left="897" w:firstLine="0"/>
        <w:rPr>
          <w:b w:val="1"/>
          <w:bCs w:val="1"/>
          <w:sz w:val="20"/>
          <w:szCs w:val="20"/>
        </w:rPr>
      </w:pPr>
      <w:r>
        <w:rPr>
          <w:b w:val="1"/>
          <w:bCs w:val="1"/>
          <w:sz w:val="20"/>
          <w:szCs w:val="20"/>
          <w:rtl w:val="0"/>
        </w:rPr>
        <w:t xml:space="preserve"> </w:t>
      </w:r>
    </w:p>
    <w:p>
      <w:pPr>
        <w:pStyle w:val="Body"/>
        <w:widowControl w:val="1"/>
        <w:spacing w:before="40" w:line="288" w:lineRule="auto"/>
        <w:ind w:left="897"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 xml:space="preserve">7.6 </w:t>
      </w:r>
      <w:r>
        <w:rPr>
          <w:outline w:val="0"/>
          <w:color w:val="231f20"/>
          <w:sz w:val="20"/>
          <w:szCs w:val="20"/>
          <w:u w:color="231f20"/>
          <w:rtl w:val="0"/>
          <w:lang w:val="en-US"/>
          <w14:textFill>
            <w14:solidFill>
              <w14:srgbClr w14:val="231F20"/>
            </w14:solidFill>
          </w14:textFill>
        </w:rPr>
        <w:t>Protection of the Deposit: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82" w:lineRule="auto"/>
        <w:ind w:left="897" w:right="4020"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The Deposit Protection Service (DPS) The Pavilions</w:t>
      </w:r>
    </w:p>
    <w:p>
      <w:pPr>
        <w:pStyle w:val="Body"/>
        <w:widowControl w:val="1"/>
        <w:spacing w:line="282" w:lineRule="auto"/>
        <w:ind w:left="897" w:right="5440"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Bridgwater Road Bristol</w:t>
      </w:r>
    </w:p>
    <w:p>
      <w:pPr>
        <w:pStyle w:val="Body"/>
        <w:widowControl w:val="1"/>
        <w:spacing w:line="235" w:lineRule="auto"/>
        <w:ind w:left="897"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BS13 8AE</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35" w:lineRule="auto"/>
        <w:ind w:left="897" w:firstLine="0"/>
        <w:rPr>
          <w:outline w:val="0"/>
          <w:color w:val="231f20"/>
          <w:sz w:val="20"/>
          <w:szCs w:val="20"/>
          <w:u w:color="231f20"/>
          <w14:textFill>
            <w14:solidFill>
              <w14:srgbClr w14:val="231F20"/>
            </w14:solidFill>
          </w14:textFill>
        </w:rPr>
      </w:pPr>
      <w:r>
        <w:rPr>
          <w:outline w:val="0"/>
          <w:color w:val="231f20"/>
          <w:sz w:val="20"/>
          <w:szCs w:val="20"/>
          <w:u w:color="231f20"/>
          <w:rtl w:val="0"/>
          <w:lang w:val="it-IT"/>
          <w14:textFill>
            <w14:solidFill>
              <w14:srgbClr w14:val="231F20"/>
            </w14:solidFill>
          </w14:textFill>
        </w:rPr>
        <w:t>Phone: 0330 303 0030</w:t>
      </w:r>
    </w:p>
    <w:p>
      <w:pPr>
        <w:pStyle w:val="Body"/>
        <w:widowControl w:val="1"/>
        <w:spacing w:line="235" w:lineRule="auto"/>
        <w:ind w:left="897" w:firstLine="0"/>
        <w:rPr>
          <w:rStyle w:val="Hyperlink.0"/>
        </w:rPr>
      </w:pPr>
      <w:r>
        <w:rPr>
          <w:outline w:val="0"/>
          <w:color w:val="231f20"/>
          <w:sz w:val="20"/>
          <w:szCs w:val="20"/>
          <w:u w:color="231f20"/>
          <w:rtl w:val="0"/>
          <w:lang w:val="en-US"/>
          <w14:textFill>
            <w14:solidFill>
              <w14:srgbClr w14:val="231F20"/>
            </w14:solidFill>
          </w14:textFill>
        </w:rPr>
        <w:t xml:space="preserve">Website: </w:t>
      </w:r>
      <w:r>
        <w:rPr>
          <w:rStyle w:val="Hyperlink.0"/>
        </w:rPr>
        <w:fldChar w:fldCharType="begin" w:fldLock="0"/>
      </w:r>
      <w:r>
        <w:rPr>
          <w:rStyle w:val="Hyperlink.0"/>
        </w:rPr>
        <w:instrText xml:space="preserve"> HYPERLINK "http://www.depositprotection.com/"</w:instrText>
      </w:r>
      <w:r>
        <w:rPr>
          <w:rStyle w:val="Hyperlink.0"/>
        </w:rPr>
        <w:fldChar w:fldCharType="separate" w:fldLock="0"/>
      </w:r>
      <w:r>
        <w:rPr>
          <w:rStyle w:val="Hyperlink.0"/>
          <w:rtl w:val="0"/>
          <w:lang w:val="en-US"/>
        </w:rPr>
        <w:t>www.depositprotection.com</w:t>
      </w:r>
      <w:r>
        <w:rPr/>
        <w:fldChar w:fldCharType="end" w:fldLock="0"/>
      </w:r>
    </w:p>
    <w:p>
      <w:pPr>
        <w:pStyle w:val="Body"/>
        <w:widowControl w:val="1"/>
        <w:spacing w:line="288" w:lineRule="auto"/>
        <w:rPr>
          <w:rStyle w:val="None"/>
          <w:sz w:val="20"/>
          <w:szCs w:val="20"/>
        </w:rPr>
      </w:pPr>
      <w:r>
        <w:rPr>
          <w:rStyle w:val="None"/>
          <w:sz w:val="20"/>
          <w:szCs w:val="20"/>
          <w:rtl w:val="0"/>
        </w:rPr>
        <w:t xml:space="preserve"> </w:t>
      </w:r>
    </w:p>
    <w:p>
      <w:pPr>
        <w:pStyle w:val="Body"/>
        <w:widowControl w:val="1"/>
        <w:spacing w:before="40" w:line="288" w:lineRule="auto"/>
        <w:ind w:left="897"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7.7 </w:t>
      </w:r>
      <w:r>
        <w:rPr>
          <w:rStyle w:val="None"/>
          <w:outline w:val="0"/>
          <w:color w:val="231f20"/>
          <w:sz w:val="20"/>
          <w:szCs w:val="20"/>
          <w:u w:color="231f20"/>
          <w:rtl w:val="0"/>
          <w:lang w:val="en-US"/>
          <w14:textFill>
            <w14:solidFill>
              <w14:srgbClr w14:val="231F20"/>
            </w14:solidFill>
          </w14:textFill>
        </w:rPr>
        <w:t>At the end of the Tenancy:</w:t>
      </w:r>
    </w:p>
    <w:p>
      <w:pPr>
        <w:pStyle w:val="Body"/>
        <w:widowControl w:val="1"/>
        <w:spacing w:before="100" w:line="282" w:lineRule="auto"/>
        <w:ind w:left="897" w:right="46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7.7.1</w:t>
      </w:r>
      <w:r>
        <w:rPr>
          <w:rStyle w:val="None"/>
          <w:outline w:val="0"/>
          <w:color w:val="231f20"/>
          <w:sz w:val="20"/>
          <w:szCs w:val="20"/>
          <w:u w:color="231f20"/>
          <w:rtl w:val="0"/>
          <w:lang w:val="en-US"/>
          <w14:textFill>
            <w14:solidFill>
              <w14:srgbClr w14:val="231F20"/>
            </w14:solidFill>
          </w14:textFill>
        </w:rPr>
        <w:t xml:space="preserve"> The Landlord/Agent must tell the Tenant within ten working days of the end of the Tenancy if they propose to make any deductions from the Deposit.</w:t>
      </w:r>
    </w:p>
    <w:p>
      <w:pPr>
        <w:pStyle w:val="Body"/>
        <w:widowControl w:val="1"/>
        <w:spacing w:before="100" w:line="282" w:lineRule="auto"/>
        <w:ind w:left="897" w:right="32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7.7.2</w:t>
      </w:r>
      <w:r>
        <w:rPr>
          <w:rStyle w:val="None"/>
          <w:outline w:val="0"/>
          <w:color w:val="231f20"/>
          <w:sz w:val="20"/>
          <w:szCs w:val="20"/>
          <w:u w:color="231f20"/>
          <w:rtl w:val="0"/>
          <w:lang w:val="en-US"/>
          <w14:textFill>
            <w14:solidFill>
              <w14:srgbClr w14:val="231F20"/>
            </w14:solidFill>
          </w14:textFill>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pPr>
        <w:pStyle w:val="Body"/>
        <w:widowControl w:val="1"/>
        <w:spacing w:before="100" w:line="282" w:lineRule="auto"/>
        <w:ind w:left="897" w:right="12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7.7.3</w:t>
      </w:r>
      <w:r>
        <w:rPr>
          <w:rStyle w:val="None"/>
          <w:outline w:val="0"/>
          <w:color w:val="231f20"/>
          <w:sz w:val="20"/>
          <w:szCs w:val="20"/>
          <w:u w:color="231f20"/>
          <w:rtl w:val="0"/>
          <w:lang w:val="en-US"/>
          <w14:textFill>
            <w14:solidFill>
              <w14:srgbClr w14:val="231F20"/>
            </w14:solidFill>
          </w14:textFill>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Pr>
          <w:rStyle w:val="None"/>
          <w:b w:val="1"/>
          <w:bCs w:val="1"/>
          <w:outline w:val="0"/>
          <w:color w:val="231f20"/>
          <w:sz w:val="20"/>
          <w:szCs w:val="20"/>
          <w:u w:color="231f20"/>
          <w:rtl w:val="0"/>
          <w14:textFill>
            <w14:solidFill>
              <w14:srgbClr w14:val="231F20"/>
            </w14:solidFill>
          </w14:textFill>
        </w:rPr>
        <w:t>7.7.4</w:t>
      </w:r>
      <w:r>
        <w:rPr>
          <w:rStyle w:val="None"/>
          <w:outline w:val="0"/>
          <w:color w:val="231f20"/>
          <w:sz w:val="20"/>
          <w:szCs w:val="20"/>
          <w:u w:color="231f20"/>
          <w:rtl w:val="0"/>
          <w:lang w:val="en-US"/>
          <w14:textFill>
            <w14:solidFill>
              <w14:srgbClr w14:val="231F20"/>
            </w14:solidFill>
          </w14:textFill>
        </w:rPr>
        <w:t>. The Independent Case Examiner (</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14:textFill>
            <w14:solidFill>
              <w14:srgbClr w14:val="231F20"/>
            </w14:solidFill>
          </w14:textFill>
        </w:rPr>
        <w:t>ICE</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 may regard failure to comply with the time-limit as a breach of the rules of The DPS and if later asked to resolve any dispute, the ICE may refuse to adjudicate in the matter.</w:t>
      </w:r>
    </w:p>
    <w:p>
      <w:pPr>
        <w:pStyle w:val="Body"/>
        <w:widowControl w:val="1"/>
        <w:spacing w:before="100" w:line="282" w:lineRule="auto"/>
        <w:ind w:left="897" w:right="220" w:firstLine="0"/>
        <w:jc w:val="both"/>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7.7.5</w:t>
      </w:r>
      <w:r>
        <w:rPr>
          <w:rStyle w:val="None"/>
          <w:outline w:val="0"/>
          <w:color w:val="231f20"/>
          <w:sz w:val="20"/>
          <w:szCs w:val="20"/>
          <w:u w:color="231f20"/>
          <w:rtl w:val="0"/>
          <w:lang w:val="en-US"/>
          <w14:textFill>
            <w14:solidFill>
              <w14:srgbClr w14:val="231F20"/>
            </w14:solidFill>
          </w14:textFill>
        </w:rPr>
        <w:t xml:space="preserve"> In the event of multiple Tenants comprising the Tenant, each of them agrees with the other(s) that any one of them may consent on behalf of all the others to use alternative dispute resolution through The DPS to deal with any dispute about the Deposit at the end of the Tenancy.</w:t>
      </w:r>
    </w:p>
    <w:p>
      <w:pPr>
        <w:pStyle w:val="Body"/>
        <w:widowControl w:val="1"/>
        <w:spacing w:before="100" w:line="282" w:lineRule="auto"/>
        <w:ind w:left="897" w:right="14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7.7.6 </w:t>
      </w:r>
      <w:r>
        <w:rPr>
          <w:rStyle w:val="None"/>
          <w:outline w:val="0"/>
          <w:color w:val="231f20"/>
          <w:sz w:val="20"/>
          <w:szCs w:val="20"/>
          <w:u w:color="231f20"/>
          <w:rtl w:val="0"/>
          <w:lang w:val="en-US"/>
          <w14:textFill>
            <w14:solidFill>
              <w14:srgbClr w14:val="231F20"/>
            </w14:solidFill>
          </w14:textFill>
        </w:rPr>
        <w:t>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pPr>
        <w:pStyle w:val="Body"/>
        <w:widowControl w:val="1"/>
        <w:spacing w:before="100" w:line="282" w:lineRule="auto"/>
        <w:ind w:left="897" w:right="280" w:firstLine="0"/>
        <w:jc w:val="both"/>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7.7.7 </w:t>
      </w:r>
      <w:r>
        <w:rPr>
          <w:rStyle w:val="None"/>
          <w:outline w:val="0"/>
          <w:color w:val="231f20"/>
          <w:sz w:val="20"/>
          <w:szCs w:val="20"/>
          <w:u w:color="231f20"/>
          <w:rtl w:val="0"/>
          <w:lang w:val="en-US"/>
          <w14:textFill>
            <w14:solidFill>
              <w14:srgbClr w14:val="231F20"/>
            </w14:solidFill>
          </w14:textFill>
        </w:rPr>
        <w:t>The rights of the Landlord, the Agent and of the Tenant to take legal action through the County Court remain unaffected by clause 7.7.5 above.</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before="40" w:line="282" w:lineRule="auto"/>
        <w:ind w:left="897" w:right="24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7.8 </w:t>
      </w:r>
      <w:r>
        <w:rPr>
          <w:rStyle w:val="None"/>
          <w:outline w:val="0"/>
          <w:color w:val="231f20"/>
          <w:sz w:val="20"/>
          <w:szCs w:val="20"/>
          <w:u w:color="231f20"/>
          <w:rtl w:val="0"/>
          <w:lang w:val="en-US"/>
          <w14:textFill>
            <w14:solidFill>
              <w14:srgbClr w14:val="231F20"/>
            </w14:solidFill>
          </w14:textFill>
        </w:rPr>
        <w:t>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before="40" w:line="282" w:lineRule="auto"/>
        <w:ind w:left="897" w:right="16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7.9 </w:t>
      </w:r>
      <w:r>
        <w:rPr>
          <w:rStyle w:val="None"/>
          <w:outline w:val="0"/>
          <w:color w:val="231f20"/>
          <w:sz w:val="20"/>
          <w:szCs w:val="20"/>
          <w:u w:color="231f20"/>
          <w:rtl w:val="0"/>
          <w:lang w:val="en-US"/>
          <w14:textFill>
            <w14:solidFill>
              <w14:srgbClr w14:val="231F20"/>
            </w14:solidFill>
          </w14:textFill>
        </w:rPr>
        <w:t xml:space="preserve">The Landlord shall not be obliged to refund the Deposit or any part of the Deposit on any change in the person or persons who for the time being comprise </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the Tenant</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14:textFill>
            <w14:solidFill>
              <w14:srgbClr w14:val="231F20"/>
            </w14:solidFill>
          </w14:textFill>
        </w:rPr>
        <w:t>.</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line="282" w:lineRule="auto"/>
        <w:ind w:left="897" w:right="10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7.10 </w:t>
      </w:r>
      <w:r>
        <w:rPr>
          <w:rStyle w:val="None"/>
          <w:outline w:val="0"/>
          <w:color w:val="231f20"/>
          <w:sz w:val="20"/>
          <w:szCs w:val="20"/>
          <w:u w:color="231f20"/>
          <w:rtl w:val="0"/>
          <w:lang w:val="en-US"/>
          <w14:textFill>
            <w14:solidFill>
              <w14:srgbClr w14:val="231F20"/>
            </w14:solidFill>
          </w14:textFill>
        </w:rPr>
        <w:t>Where more than one person is comprised for the time being in the expression 'the Tenant', the Deposit may be repaid to any one Tenant and this repayment shall discharge the Landlord from any further liability in respect of the amount so repaid.</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line="282" w:lineRule="auto"/>
        <w:ind w:left="897" w:right="20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7.11 </w:t>
      </w:r>
      <w:r>
        <w:rPr>
          <w:rStyle w:val="None"/>
          <w:outline w:val="0"/>
          <w:color w:val="231f20"/>
          <w:sz w:val="20"/>
          <w:szCs w:val="20"/>
          <w:u w:color="231f20"/>
          <w:rtl w:val="0"/>
          <w:lang w:val="en-US"/>
          <w14:textFill>
            <w14:solidFill>
              <w14:srgbClr w14:val="231F20"/>
            </w14:solidFill>
          </w14:textFill>
        </w:rPr>
        <w:t>Any goods or personal effects belonging to the Tenant or members of the Tenant</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pPr>
        <w:pStyle w:val="Body"/>
        <w:widowControl w:val="1"/>
        <w:spacing w:line="282" w:lineRule="auto"/>
        <w:ind w:left="897" w:firstLine="0"/>
        <w:rPr>
          <w:rStyle w:val="None"/>
          <w:outline w:val="0"/>
          <w:color w:val="231f20"/>
          <w:sz w:val="20"/>
          <w:szCs w:val="20"/>
          <w:u w:color="231f20"/>
          <w14:textFill>
            <w14:solidFill>
              <w14:srgbClr w14:val="231F20"/>
            </w14:solidFill>
          </w14:textFill>
        </w:rPr>
      </w:pPr>
      <w:r>
        <w:rPr>
          <w:rStyle w:val="None"/>
          <w:outline w:val="0"/>
          <w:color w:val="231f20"/>
          <w:sz w:val="20"/>
          <w:szCs w:val="20"/>
          <w:u w:color="231f20"/>
          <w:rtl w:val="0"/>
          <w:lang w:val="en-US"/>
          <w14:textFill>
            <w14:solidFill>
              <w14:srgbClr w14:val="231F20"/>
            </w14:solidFill>
          </w14:textFill>
        </w:rPr>
        <w:t>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pPr>
        <w:pStyle w:val="Body"/>
        <w:widowControl w:val="1"/>
        <w:spacing w:before="100" w:line="282" w:lineRule="auto"/>
        <w:ind w:left="897" w:right="28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7.11.1</w:t>
      </w:r>
      <w:r>
        <w:rPr>
          <w:rStyle w:val="None"/>
          <w:outline w:val="0"/>
          <w:color w:val="231f20"/>
          <w:sz w:val="20"/>
          <w:szCs w:val="20"/>
          <w:u w:color="231f20"/>
          <w:rtl w:val="0"/>
          <w:lang w:val="en-US"/>
          <w14:textFill>
            <w14:solidFill>
              <w14:srgbClr w14:val="231F20"/>
            </w14:solidFill>
          </w14:textFill>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Pr>
          <w:rStyle w:val="None"/>
          <w:outline w:val="0"/>
          <w:color w:val="231f20"/>
          <w:sz w:val="20"/>
          <w:szCs w:val="20"/>
          <w:u w:color="231f20"/>
          <w:rtl w:val="0"/>
          <w14:textFill>
            <w14:solidFill>
              <w14:srgbClr w14:val="231F20"/>
            </w14:solidFill>
          </w14:textFill>
        </w:rPr>
        <w:t>”</w:t>
      </w:r>
    </w:p>
    <w:p>
      <w:pPr>
        <w:pStyle w:val="Body"/>
        <w:widowControl w:val="1"/>
        <w:spacing w:line="276" w:lineRule="auto"/>
        <w:ind w:left="897" w:firstLine="0"/>
        <w:rPr>
          <w:rStyle w:val="None"/>
          <w:sz w:val="20"/>
          <w:szCs w:val="20"/>
        </w:rPr>
      </w:pPr>
    </w:p>
    <w:p>
      <w:pPr>
        <w:pStyle w:val="Body"/>
        <w:widowControl w:val="1"/>
        <w:spacing w:line="276" w:lineRule="auto"/>
        <w:ind w:left="897" w:firstLine="0"/>
        <w:sectPr>
          <w:headerReference w:type="default" r:id="rId8"/>
          <w:pgSz w:w="11920" w:h="16840" w:orient="portrait"/>
          <w:pgMar w:top="1200" w:right="1180" w:bottom="1220" w:left="1200" w:header="0" w:footer="1024"/>
          <w:bidi w:val="0"/>
        </w:sectPr>
      </w:pPr>
    </w:p>
    <w:p>
      <w:pPr>
        <w:pStyle w:val="Heading 2"/>
        <w:numPr>
          <w:ilvl w:val="0"/>
          <w:numId w:val="13"/>
        </w:numPr>
        <w:spacing w:before="41"/>
        <w:rPr>
          <w:lang w:val="en-US"/>
        </w:rPr>
      </w:pPr>
      <w:r>
        <w:rPr>
          <w:rStyle w:val="None"/>
          <w:rFonts w:ascii="Calibri" w:hAnsi="Calibri"/>
          <w:outline w:val="0"/>
          <w:color w:val="231f20"/>
          <w:u w:color="231f20"/>
          <w:rtl w:val="0"/>
          <w:lang w:val="en-US"/>
          <w14:textFill>
            <w14:solidFill>
              <w14:srgbClr w14:val="231F20"/>
            </w14:solidFill>
          </w14:textFill>
        </w:rPr>
        <w:t>The Tenant agrees with the Landlord as follows:</w:t>
      </w:r>
    </w:p>
    <w:p>
      <w:pPr>
        <w:pStyle w:val="Body"/>
        <w:spacing w:before="8"/>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4"/>
        <w:numPr>
          <w:ilvl w:val="1"/>
          <w:numId w:val="13"/>
        </w:numPr>
        <w:spacing w:before="1"/>
        <w:rPr>
          <w:lang w:val="en-US"/>
        </w:rPr>
      </w:pPr>
      <w:r>
        <w:rPr>
          <w:rStyle w:val="None"/>
          <w:outline w:val="0"/>
          <w:color w:val="231f20"/>
          <w:u w:color="231f20"/>
          <w:rtl w:val="0"/>
          <w:lang w:val="en-US"/>
          <w14:textFill>
            <w14:solidFill>
              <w14:srgbClr w14:val="231F20"/>
            </w14:solidFill>
          </w14:textFill>
        </w:rPr>
        <w:t>Rent</w:t>
      </w:r>
    </w:p>
    <w:p>
      <w:pPr>
        <w:pStyle w:val="Body"/>
        <w:numPr>
          <w:ilvl w:val="2"/>
          <w:numId w:val="13"/>
        </w:numPr>
        <w:bidi w:val="0"/>
        <w:spacing w:before="145" w:line="235" w:lineRule="auto"/>
        <w:ind w:right="85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pay the rent according to the terms of this Agreement whether formally demanded or not in accordance with clause 3.</w:t>
      </w:r>
    </w:p>
    <w:p>
      <w:pPr>
        <w:pStyle w:val="Body"/>
        <w:numPr>
          <w:ilvl w:val="2"/>
          <w:numId w:val="13"/>
        </w:numPr>
        <w:bidi w:val="0"/>
        <w:spacing w:before="133" w:line="235" w:lineRule="auto"/>
        <w:ind w:right="2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Tenant shall pay to the Landlord interest at the rate of 3% per annum above the Bank of England base rate from time to time on any rent or other money payable under this Agreement remaining unpaid for more than </w:t>
      </w:r>
      <w:r>
        <w:rPr>
          <w:rStyle w:val="None"/>
          <w:b w:val="1"/>
          <w:bCs w:val="1"/>
          <w:caps w:val="0"/>
          <w:smallCaps w:val="0"/>
          <w:strike w:val="0"/>
          <w:dstrike w:val="0"/>
          <w:outline w:val="0"/>
          <w:color w:val="231f20"/>
          <w:sz w:val="20"/>
          <w:szCs w:val="20"/>
          <w:u w:val="none" w:color="231f20"/>
          <w:vertAlign w:val="baseline"/>
          <w:rtl w:val="0"/>
          <w14:textFill>
            <w14:solidFill>
              <w14:srgbClr w14:val="231F20"/>
            </w14:solidFill>
          </w14:textFill>
        </w:rPr>
        <w:t xml:space="preserve">14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days after the day on which it became due.</w:t>
      </w:r>
    </w:p>
    <w:p>
      <w:pPr>
        <w:pStyle w:val="Body"/>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Conditions of Premises, repair and cleaning</w:t>
      </w:r>
    </w:p>
    <w:p>
      <w:pPr>
        <w:pStyle w:val="Body"/>
        <w:numPr>
          <w:ilvl w:val="2"/>
          <w:numId w:val="13"/>
        </w:numPr>
        <w:bidi w:val="0"/>
        <w:spacing w:before="146" w:line="235" w:lineRule="auto"/>
        <w:ind w:right="37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p>
    <w:p>
      <w:pPr>
        <w:pStyle w:val="Body"/>
        <w:numPr>
          <w:ilvl w:val="2"/>
          <w:numId w:val="13"/>
        </w:numPr>
        <w:bidi w:val="0"/>
        <w:spacing w:before="136" w:line="235" w:lineRule="auto"/>
        <w:ind w:right="16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and to deliver all keys to the Premises to the Landlord</w:t>
      </w:r>
      <w:r>
        <w:rPr>
          <w:rStyle w:val="None"/>
          <w:outline w:val="0"/>
          <w:color w:val="231f20"/>
          <w:sz w:val="20"/>
          <w:szCs w:val="20"/>
          <w:u w:color="231f20"/>
          <w:rtl w:val="0"/>
          <w14:textFill>
            <w14:solidFill>
              <w14:srgbClr w14:val="231F20"/>
            </w14:solidFill>
          </w14:textFill>
        </w:rPr>
        <w:t>.</w:t>
      </w:r>
    </w:p>
    <w:p>
      <w:pPr>
        <w:pStyle w:val="Body"/>
        <w:numPr>
          <w:ilvl w:val="2"/>
          <w:numId w:val="13"/>
        </w:numPr>
        <w:bidi w:val="0"/>
        <w:spacing w:before="135"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p>
    <w:p>
      <w:pPr>
        <w:pStyle w:val="Body"/>
        <w:numPr>
          <w:ilvl w:val="2"/>
          <w:numId w:val="13"/>
        </w:numPr>
        <w:bidi w:val="0"/>
        <w:spacing w:before="134" w:line="235" w:lineRule="auto"/>
        <w:ind w:right="26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all electric lights in good working order and in particular to replace all fuses, bulbs, fluorescent tubes and fluorescent starter switches as and when necessary.</w:t>
      </w:r>
    </w:p>
    <w:p>
      <w:pPr>
        <w:pStyle w:val="Body"/>
        <w:numPr>
          <w:ilvl w:val="2"/>
          <w:numId w:val="13"/>
        </w:numPr>
        <w:bidi w:val="0"/>
        <w:spacing w:before="132" w:line="235" w:lineRule="auto"/>
        <w:ind w:right="39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replace all broken glass in the Premises promptly with the same quality glass, where the Tenant or any person who is residing or sleeping in or visiting the Premises causes the breakage.</w:t>
      </w:r>
    </w:p>
    <w:p>
      <w:pPr>
        <w:pStyle w:val="Body"/>
        <w:numPr>
          <w:ilvl w:val="2"/>
          <w:numId w:val="13"/>
        </w:numPr>
        <w:bidi w:val="0"/>
        <w:spacing w:before="133" w:line="235" w:lineRule="auto"/>
        <w:ind w:right="31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the Landlord</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promptly, and preferably in writing, as soon as any repairs and other matters falling within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to repair the Premises or the Fixtures and Fittings come to the notice of the Tenant.</w:t>
      </w:r>
    </w:p>
    <w:p>
      <w:pPr>
        <w:pStyle w:val="Body"/>
        <w:numPr>
          <w:ilvl w:val="2"/>
          <w:numId w:val="13"/>
        </w:numPr>
        <w:bidi w:val="0"/>
        <w:spacing w:before="133" w:line="235" w:lineRule="auto"/>
        <w:ind w:right="22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Upon the Landlord</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giving the Tenant written notice requiring the Tenant to carry out any repairs or other works for which the Tenant is responsible under this Agreement, to carry out the same within a reasonable time.</w:t>
      </w:r>
    </w:p>
    <w:p>
      <w:pPr>
        <w:pStyle w:val="Body"/>
        <w:numPr>
          <w:ilvl w:val="2"/>
          <w:numId w:val="14"/>
        </w:numPr>
        <w:bidi w:val="0"/>
        <w:spacing w:before="130"/>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windows of the Premises clean.</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wash and clean all items that may have become soiled during the Term.</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take all appropriate precautions to ensure adequate ventilation to the Premises.</w:t>
      </w:r>
    </w:p>
    <w:p>
      <w:pPr>
        <w:pStyle w:val="Body"/>
        <w:numPr>
          <w:ilvl w:val="2"/>
          <w:numId w:val="15"/>
        </w:numPr>
        <w:bidi w:val="0"/>
        <w:spacing w:before="131" w:line="235" w:lineRule="auto"/>
        <w:ind w:right="32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for the emptying of the septic tank or cess pit throughout the Tenancy and at the end of the Tenancy provided it has been emptied prior to the start of the Tenancy and proof has been provided by a copy of an invoice from the service provider.</w:t>
      </w:r>
    </w:p>
    <w:p>
      <w:pPr>
        <w:pStyle w:val="Body"/>
        <w:numPr>
          <w:ilvl w:val="2"/>
          <w:numId w:val="13"/>
        </w:numPr>
        <w:bidi w:val="0"/>
        <w:spacing w:before="133" w:line="235" w:lineRule="auto"/>
        <w:ind w:right="259"/>
        <w:jc w:val="left"/>
        <w:rPr>
          <w:sz w:val="20"/>
          <w:szCs w:val="20"/>
          <w:rtl w:val="0"/>
          <w:lang w:val="en-US"/>
        </w:rPr>
        <w:sectPr>
          <w:headerReference w:type="default" r:id="rId9"/>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to have the oil tanks filled throughout the Tenancy and at the end of the Tenancy provided they were all filled prior to the start of the Tenancy and proof has been provided by a copy of an invoice from the service provider.</w:t>
      </w:r>
    </w:p>
    <w:p>
      <w:pPr>
        <w:pStyle w:val="Body"/>
        <w:numPr>
          <w:ilvl w:val="2"/>
          <w:numId w:val="16"/>
        </w:numPr>
        <w:bidi w:val="0"/>
        <w:spacing w:before="49" w:line="235" w:lineRule="auto"/>
        <w:ind w:right="142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leave the oil tank filled to the same level at the end of the Tenancy as at the commencement.</w:t>
      </w:r>
    </w:p>
    <w:p>
      <w:pPr>
        <w:pStyle w:val="Body"/>
        <w:numPr>
          <w:ilvl w:val="2"/>
          <w:numId w:val="14"/>
        </w:numPr>
        <w:bidi w:val="0"/>
        <w:spacing w:before="129"/>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to have the oil system and boiler bled if the Tenant allows the oil supply to run out.</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clean and disinfect any and all showerheads in the Premises every six months.</w:t>
      </w:r>
    </w:p>
    <w:p>
      <w:pPr>
        <w:pStyle w:val="Body"/>
        <w:spacing w:before="6"/>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7"/>
        </w:numPr>
        <w:spacing w:before="59"/>
        <w:rPr>
          <w:lang w:val="en-US"/>
        </w:rPr>
      </w:pPr>
      <w:r>
        <w:rPr>
          <w:rStyle w:val="None"/>
          <w:outline w:val="0"/>
          <w:color w:val="231f20"/>
          <w:u w:color="231f20"/>
          <w:rtl w:val="0"/>
          <w:lang w:val="en-US"/>
          <w14:textFill>
            <w14:solidFill>
              <w14:srgbClr w14:val="231F20"/>
            </w14:solidFill>
          </w14:textFill>
        </w:rPr>
        <w:t>Access and inspection</w:t>
      </w:r>
    </w:p>
    <w:p>
      <w:pPr>
        <w:pStyle w:val="Body"/>
        <w:numPr>
          <w:ilvl w:val="2"/>
          <w:numId w:val="13"/>
        </w:numPr>
        <w:bidi w:val="0"/>
        <w:spacing w:before="146" w:line="235" w:lineRule="auto"/>
        <w:ind w:right="45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permit the Landlord, or any superior Landlord, or contractors or those authorised by the Landlord, upon giving at least 24 hours</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notice in writing (except in an emergency) to enter the Premises at all reasonable times for the purpose of inspection and repair, to include inspection and repair to any adjoining or neighbouring Premises.</w:t>
      </w:r>
    </w:p>
    <w:p>
      <w:pPr>
        <w:pStyle w:val="Body"/>
        <w:numPr>
          <w:ilvl w:val="2"/>
          <w:numId w:val="15"/>
        </w:numPr>
        <w:bidi w:val="0"/>
        <w:spacing w:before="134" w:line="235" w:lineRule="auto"/>
        <w:ind w:right="413"/>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p>
    <w:p>
      <w:pPr>
        <w:pStyle w:val="Body"/>
        <w:numPr>
          <w:ilvl w:val="2"/>
          <w:numId w:val="13"/>
        </w:numPr>
        <w:bidi w:val="0"/>
        <w:spacing w:before="134" w:line="235" w:lineRule="auto"/>
        <w:ind w:right="23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indemnify the Landlord for any loss incurred by the Landlord as a result of the Tenant failing to keep a previously agreed appointment with any third party at the Premises.</w:t>
      </w:r>
    </w:p>
    <w:p>
      <w:pPr>
        <w:pStyle w:val="heading 4"/>
        <w:numPr>
          <w:ilvl w:val="1"/>
          <w:numId w:val="13"/>
        </w:numPr>
        <w:spacing w:before="129"/>
        <w:rPr>
          <w:lang w:val="en-US"/>
        </w:rPr>
      </w:pPr>
      <w:r>
        <w:rPr>
          <w:rStyle w:val="None"/>
          <w:outline w:val="0"/>
          <w:color w:val="231f20"/>
          <w:u w:color="231f20"/>
          <w:rtl w:val="0"/>
          <w:lang w:val="en-US"/>
          <w14:textFill>
            <w14:solidFill>
              <w14:srgbClr w14:val="231F20"/>
            </w14:solidFill>
          </w14:textFill>
        </w:rPr>
        <w:t>Insurance</w:t>
      </w:r>
    </w:p>
    <w:p>
      <w:pPr>
        <w:pStyle w:val="Body"/>
        <w:numPr>
          <w:ilvl w:val="2"/>
          <w:numId w:val="13"/>
        </w:numPr>
        <w:bidi w:val="0"/>
        <w:spacing w:before="146" w:line="235" w:lineRule="auto"/>
        <w:ind w:right="45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do anything which might cause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belongings within the Premises are his and are not covered by any insurance policy maintained by the Landlord.</w:t>
      </w:r>
    </w:p>
    <w:p>
      <w:pPr>
        <w:pStyle w:val="Body"/>
        <w:numPr>
          <w:ilvl w:val="2"/>
          <w:numId w:val="15"/>
        </w:numPr>
        <w:bidi w:val="0"/>
        <w:spacing w:before="136" w:line="235" w:lineRule="auto"/>
        <w:ind w:right="210"/>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will promptly notify the Landlord of any defect to the Premises, for example in the event of loss or damage by fire, theft or other causes (whether or not caused by the act, default or neglect of the Tenant) of which he becomes aware.</w:t>
      </w:r>
    </w:p>
    <w:p>
      <w:pPr>
        <w:pStyle w:val="Body"/>
        <w:numPr>
          <w:ilvl w:val="2"/>
          <w:numId w:val="13"/>
        </w:numPr>
        <w:bidi w:val="0"/>
        <w:spacing w:before="133" w:line="235" w:lineRule="auto"/>
        <w:ind w:right="89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is strongly advised to take out insurance with a reputable insurer for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possessions as such possessions will not be covered by any insurance effected by the Landlord.</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Assignment, Novation and Surrender</w:t>
      </w:r>
    </w:p>
    <w:p>
      <w:pPr>
        <w:pStyle w:val="Body"/>
        <w:spacing w:before="146" w:line="235" w:lineRule="auto"/>
        <w:ind w:left="897" w:right="1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assign, underlet (or) part with or share the possession of the Premises and not to permit any persons other than the person named as the Tenant or any other person approved of in writing by the Landlord to occupy or reside in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 such consent not to be unreasonably withheld. Not to take in lodgers or paying guests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 such consent not to be unreasonably withheld. Where such consent is given the Tenant will pay to the Agent or Landlord a fee to amend this Agreement in accordance with the Agent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 of fees.</w:t>
      </w:r>
    </w:p>
    <w:p>
      <w:pPr>
        <w:pStyle w:val="Body"/>
        <w:spacing w:before="11"/>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Illegal, immoral usage</w:t>
      </w:r>
    </w:p>
    <w:p>
      <w:pPr>
        <w:pStyle w:val="Body"/>
        <w:numPr>
          <w:ilvl w:val="2"/>
          <w:numId w:val="14"/>
        </w:numPr>
        <w:bidi w:val="0"/>
        <w:spacing w:before="143"/>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the Premises for any illegal, immoral or improper use.</w:t>
      </w:r>
    </w:p>
    <w:p>
      <w:pPr>
        <w:pStyle w:val="Body"/>
        <w:numPr>
          <w:ilvl w:val="2"/>
          <w:numId w:val="13"/>
        </w:numPr>
        <w:bidi w:val="0"/>
        <w:spacing w:before="131" w:line="235" w:lineRule="auto"/>
        <w:ind w:right="38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or consume in or about the Premises during the continuance of this Tenancy any drugs mentioned in the Misuse of Drugs Act 1971 or any other controlled substances, the use of which may from this time on be prohibited or restricted by statute.</w:t>
      </w:r>
    </w:p>
    <w:p>
      <w:pPr>
        <w:pStyle w:val="heading 4"/>
        <w:numPr>
          <w:ilvl w:val="1"/>
          <w:numId w:val="13"/>
        </w:numPr>
        <w:spacing w:before="130"/>
        <w:rPr>
          <w:lang w:val="en-US"/>
        </w:rPr>
      </w:pPr>
      <w:r>
        <w:rPr>
          <w:rStyle w:val="None"/>
          <w:outline w:val="0"/>
          <w:color w:val="231f20"/>
          <w:u w:color="231f20"/>
          <w:rtl w:val="0"/>
          <w:lang w:val="en-US"/>
          <w14:textFill>
            <w14:solidFill>
              <w14:srgbClr w14:val="231F20"/>
            </w14:solidFill>
          </w14:textFill>
        </w:rPr>
        <w:t>Inflammable substances and equipment</w:t>
      </w:r>
    </w:p>
    <w:p>
      <w:pPr>
        <w:pStyle w:val="Body"/>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keep any dangerous or inflammable goods, materials, or substances in or on the Premises apart from those required for general household use.</w:t>
      </w:r>
    </w:p>
    <w:p>
      <w:pPr>
        <w:pStyle w:val="heading 4"/>
        <w:numPr>
          <w:ilvl w:val="1"/>
          <w:numId w:val="13"/>
        </w:numPr>
        <w:spacing w:before="176"/>
        <w:rPr>
          <w:lang w:val="en-US"/>
        </w:rPr>
      </w:pPr>
      <w:r>
        <w:rPr>
          <w:rStyle w:val="None"/>
          <w:outline w:val="0"/>
          <w:color w:val="231f20"/>
          <w:u w:color="231f20"/>
          <w:rtl w:val="0"/>
          <w:lang w:val="en-US"/>
          <w14:textFill>
            <w14:solidFill>
              <w14:srgbClr w14:val="231F20"/>
            </w14:solidFill>
          </w14:textFill>
        </w:rPr>
        <w:t>Nuisance and noise</w:t>
      </w:r>
    </w:p>
    <w:p>
      <w:pPr>
        <w:pStyle w:val="Body"/>
        <w:spacing w:before="145" w:line="235" w:lineRule="auto"/>
        <w:ind w:left="897" w:right="259" w:firstLine="0"/>
        <w:sectPr>
          <w:headerReference w:type="default" r:id="rId10"/>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the Premises or allow others to use the Premises in a way which causes a nuisance, annoyance, or damage to neighbouring, adjoining or adjacent Premises, or to the owners or occupiers of them. This includes any nuisance caused by noise.</w:t>
      </w:r>
    </w:p>
    <w:p>
      <w:pPr>
        <w:pStyle w:val="heading 4"/>
        <w:numPr>
          <w:ilvl w:val="1"/>
          <w:numId w:val="18"/>
        </w:numPr>
        <w:spacing w:before="45"/>
        <w:rPr>
          <w:lang w:val="en-US"/>
        </w:rPr>
      </w:pPr>
      <w:r>
        <w:rPr>
          <w:rStyle w:val="None"/>
          <w:outline w:val="0"/>
          <w:color w:val="231f20"/>
          <w:u w:color="231f20"/>
          <w:rtl w:val="0"/>
          <w:lang w:val="en-US"/>
          <w14:textFill>
            <w14:solidFill>
              <w14:srgbClr w14:val="231F20"/>
            </w14:solidFill>
          </w14:textFill>
        </w:rPr>
        <w:t>Utilities</w:t>
      </w:r>
    </w:p>
    <w:p>
      <w:pPr>
        <w:pStyle w:val="Body"/>
        <w:numPr>
          <w:ilvl w:val="2"/>
          <w:numId w:val="15"/>
        </w:numPr>
        <w:bidi w:val="0"/>
        <w:spacing w:before="146" w:line="235" w:lineRule="auto"/>
        <w:ind w:right="334"/>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tamper or interfere with or alter or add to the gas, water or electrical installations or meters in or serving the Premises.</w:t>
      </w:r>
    </w:p>
    <w:p>
      <w:pPr>
        <w:pStyle w:val="Body"/>
        <w:numPr>
          <w:ilvl w:val="2"/>
          <w:numId w:val="15"/>
        </w:numPr>
        <w:bidi w:val="0"/>
        <w:spacing w:before="133" w:line="235" w:lineRule="auto"/>
        <w:ind w:right="126"/>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p>
    <w:p>
      <w:pPr>
        <w:pStyle w:val="Body"/>
        <w:numPr>
          <w:ilvl w:val="2"/>
          <w:numId w:val="15"/>
        </w:numPr>
        <w:bidi w:val="0"/>
        <w:spacing w:before="133" w:line="235" w:lineRule="auto"/>
        <w:ind w:right="31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each supplier of gas, electricity, water, telephone and internet services immediately that the Tenancy has commenced by completing an application for a supply to the Premises in the name of the Tenant and not in the name of the Landlord.</w:t>
      </w:r>
    </w:p>
    <w:p>
      <w:pPr>
        <w:pStyle w:val="Body"/>
        <w:numPr>
          <w:ilvl w:val="2"/>
          <w:numId w:val="13"/>
        </w:numPr>
        <w:bidi w:val="0"/>
        <w:spacing w:before="134" w:line="235" w:lineRule="auto"/>
        <w:ind w:right="20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not have a key meter installed at the Premises or any other meter which is operational by the insertion of coins or a pre-paid card or key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If the Tenant changes the supplier of the utilities then he must provide the name and address of the new supplier to the Landlord immediately</w:t>
      </w:r>
    </w:p>
    <w:p>
      <w:pPr>
        <w:pStyle w:val="Body"/>
        <w:spacing w:before="3" w:line="235" w:lineRule="auto"/>
        <w:ind w:left="897" w:right="428"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p>
    <w:p>
      <w:pPr>
        <w:pStyle w:val="Body"/>
        <w:numPr>
          <w:ilvl w:val="2"/>
          <w:numId w:val="13"/>
        </w:numPr>
        <w:bidi w:val="0"/>
        <w:spacing w:before="133" w:line="235" w:lineRule="auto"/>
        <w:ind w:right="31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p>
    <w:p>
      <w:pPr>
        <w:pStyle w:val="Body"/>
        <w:spacing w:line="242"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those services.</w:t>
      </w:r>
    </w:p>
    <w:p>
      <w:pPr>
        <w:pStyle w:val="Body"/>
        <w:numPr>
          <w:ilvl w:val="2"/>
          <w:numId w:val="13"/>
        </w:numPr>
        <w:bidi w:val="0"/>
        <w:spacing w:before="131" w:line="235" w:lineRule="auto"/>
        <w:ind w:right="15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change the telephone number at the Premises without the prior written consent of the Landlord, such consent not to be unreasonably withheld, or to procure the transfer of the telephone number to any other address.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Animals and pets</w:t>
      </w:r>
    </w:p>
    <w:p>
      <w:pPr>
        <w:pStyle w:val="Body"/>
        <w:spacing w:before="8"/>
        <w:rPr>
          <w:rStyle w:val="None"/>
          <w:b w:val="1"/>
          <w:bCs w:val="1"/>
          <w:caps w:val="0"/>
          <w:smallCaps w:val="0"/>
          <w:strike w:val="0"/>
          <w:dstrike w:val="0"/>
          <w:outline w:val="0"/>
          <w:color w:val="000000"/>
          <w:sz w:val="10"/>
          <w:szCs w:val="10"/>
          <w:u w:val="none" w:color="000000"/>
          <w:vertAlign w:val="baseline"/>
          <w14:textFill>
            <w14:solidFill>
              <w14:srgbClr w14:val="000000"/>
            </w14:solidFill>
          </w14:textFill>
        </w:rPr>
      </w:pPr>
    </w:p>
    <w:p>
      <w:pPr>
        <w:pStyle w:val="Body"/>
        <w:numPr>
          <w:ilvl w:val="2"/>
          <w:numId w:val="13"/>
        </w:numPr>
        <w:bidi w:val="0"/>
        <w:spacing w:before="64" w:line="235" w:lineRule="auto"/>
        <w:ind w:right="58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p>
    <w:p>
      <w:pPr>
        <w:pStyle w:val="Body"/>
        <w:numPr>
          <w:ilvl w:val="2"/>
          <w:numId w:val="13"/>
        </w:numPr>
        <w:bidi w:val="0"/>
        <w:spacing w:before="134" w:line="235" w:lineRule="auto"/>
        <w:ind w:right="83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Where such consent is given, the Tenant will pay to the </w:t>
      </w:r>
      <w:r>
        <w:rPr>
          <w:rStyle w:val="None"/>
          <w:outline w:val="0"/>
          <w:color w:val="231f20"/>
          <w:sz w:val="20"/>
          <w:szCs w:val="20"/>
          <w:u w:color="231f20"/>
          <w:rtl w:val="0"/>
          <w:lang w:val="en-US"/>
          <w14:textFill>
            <w14:solidFill>
              <w14:srgbClr w14:val="231F20"/>
            </w14:solidFill>
          </w14:textFill>
        </w:rPr>
        <w:t>Landlord or agent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 fee to amend this Agreement in accordance with the </w:t>
      </w:r>
      <w:r>
        <w:rPr>
          <w:rStyle w:val="None"/>
          <w:outline w:val="0"/>
          <w:color w:val="231f20"/>
          <w:sz w:val="20"/>
          <w:szCs w:val="20"/>
          <w:u w:color="231f20"/>
          <w:rtl w:val="0"/>
          <w:lang w:val="en-US"/>
          <w14:textFill>
            <w14:solidFill>
              <w14:srgbClr w14:val="231F20"/>
            </w14:solidFill>
          </w14:textFill>
        </w:rPr>
        <w:t>The Fee Ban Act 2019 and the agent</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 xml:space="preserve">s published fees, if applicable. </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Usage</w:t>
      </w:r>
    </w:p>
    <w:p>
      <w:pPr>
        <w:pStyle w:val="Body"/>
        <w:spacing w:before="146" w:line="235" w:lineRule="auto"/>
        <w:ind w:left="897" w:right="19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use the Premises for the purpose of a private residence only in the occupation of the Tenant and not for business purposes.</w:t>
      </w:r>
    </w:p>
    <w:p>
      <w:pPr>
        <w:pStyle w:val="heading 4"/>
        <w:numPr>
          <w:ilvl w:val="1"/>
          <w:numId w:val="13"/>
        </w:numPr>
        <w:spacing w:before="177"/>
        <w:rPr>
          <w:lang w:val="en-US"/>
        </w:rPr>
      </w:pPr>
      <w:r>
        <w:rPr>
          <w:rStyle w:val="None"/>
          <w:outline w:val="0"/>
          <w:color w:val="231f20"/>
          <w:u w:color="231f20"/>
          <w:rtl w:val="0"/>
          <w:lang w:val="en-US"/>
          <w14:textFill>
            <w14:solidFill>
              <w14:srgbClr w14:val="231F20"/>
            </w14:solidFill>
          </w14:textFill>
        </w:rPr>
        <w:t>Locks</w:t>
      </w:r>
    </w:p>
    <w:p>
      <w:pPr>
        <w:pStyle w:val="Body"/>
        <w:numPr>
          <w:ilvl w:val="2"/>
          <w:numId w:val="13"/>
        </w:numPr>
        <w:bidi w:val="0"/>
        <w:spacing w:before="146" w:line="235" w:lineRule="auto"/>
        <w:ind w:right="36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install or change any locks in the Premises and not to procure the cutting of additional keys for the locks previously installed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w:t>
      </w:r>
    </w:p>
    <w:p>
      <w:pPr>
        <w:pStyle w:val="Body"/>
        <w:numPr>
          <w:ilvl w:val="2"/>
          <w:numId w:val="13"/>
        </w:numPr>
        <w:bidi w:val="0"/>
        <w:spacing w:before="133" w:line="235" w:lineRule="auto"/>
        <w:ind w:right="33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Pr>
          <w:rStyle w:val="None"/>
          <w:outline w:val="0"/>
          <w:color w:val="231f20"/>
          <w:sz w:val="20"/>
          <w:szCs w:val="20"/>
          <w:u w:color="231f20"/>
          <w:rtl w:val="0"/>
          <w:lang w:val="en-US"/>
          <w14:textFill>
            <w14:solidFill>
              <w14:srgbClr w14:val="231F20"/>
            </w14:solidFill>
          </w14:textFill>
        </w:rPr>
        <w:t xml:space="preserve">Landlord or </w:t>
      </w:r>
      <w:r>
        <w:rPr>
          <w:rStyle w:val="None"/>
          <w:caps w:val="0"/>
          <w:smallCaps w:val="0"/>
          <w:strike w:val="0"/>
          <w:dstrike w:val="0"/>
          <w:outline w:val="0"/>
          <w:color w:val="231f20"/>
          <w:sz w:val="20"/>
          <w:szCs w:val="20"/>
          <w:u w:val="none" w:color="231f20"/>
          <w:vertAlign w:val="baseline"/>
          <w:rtl w:val="0"/>
          <w14:textFill>
            <w14:solidFill>
              <w14:srgbClr w14:val="231F20"/>
            </w14:solidFill>
          </w14:textFill>
        </w:rPr>
        <w:t>Agen</w:t>
      </w:r>
      <w:r>
        <w:rPr>
          <w:rStyle w:val="None"/>
          <w:outline w:val="0"/>
          <w:color w:val="231f20"/>
          <w:sz w:val="20"/>
          <w:szCs w:val="20"/>
          <w:u w:color="231f20"/>
          <w:rtl w:val="0"/>
          <w14:textFill>
            <w14:solidFill>
              <w14:srgbClr w14:val="231F20"/>
            </w14:solidFill>
          </w14:textFill>
        </w:rPr>
        <w:t>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such charges as set out in the Agent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 of fees</w:t>
      </w:r>
      <w:r>
        <w:rPr>
          <w:rStyle w:val="None"/>
          <w:outline w:val="0"/>
          <w:color w:val="231f20"/>
          <w:sz w:val="20"/>
          <w:szCs w:val="20"/>
          <w:u w:color="231f20"/>
          <w:rtl w:val="0"/>
          <w:lang w:val="en-US"/>
          <w14:textFill>
            <w14:solidFill>
              <w14:srgbClr w14:val="231F20"/>
            </w14:solidFill>
          </w14:textFill>
        </w:rPr>
        <w:t>, if applicable, or the cost to the Landlord directly.</w:t>
      </w:r>
    </w:p>
    <w:p>
      <w:pPr>
        <w:pStyle w:val="Body"/>
        <w:numPr>
          <w:ilvl w:val="2"/>
          <w:numId w:val="13"/>
        </w:numPr>
        <w:bidi w:val="0"/>
        <w:spacing w:before="134" w:line="235" w:lineRule="auto"/>
        <w:ind w:right="27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any lock is installed or changed in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then to remove that lock if required by the Landlord and to make good any resulting damage.</w:t>
      </w:r>
    </w:p>
    <w:p>
      <w:pPr>
        <w:pStyle w:val="Body"/>
        <w:numPr>
          <w:ilvl w:val="2"/>
          <w:numId w:val="15"/>
        </w:numPr>
        <w:bidi w:val="0"/>
        <w:spacing w:before="133" w:line="235" w:lineRule="auto"/>
        <w:ind w:right="455"/>
        <w:jc w:val="both"/>
        <w:rPr>
          <w:sz w:val="20"/>
          <w:szCs w:val="20"/>
          <w:rtl w:val="0"/>
          <w:lang w:val="en-US"/>
        </w:rPr>
        <w:sectPr>
          <w:headerReference w:type="default" r:id="rId11"/>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Where due to any act or default by the Tenant it is reasonable for the Landlord to replace or change the locks in the Premises, the Tenant shall indemnify the Landlord for any reasonable costs that may be incurred.</w:t>
      </w:r>
    </w:p>
    <w:p>
      <w:pPr>
        <w:pStyle w:val="heading 4"/>
        <w:numPr>
          <w:ilvl w:val="1"/>
          <w:numId w:val="19"/>
        </w:numPr>
        <w:spacing w:before="45"/>
        <w:rPr>
          <w:lang w:val="en-US"/>
        </w:rPr>
      </w:pPr>
      <w:r>
        <w:rPr>
          <w:rStyle w:val="None"/>
          <w:outline w:val="0"/>
          <w:color w:val="231f20"/>
          <w:u w:color="231f20"/>
          <w:rtl w:val="0"/>
          <w:lang w:val="en-US"/>
          <w14:textFill>
            <w14:solidFill>
              <w14:srgbClr w14:val="231F20"/>
            </w14:solidFill>
          </w14:textFill>
        </w:rPr>
        <w:t>Fixtures and Fittings</w:t>
      </w:r>
    </w:p>
    <w:p>
      <w:pPr>
        <w:pStyle w:val="Body"/>
        <w:numPr>
          <w:ilvl w:val="2"/>
          <w:numId w:val="13"/>
        </w:numPr>
        <w:bidi w:val="0"/>
        <w:spacing w:before="146"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remove any of the Fixtures and Fittings from the Premises to store the same in the loft, basement or garage (if any) without obtaining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and then to ensure that any such items are stored safely and upon vacating the Premises, to leave the same in the places in which they were on the Commencement Date.</w:t>
      </w:r>
    </w:p>
    <w:p>
      <w:pPr>
        <w:pStyle w:val="Body"/>
        <w:numPr>
          <w:ilvl w:val="2"/>
          <w:numId w:val="13"/>
        </w:numPr>
        <w:bidi w:val="0"/>
        <w:spacing w:before="134" w:line="235" w:lineRule="auto"/>
        <w:ind w:right="4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remove the Fixtures and Fittings as specified in the Inventory and Schedule of Condition or any part of them or any substitute Fixtures and Fittings from the Premises and not to bring onto the</w:t>
      </w:r>
    </w:p>
    <w:p>
      <w:pPr>
        <w:pStyle w:val="Body"/>
        <w:spacing w:before="2"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Premises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own equipment or effects without the prior written consent of the Landlord, such consent not to be unreasonably withheld.</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Alterations and redecoration</w:t>
      </w:r>
    </w:p>
    <w:p>
      <w:pPr>
        <w:pStyle w:val="Body"/>
        <w:numPr>
          <w:ilvl w:val="2"/>
          <w:numId w:val="13"/>
        </w:numPr>
        <w:bidi w:val="0"/>
        <w:spacing w:before="146" w:line="235" w:lineRule="auto"/>
        <w:ind w:right="13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decorate or to make any alterations in or additions to the Premises and not to cut, maim, puncture or injure any of the walls, partitions or timbers of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Where such consent is given the Tenant will pay to the</w:t>
      </w:r>
      <w:r>
        <w:rPr>
          <w:rStyle w:val="None"/>
          <w:outline w:val="0"/>
          <w:color w:val="231f20"/>
          <w:sz w:val="20"/>
          <w:szCs w:val="20"/>
          <w:u w:color="231f20"/>
          <w:rtl w:val="0"/>
          <w:lang w:val="en-US"/>
          <w14:textFill>
            <w14:solidFill>
              <w14:srgbClr w14:val="231F20"/>
            </w14:solidFill>
          </w14:textFill>
        </w:rPr>
        <w:t xml:space="preserve"> Landlord or</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Agent a fee to amend this Agreement in accordance with the Agent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w:t>
      </w:r>
      <w:r>
        <w:rPr>
          <w:rStyle w:val="None"/>
          <w:sz w:val="20"/>
          <w:szCs w:val="20"/>
          <w:rtl w:val="0"/>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of fees</w:t>
      </w:r>
      <w:r>
        <w:rPr>
          <w:rStyle w:val="None"/>
          <w:outline w:val="0"/>
          <w:color w:val="231f20"/>
          <w:sz w:val="20"/>
          <w:szCs w:val="20"/>
          <w:u w:color="231f20"/>
          <w:rtl w:val="0"/>
          <w:lang w:val="en-US"/>
          <w14:textFill>
            <w14:solidFill>
              <w14:srgbClr w14:val="231F20"/>
            </w14:solidFill>
          </w14:textFill>
        </w:rPr>
        <w:t>, if applicable.</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permit any waste, spoil or destruction to the Premises.</w:t>
      </w:r>
    </w:p>
    <w:p>
      <w:pPr>
        <w:pStyle w:val="Body"/>
        <w:spacing w:before="6"/>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Empty Premises</w:t>
      </w:r>
    </w:p>
    <w:p>
      <w:pPr>
        <w:pStyle w:val="Body"/>
        <w:numPr>
          <w:ilvl w:val="2"/>
          <w:numId w:val="13"/>
        </w:numPr>
        <w:bidi w:val="0"/>
        <w:spacing w:before="146" w:line="235" w:lineRule="auto"/>
        <w:ind w:right="63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Before leaving the Premises vacant for any continuous period of 28 days or more during the Term, to provide the Landlord with reasonable notice and to take reasonable precautions to prevent freezing.</w:t>
      </w:r>
    </w:p>
    <w:p>
      <w:pPr>
        <w:pStyle w:val="Body"/>
        <w:numPr>
          <w:ilvl w:val="2"/>
          <w:numId w:val="13"/>
        </w:numPr>
        <w:bidi w:val="0"/>
        <w:spacing w:before="133" w:line="235" w:lineRule="auto"/>
        <w:ind w:right="14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p>
    <w:p>
      <w:pPr>
        <w:pStyle w:val="Body"/>
        <w:numPr>
          <w:ilvl w:val="2"/>
          <w:numId w:val="13"/>
        </w:numPr>
        <w:bidi w:val="0"/>
        <w:spacing w:before="134" w:line="235" w:lineRule="auto"/>
        <w:ind w:right="45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vacant for a period of over two weeks, the Tenants should allow the water to run from all outlets in the Premises for one minute before consuming or otherwise using the water.</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Drains</w:t>
      </w:r>
    </w:p>
    <w:p>
      <w:pPr>
        <w:pStyle w:val="Body"/>
        <w:numPr>
          <w:ilvl w:val="2"/>
          <w:numId w:val="13"/>
        </w:numPr>
        <w:bidi w:val="0"/>
        <w:spacing w:before="146" w:line="235" w:lineRule="auto"/>
        <w:ind w:right="90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overload, block up or damage any of the drains, pipes, wires, cables or any apparatus or installation relating to the services serving the Premises.</w:t>
      </w:r>
    </w:p>
    <w:p>
      <w:pPr>
        <w:pStyle w:val="Body"/>
        <w:numPr>
          <w:ilvl w:val="2"/>
          <w:numId w:val="13"/>
        </w:numPr>
        <w:bidi w:val="0"/>
        <w:spacing w:before="132" w:line="235" w:lineRule="auto"/>
        <w:ind w:right="99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permit oil, grease or other harmful or corrosive substances to enter any of the sanitary appliances or drains within the Premises.</w:t>
      </w:r>
    </w:p>
    <w:p>
      <w:pPr>
        <w:pStyle w:val="Body"/>
        <w:numPr>
          <w:ilvl w:val="2"/>
          <w:numId w:val="13"/>
        </w:numPr>
        <w:bidi w:val="0"/>
        <w:spacing w:before="133" w:line="235" w:lineRule="auto"/>
        <w:ind w:right="36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clear any stoppages or blockages when any occur in any of the drains, gutters, downpipes, sinks, toilets or waste pipes and ventilation ducts which serve the Premises, if they are caused as a result of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it-IT"/>
          <w14:textFill>
            <w14:solidFill>
              <w14:srgbClr w14:val="231F20"/>
            </w14:solidFill>
          </w14:textFill>
        </w:rPr>
        <w:t>s negligence and/or misuse.</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Affixation of items</w:t>
      </w:r>
    </w:p>
    <w:p>
      <w:pPr>
        <w:pStyle w:val="Body"/>
        <w:numPr>
          <w:ilvl w:val="2"/>
          <w:numId w:val="13"/>
        </w:numPr>
        <w:bidi w:val="0"/>
        <w:spacing w:before="146" w:line="235" w:lineRule="auto"/>
        <w:ind w:right="49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place or exhibit any aerial, satellite dish, notice, advertisement, sign or board on the exterior of the Premises or in the interior of the same without first obtaining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w:t>
      </w:r>
    </w:p>
    <w:p>
      <w:pPr>
        <w:pStyle w:val="Body"/>
        <w:spacing w:before="1"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such consent not to be unreasonably withheld, and where such consent is granted, to meet all costs of installation, removal and thereafter make good any resultant damage.</w:t>
      </w:r>
    </w:p>
    <w:p>
      <w:pPr>
        <w:pStyle w:val="Body"/>
        <w:numPr>
          <w:ilvl w:val="2"/>
          <w:numId w:val="13"/>
        </w:numPr>
        <w:bidi w:val="0"/>
        <w:spacing w:before="133" w:line="235" w:lineRule="auto"/>
        <w:ind w:right="453"/>
        <w:jc w:val="left"/>
        <w:rPr>
          <w:sz w:val="20"/>
          <w:szCs w:val="20"/>
          <w:rtl w:val="0"/>
          <w:lang w:val="en-US"/>
        </w:rPr>
        <w:sectPr>
          <w:headerReference w:type="default" r:id="rId12"/>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affix any items to the walls of the Premises either internally or externally using glue, nails, picture hooks, sticky tape or other adhesive substance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w:t>
      </w:r>
    </w:p>
    <w:p>
      <w:pPr>
        <w:pStyle w:val="heading 4"/>
        <w:numPr>
          <w:ilvl w:val="1"/>
          <w:numId w:val="20"/>
        </w:numPr>
        <w:spacing w:before="45"/>
        <w:rPr>
          <w:lang w:val="en-US"/>
        </w:rPr>
      </w:pPr>
      <w:r>
        <w:rPr>
          <w:rStyle w:val="None"/>
          <w:outline w:val="0"/>
          <w:color w:val="231f20"/>
          <w:u w:color="231f20"/>
          <w:rtl w:val="0"/>
          <w:lang w:val="en-US"/>
          <w14:textFill>
            <w14:solidFill>
              <w14:srgbClr w14:val="231F20"/>
            </w14:solidFill>
          </w14:textFill>
        </w:rPr>
        <w:t>Washing</w:t>
      </w:r>
    </w:p>
    <w:p>
      <w:pPr>
        <w:pStyle w:val="Body"/>
        <w:spacing w:before="146" w:line="235" w:lineRule="auto"/>
        <w:ind w:left="897" w:right="161"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hang any washing, clothes or other articles outside the Premises or otherwise than in such place as the Landlord may designate or permit and not to hang or place wet or damp articles of washing upon any item or room heater.</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Costs and charges</w:t>
      </w:r>
    </w:p>
    <w:p>
      <w:pPr>
        <w:pStyle w:val="Body"/>
        <w:numPr>
          <w:ilvl w:val="2"/>
          <w:numId w:val="13"/>
        </w:numPr>
        <w:bidi w:val="0"/>
        <w:spacing w:before="146" w:line="235" w:lineRule="auto"/>
        <w:ind w:right="73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protect the Landlord from loss arising from a claim that may be brought against the Tenant as a consequence of a breach by the Tenant of any covenant contained in this Agreement. Such loss</w:t>
      </w:r>
    </w:p>
    <w:p>
      <w:pPr>
        <w:pStyle w:val="Body"/>
        <w:spacing w:before="1" w:line="235" w:lineRule="auto"/>
        <w:ind w:left="897" w:right="291"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shall be deemed to include any charges which the Landlord may reasonably incur in connection with proceedings in a court of law against the Tenant but without prejudice to a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right to have such costs assessed by the relevant court.</w:t>
      </w:r>
    </w:p>
    <w:p>
      <w:pPr>
        <w:pStyle w:val="Body"/>
        <w:numPr>
          <w:ilvl w:val="2"/>
          <w:numId w:val="13"/>
        </w:numPr>
        <w:bidi w:val="0"/>
        <w:spacing w:before="134" w:line="235" w:lineRule="auto"/>
        <w:ind w:right="29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indemnify the Landlord for any loss incurred by the Landlord resulting from the dishonouring of any cheque issued by the Tenant or by a third party 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behalf or for any loss arising from the cancellation or non-completion of a standing order payment by the Tenant or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14:textFill>
            <w14:solidFill>
              <w14:srgbClr w14:val="231F20"/>
            </w14:solidFill>
          </w14:textFill>
        </w:rPr>
        <w:t>s bankers.</w:t>
      </w:r>
    </w:p>
    <w:p>
      <w:pPr>
        <w:pStyle w:val="Body"/>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Refuse</w:t>
      </w:r>
    </w:p>
    <w:p>
      <w:pPr>
        <w:pStyle w:val="Body"/>
        <w:spacing w:before="146"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remove all rubbish from the Premises and to place the same within the dustbin or receptacles provided and in the case of any dustbins to ensure that all rubbish is placed and kept inside a plastic bin liner before placing in such dustbin.</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Smoking</w:t>
      </w:r>
    </w:p>
    <w:p>
      <w:pPr>
        <w:pStyle w:val="Body"/>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smoke or permit any guest or visitor to smoke tobacco or any other substance in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which shall not be unreasonably withheld.</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Garden</w:t>
      </w:r>
    </w:p>
    <w:p>
      <w:pPr>
        <w:pStyle w:val="Body"/>
        <w:spacing w:before="146" w:line="235" w:lineRule="auto"/>
        <w:ind w:left="897" w:right="95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garden in the same character, weed free and in good order and to cut the grass at reasonable intervals during the growing season.</w:t>
      </w:r>
    </w:p>
    <w:p>
      <w:pPr>
        <w:pStyle w:val="heading 4"/>
        <w:numPr>
          <w:ilvl w:val="1"/>
          <w:numId w:val="13"/>
        </w:numPr>
        <w:spacing w:before="177"/>
        <w:rPr>
          <w:lang w:val="en-US"/>
        </w:rPr>
      </w:pPr>
      <w:r>
        <w:rPr>
          <w:rStyle w:val="None"/>
          <w:outline w:val="0"/>
          <w:color w:val="231f20"/>
          <w:u w:color="231f20"/>
          <w:rtl w:val="0"/>
          <w:lang w:val="en-US"/>
          <w14:textFill>
            <w14:solidFill>
              <w14:srgbClr w14:val="231F20"/>
            </w14:solidFill>
          </w14:textFill>
        </w:rPr>
        <w:t>Inventory and check-out</w:t>
      </w:r>
    </w:p>
    <w:p>
      <w:pPr>
        <w:pStyle w:val="Body"/>
        <w:spacing w:before="146" w:line="235" w:lineRule="auto"/>
        <w:ind w:left="897" w:right="640"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Pr>
          <w:rStyle w:val="None"/>
          <w:sz w:val="20"/>
          <w:szCs w:val="20"/>
          <w:rtl w:val="0"/>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out appointment. If the Tenant does not keep the second appointment, any assessment made by the Landlord shall be final and binding on the Tenant. Should the Landlord fail to attend such appointment,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reasonable costs incurred in attending the Premises will be met by the Landlord.</w:t>
      </w:r>
    </w:p>
    <w:p>
      <w:pPr>
        <w:pStyle w:val="heading 4"/>
        <w:numPr>
          <w:ilvl w:val="1"/>
          <w:numId w:val="13"/>
        </w:numPr>
        <w:spacing w:before="179"/>
        <w:rPr>
          <w:lang w:val="en-US"/>
        </w:rPr>
      </w:pPr>
      <w:r>
        <w:rPr>
          <w:rStyle w:val="None"/>
          <w:outline w:val="0"/>
          <w:color w:val="231f20"/>
          <w:u w:color="231f20"/>
          <w:rtl w:val="0"/>
          <w:lang w:val="en-US"/>
          <w14:textFill>
            <w14:solidFill>
              <w14:srgbClr w14:val="231F20"/>
            </w14:solidFill>
          </w14:textFill>
        </w:rPr>
        <w:t>Notices</w:t>
      </w:r>
    </w:p>
    <w:p>
      <w:pPr>
        <w:pStyle w:val="Body"/>
        <w:spacing w:before="145"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promptly forward to the Landlord or Agent any notice of a legal nature delivered to the Premises touching or affecting the Premises, its boundaries or neighbouring properties.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Headlease</w:t>
      </w:r>
    </w:p>
    <w:p>
      <w:pPr>
        <w:pStyle w:val="Body"/>
        <w:spacing w:before="145" w:line="235" w:lineRule="auto"/>
        <w:ind w:left="897" w:right="259" w:firstLine="0"/>
        <w:sectPr>
          <w:headerReference w:type="default" r:id="rId13"/>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observe all of the non-financial covenants on the part of the Landlord (as lessee under the headlease) as set out in the headlease of the Premises a copy of which has been provided to the Tenant prior to the date of this Tenancy.</w:t>
      </w:r>
    </w:p>
    <w:p>
      <w:pPr>
        <w:pStyle w:val="heading 4"/>
        <w:numPr>
          <w:ilvl w:val="1"/>
          <w:numId w:val="21"/>
        </w:numPr>
        <w:spacing w:before="45"/>
        <w:rPr>
          <w:lang w:val="en-US"/>
        </w:rPr>
      </w:pPr>
      <w:r>
        <w:rPr>
          <w:rStyle w:val="None"/>
          <w:outline w:val="0"/>
          <w:color w:val="231f20"/>
          <w:u w:color="231f20"/>
          <w:rtl w:val="0"/>
          <w:lang w:val="en-US"/>
          <w14:textFill>
            <w14:solidFill>
              <w14:srgbClr w14:val="231F20"/>
            </w14:solidFill>
          </w14:textFill>
        </w:rPr>
        <w:t>Smoke alarms and Carbon Monoxide detectors</w:t>
      </w:r>
    </w:p>
    <w:p>
      <w:pPr>
        <w:pStyle w:val="Body"/>
        <w:numPr>
          <w:ilvl w:val="2"/>
          <w:numId w:val="15"/>
        </w:numPr>
        <w:bidi w:val="0"/>
        <w:spacing w:before="146" w:line="235" w:lineRule="auto"/>
        <w:ind w:right="40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all smoke alarms and Carbon Monoxide detectors in good working order and in particular to replace all batteries as and when necessary and to check the alarms and Carbon Monoxide detectors monthly to ensure that they work.</w:t>
      </w:r>
    </w:p>
    <w:p>
      <w:pPr>
        <w:pStyle w:val="Body"/>
        <w:numPr>
          <w:ilvl w:val="2"/>
          <w:numId w:val="13"/>
        </w:numPr>
        <w:bidi w:val="0"/>
        <w:spacing w:before="134" w:line="235" w:lineRule="auto"/>
        <w:ind w:right="78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not burn any solid fuel in the Premises without the prior, written consent of the Landlord, such consent not to be unreasonably withheld.</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Burglar alarms</w:t>
      </w:r>
    </w:p>
    <w:p>
      <w:pPr>
        <w:pStyle w:val="Body"/>
        <w:numPr>
          <w:ilvl w:val="2"/>
          <w:numId w:val="14"/>
        </w:numPr>
        <w:bidi w:val="0"/>
        <w:spacing w:before="142"/>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set the burglar alarm at the Premises (if any) when the Premises are vacant and at night.</w:t>
      </w:r>
    </w:p>
    <w:p>
      <w:pPr>
        <w:pStyle w:val="Body"/>
        <w:numPr>
          <w:ilvl w:val="2"/>
          <w:numId w:val="13"/>
        </w:numPr>
        <w:bidi w:val="0"/>
        <w:spacing w:before="131" w:line="235" w:lineRule="auto"/>
        <w:ind w:right="52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the Landlord of any new burglar alarm code immediately and to confirm that notification in writing.</w:t>
      </w:r>
    </w:p>
    <w:p>
      <w:pPr>
        <w:pStyle w:val="Body"/>
        <w:numPr>
          <w:ilvl w:val="2"/>
          <w:numId w:val="13"/>
        </w:numPr>
        <w:bidi w:val="0"/>
        <w:spacing w:before="132" w:line="235" w:lineRule="auto"/>
        <w:ind w:right="14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To indemnify the Landlord or </w:t>
      </w:r>
      <w:r>
        <w:rPr>
          <w:rStyle w:val="None"/>
          <w:outline w:val="0"/>
          <w:color w:val="231f20"/>
          <w:sz w:val="20"/>
          <w:szCs w:val="20"/>
          <w:u w:color="231f20"/>
          <w:rtl w:val="0"/>
          <w14:textFill>
            <w14:solidFill>
              <w14:srgbClr w14:val="231F20"/>
            </w14:solidFill>
          </w14:textFill>
        </w:rPr>
        <w:t>Ag</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ent for any costs that may be incurred by the Landlord arising from the misuse of the burglar alarm by the Tenant, his family or visitors.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Immigration Act</w:t>
      </w:r>
    </w:p>
    <w:p>
      <w:pPr>
        <w:pStyle w:val="Body"/>
        <w:spacing w:before="146" w:line="235" w:lineRule="auto"/>
        <w:ind w:left="897" w:right="323"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Tenant has a time limited Right to Rent in the United Kingdom as defined by the Immigration  Act 2014, the Tenant shall, upon receipt of any communication touching or concerning their residency</w:t>
      </w:r>
    </w:p>
    <w:p>
      <w:pPr>
        <w:pStyle w:val="Body"/>
        <w:spacing w:before="2" w:line="235" w:lineRule="auto"/>
        <w:ind w:left="897" w:right="118" w:firstLine="0"/>
        <w:sectPr>
          <w:headerReference w:type="default" r:id="rId14"/>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status in the United Kingdom from a relevant government department or body, advise the Landlord</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of such and shall provide to them upon request copies of any such written communication.</w:t>
      </w:r>
    </w:p>
    <w:p>
      <w:pPr>
        <w:pStyle w:val="Heading 2"/>
        <w:numPr>
          <w:ilvl w:val="0"/>
          <w:numId w:val="22"/>
        </w:numPr>
        <w:spacing w:before="41"/>
        <w:rPr>
          <w:lang w:val="en-US"/>
        </w:rPr>
      </w:pPr>
      <w:r>
        <w:rPr>
          <w:rStyle w:val="None"/>
          <w:rFonts w:ascii="Calibri" w:hAnsi="Calibri"/>
          <w:outline w:val="0"/>
          <w:color w:val="231f20"/>
          <w:u w:color="231f20"/>
          <w:rtl w:val="0"/>
          <w:lang w:val="en-US"/>
          <w14:textFill>
            <w14:solidFill>
              <w14:srgbClr w14:val="231F20"/>
            </w14:solidFill>
          </w14:textFill>
        </w:rPr>
        <w:t>The Landlord agrees with the Tenant as follows:</w:t>
      </w:r>
    </w:p>
    <w:p>
      <w:pPr>
        <w:pStyle w:val="Body"/>
        <w:spacing w:before="2"/>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4"/>
        <w:numPr>
          <w:ilvl w:val="1"/>
          <w:numId w:val="13"/>
        </w:numPr>
        <w:spacing w:before="0"/>
        <w:rPr>
          <w:lang w:val="en-US"/>
        </w:rPr>
      </w:pPr>
      <w:r>
        <w:rPr>
          <w:rStyle w:val="None"/>
          <w:outline w:val="0"/>
          <w:color w:val="231f20"/>
          <w:u w:color="231f20"/>
          <w:rtl w:val="0"/>
          <w:lang w:val="en-US"/>
          <w14:textFill>
            <w14:solidFill>
              <w14:srgbClr w14:val="231F20"/>
            </w14:solidFill>
          </w14:textFill>
        </w:rPr>
        <w:t>Quiet enjoyment</w:t>
      </w:r>
    </w:p>
    <w:p>
      <w:pPr>
        <w:pStyle w:val="Body"/>
        <w:spacing w:before="146" w:line="235" w:lineRule="auto"/>
        <w:ind w:left="897" w:right="25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That the Tenant paying the rent and performing and observing the obligations 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part contained in this Agreement shall peaceably hold and enjoy the Premises during the Term without any unlawful interruption by the Landlord or any person rightfully claiming under, through or in trust for the Landlord.</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Insurance</w:t>
      </w:r>
    </w:p>
    <w:p>
      <w:pPr>
        <w:pStyle w:val="Body"/>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insure the Premises and the Fixtures and Fittings specified in the Check-In Inventory and Schedule of Condition to their full value with a reputable insurance company normally covered by a householder</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comprehensive policy.</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Interest and consents</w:t>
      </w:r>
    </w:p>
    <w:p>
      <w:pPr>
        <w:pStyle w:val="Body"/>
        <w:spacing w:before="146" w:line="235" w:lineRule="auto"/>
        <w:ind w:left="897" w:right="39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That he is the sole/joint owner of the leasehold or freehold interest in the Premises and that all consents necessary to enable him to enter this Agreement (whether from superior Landlords, mortgagees, insurers or others) have been obtained.</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Repair</w:t>
      </w:r>
    </w:p>
    <w:p>
      <w:pPr>
        <w:pStyle w:val="Body"/>
        <w:spacing w:before="145" w:line="235" w:lineRule="auto"/>
        <w:ind w:left="897" w:right="25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pPr>
        <w:pStyle w:val="Body"/>
        <w:spacing w:before="9"/>
        <w:rPr>
          <w:rStyle w:val="None"/>
          <w:caps w:val="0"/>
          <w:smallCaps w:val="0"/>
          <w:strike w:val="0"/>
          <w:dstrike w:val="0"/>
          <w:outline w:val="0"/>
          <w:color w:val="000000"/>
          <w:sz w:val="14"/>
          <w:szCs w:val="14"/>
          <w:u w:val="none" w:color="000000"/>
          <w:vertAlign w:val="baseline"/>
          <w14:textFill>
            <w14:solidFill>
              <w14:srgbClr w14:val="000000"/>
            </w14:solidFill>
          </w14:textFill>
        </w:rPr>
      </w:pPr>
    </w:p>
    <w:p>
      <w:pPr>
        <w:pStyle w:val="heading 4"/>
        <w:numPr>
          <w:ilvl w:val="1"/>
          <w:numId w:val="13"/>
        </w:numPr>
        <w:spacing w:before="0"/>
        <w:rPr>
          <w:lang w:val="en-US"/>
        </w:rPr>
      </w:pPr>
      <w:r>
        <w:rPr>
          <w:rStyle w:val="None"/>
          <w:outline w:val="0"/>
          <w:color w:val="231f20"/>
          <w:u w:color="231f20"/>
          <w:rtl w:val="0"/>
          <w:lang w:val="en-US"/>
          <w14:textFill>
            <w14:solidFill>
              <w14:srgbClr w14:val="231F20"/>
            </w14:solidFill>
          </w14:textFill>
        </w:rPr>
        <w:t>Safety regulations</w:t>
      </w:r>
    </w:p>
    <w:p>
      <w:pPr>
        <w:pStyle w:val="Body"/>
        <w:numPr>
          <w:ilvl w:val="2"/>
          <w:numId w:val="13"/>
        </w:numPr>
        <w:bidi w:val="0"/>
        <w:spacing w:before="146" w:line="235" w:lineRule="auto"/>
        <w:ind w:right="50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furniture and equipment within the Premises complies with the Furniture and Furnishings (Fire) (Safety) Regulations 1988 as amended in 1993.</w:t>
      </w:r>
    </w:p>
    <w:p>
      <w:pPr>
        <w:pStyle w:val="Body"/>
        <w:numPr>
          <w:ilvl w:val="2"/>
          <w:numId w:val="13"/>
        </w:numPr>
        <w:bidi w:val="0"/>
        <w:spacing w:before="132" w:line="235" w:lineRule="auto"/>
        <w:ind w:right="2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gas appliances comply with the Gas Safety (Installation and Use) Regulations 1998 and that a copy of the Safety Check Certificate will be given to the Tenant when signing this Agreement.</w:t>
      </w:r>
    </w:p>
    <w:p>
      <w:pPr>
        <w:pStyle w:val="Body"/>
        <w:numPr>
          <w:ilvl w:val="2"/>
          <w:numId w:val="13"/>
        </w:numPr>
        <w:bidi w:val="0"/>
        <w:spacing w:before="133" w:line="235" w:lineRule="auto"/>
        <w:ind w:right="154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electrical appliances at the Premises comply with the Electrical Equipment (Safety) Regulations 1994.</w:t>
      </w:r>
    </w:p>
    <w:p>
      <w:pPr>
        <w:pStyle w:val="Body"/>
        <w:numPr>
          <w:ilvl w:val="2"/>
          <w:numId w:val="13"/>
        </w:numPr>
        <w:bidi w:val="0"/>
        <w:spacing w:before="133" w:line="235" w:lineRule="auto"/>
        <w:ind w:right="1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 are compliant with The Smoke and Carbon Monoxide Alarm (England) Regulations 2015 at the start of the Tenancy.</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Legionella</w:t>
      </w:r>
    </w:p>
    <w:p>
      <w:pPr>
        <w:pStyle w:val="Body"/>
        <w:spacing w:before="146" w:line="235" w:lineRule="auto"/>
        <w:ind w:left="897" w:right="399" w:firstLine="0"/>
        <w:sectPr>
          <w:headerReference w:type="default" r:id="rId15"/>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is responsible for ensuring that the Premises are compliant with Health and Safety Executive form ACOP L8 </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Control of Legionella Bacteria in Water Systems</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at the start of, and throughout, the Tenancy. This is done via the Landlord properly undertaking a Legionella risk assessment and, if necessary, making any required changes to the water system of the Premises.</w:t>
      </w:r>
    </w:p>
    <w:p>
      <w:pPr>
        <w:pStyle w:val="Heading 2"/>
        <w:numPr>
          <w:ilvl w:val="0"/>
          <w:numId w:val="23"/>
        </w:numPr>
        <w:spacing w:before="41"/>
        <w:rPr>
          <w:lang w:val="en-US"/>
        </w:rPr>
      </w:pPr>
      <w:r>
        <w:rPr>
          <w:rStyle w:val="None"/>
          <w:rFonts w:ascii="Calibri" w:hAnsi="Calibri"/>
          <w:outline w:val="0"/>
          <w:color w:val="231f20"/>
          <w:u w:color="231f20"/>
          <w:rtl w:val="0"/>
          <w:lang w:val="en-US"/>
          <w14:textFill>
            <w14:solidFill>
              <w14:srgbClr w14:val="231F20"/>
            </w14:solidFill>
          </w14:textFill>
        </w:rPr>
        <w:t>It is mutually agreed as follows:</w:t>
      </w:r>
    </w:p>
    <w:p>
      <w:pPr>
        <w:pStyle w:val="Body"/>
        <w:spacing w:before="5"/>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1"/>
          <w:numId w:val="24"/>
        </w:numPr>
        <w:bidi w:val="0"/>
        <w:spacing w:line="235" w:lineRule="auto"/>
        <w:ind w:right="1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Any agreement or obligation on the part of the Tenant (howsoever expressed) to do or not to do any particular act or thing shall also be construed as an obligation on the part of the Tenant not to permit or allow the same act on the part of any other person(s).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Rent review</w:t>
      </w:r>
    </w:p>
    <w:p>
      <w:pPr>
        <w:pStyle w:val="Body"/>
        <w:spacing w:before="146" w:line="235" w:lineRule="auto"/>
        <w:ind w:left="897" w:right="46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p>
    <w:p>
      <w:pPr>
        <w:pStyle w:val="heading 4"/>
        <w:numPr>
          <w:ilvl w:val="1"/>
          <w:numId w:val="13"/>
        </w:numPr>
        <w:spacing w:before="179"/>
        <w:rPr>
          <w:lang w:val="en-US"/>
        </w:rPr>
      </w:pPr>
      <w:r>
        <w:rPr>
          <w:rStyle w:val="None"/>
          <w:outline w:val="0"/>
          <w:color w:val="231f20"/>
          <w:u w:color="231f20"/>
          <w:rtl w:val="0"/>
          <w:lang w:val="en-US"/>
          <w14:textFill>
            <w14:solidFill>
              <w14:srgbClr w14:val="231F20"/>
            </w14:solidFill>
          </w14:textFill>
        </w:rPr>
        <w:t>Repair</w:t>
      </w:r>
    </w:p>
    <w:p>
      <w:pPr>
        <w:pStyle w:val="Body"/>
        <w:numPr>
          <w:ilvl w:val="2"/>
          <w:numId w:val="13"/>
        </w:numPr>
        <w:bidi w:val="0"/>
        <w:spacing w:before="145" w:line="235" w:lineRule="auto"/>
        <w:ind w:right="194"/>
        <w:jc w:val="left"/>
        <w:rPr>
          <w:sz w:val="20"/>
          <w:szCs w:val="20"/>
          <w:rtl w:val="0"/>
          <w:lang w:val="fr-FR"/>
        </w:rPr>
      </w:pPr>
      <w:r>
        <w:rPr>
          <w:rStyle w:val="None"/>
          <w:caps w:val="0"/>
          <w:smallCaps w:val="0"/>
          <w:strike w:val="0"/>
          <w:dstrike w:val="0"/>
          <w:outline w:val="0"/>
          <w:color w:val="231f20"/>
          <w:sz w:val="20"/>
          <w:szCs w:val="20"/>
          <w:u w:val="none" w:color="231f20"/>
          <w:vertAlign w:val="baseline"/>
          <w:rtl w:val="0"/>
          <w:lang w:val="fr-FR"/>
          <w14:textFill>
            <w14:solidFill>
              <w14:srgbClr w14:val="231F20"/>
            </w14:solidFill>
          </w14:textFill>
        </w:rPr>
        <w:t>Sections 11</w:t>
      </w:r>
      <w:r>
        <w:rPr>
          <w:rStyle w:val="None"/>
          <w:caps w:val="0"/>
          <w:smallCaps w:val="0"/>
          <w:strike w:val="0"/>
          <w:dstrike w:val="0"/>
          <w:outline w:val="0"/>
          <w:color w:val="231f20"/>
          <w:sz w:val="20"/>
          <w:szCs w:val="20"/>
          <w:u w:val="none" w:color="231f20"/>
          <w:vertAlign w:val="baseline"/>
          <w:rtl w:val="0"/>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responsibility, except in the case of an emergency.</w:t>
      </w:r>
    </w:p>
    <w:p>
      <w:pPr>
        <w:pStyle w:val="Body"/>
        <w:numPr>
          <w:ilvl w:val="2"/>
          <w:numId w:val="13"/>
        </w:numPr>
        <w:bidi w:val="0"/>
        <w:spacing w:before="136" w:line="235" w:lineRule="auto"/>
        <w:ind w:right="38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Landlord shall take all reasonable steps to ensure that the Premises shall comply with the Homes (Fitness for Human Habitation) Act 2018.</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Reimbursement</w:t>
      </w:r>
    </w:p>
    <w:p>
      <w:pPr>
        <w:pStyle w:val="Body"/>
        <w:spacing w:before="146" w:line="235" w:lineRule="auto"/>
        <w:ind w:left="897" w:right="320"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p>
    <w:p>
      <w:pPr>
        <w:pStyle w:val="heading 4"/>
        <w:numPr>
          <w:ilvl w:val="1"/>
          <w:numId w:val="13"/>
        </w:numPr>
        <w:spacing w:before="179"/>
        <w:rPr>
          <w:lang w:val="en-US"/>
        </w:rPr>
      </w:pPr>
      <w:r>
        <w:rPr>
          <w:rStyle w:val="None"/>
          <w:outline w:val="0"/>
          <w:color w:val="231f20"/>
          <w:u w:color="231f20"/>
          <w:rtl w:val="0"/>
          <w:lang w:val="en-US"/>
          <w14:textFill>
            <w14:solidFill>
              <w14:srgbClr w14:val="231F20"/>
            </w14:solidFill>
          </w14:textFill>
        </w:rPr>
        <w:t>Data protection and confidentiality</w:t>
      </w:r>
    </w:p>
    <w:p>
      <w:pPr>
        <w:pStyle w:val="Body"/>
        <w:spacing w:before="145" w:line="235" w:lineRule="auto"/>
        <w:ind w:left="897" w:right="163"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p>
    <w:p>
      <w:pPr>
        <w:pStyle w:val="Body"/>
        <w:spacing w:line="242" w:lineRule="auto"/>
        <w:ind w:left="897"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14:textFill>
            <w14:solidFill>
              <w14:srgbClr w14:val="231F20"/>
            </w14:solidFill>
          </w14:textFill>
        </w:rPr>
        <w:t>www.propertygoose.co.uk/privacy.</w:t>
      </w:r>
    </w:p>
    <w:p>
      <w:pPr>
        <w:pStyle w:val="heading 4"/>
        <w:numPr>
          <w:ilvl w:val="1"/>
          <w:numId w:val="13"/>
        </w:numPr>
        <w:spacing w:before="176"/>
        <w:rPr>
          <w:lang w:val="en-US"/>
        </w:rPr>
      </w:pPr>
      <w:r>
        <w:rPr>
          <w:rStyle w:val="None"/>
          <w:outline w:val="0"/>
          <w:color w:val="231f20"/>
          <w:u w:color="231f20"/>
          <w:rtl w:val="0"/>
          <w:lang w:val="en-US"/>
          <w14:textFill>
            <w14:solidFill>
              <w14:srgbClr w14:val="231F20"/>
            </w14:solidFill>
          </w14:textFill>
        </w:rPr>
        <w:t>Council Tax</w:t>
      </w:r>
    </w:p>
    <w:p>
      <w:pPr>
        <w:pStyle w:val="Body"/>
        <w:spacing w:before="146" w:line="235" w:lineRule="auto"/>
        <w:ind w:left="897" w:right="234"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Forfeiture</w:t>
      </w:r>
    </w:p>
    <w:p>
      <w:pPr>
        <w:pStyle w:val="Body"/>
        <w:spacing w:before="145" w:line="235" w:lineRule="auto"/>
        <w:ind w:left="897" w:right="195"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at any time the rent or any part of the rent shall remain unpaid for 14 days for a tenancy in England and 7 days for a tenancy in Wales after becoming payable (whether formally or legally demanded or not); or if any agreement or obligation 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p>
    <w:p>
      <w:pPr>
        <w:pStyle w:val="Body"/>
        <w:spacing w:before="5" w:line="235" w:lineRule="auto"/>
        <w:ind w:left="897" w:right="118" w:firstLine="0"/>
        <w:sectPr>
          <w:headerReference w:type="default" r:id="rId16"/>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provided he has complied with his statutory obligations and has obtained a court order and at that time the Tenancy shall end, but the Landlord retains the right to take action against the Tenant in respect of any breach of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agreements and obligations contained in the Tenancy.</w:t>
      </w:r>
    </w:p>
    <w:p>
      <w:pPr>
        <w:pStyle w:val="heading 4"/>
        <w:numPr>
          <w:ilvl w:val="1"/>
          <w:numId w:val="25"/>
        </w:numPr>
        <w:spacing w:before="45"/>
        <w:rPr>
          <w:lang w:val="en-US"/>
        </w:rPr>
      </w:pPr>
      <w:r>
        <w:rPr>
          <w:rStyle w:val="None"/>
          <w:outline w:val="0"/>
          <w:color w:val="231f20"/>
          <w:u w:color="231f20"/>
          <w:rtl w:val="0"/>
          <w:lang w:val="en-US"/>
          <w14:textFill>
            <w14:solidFill>
              <w14:srgbClr w14:val="231F20"/>
            </w14:solidFill>
          </w14:textFill>
        </w:rPr>
        <w:t>Interruptions to the Tenancy</w:t>
      </w:r>
    </w:p>
    <w:p>
      <w:pPr>
        <w:pStyle w:val="Body"/>
        <w:numPr>
          <w:ilvl w:val="2"/>
          <w:numId w:val="13"/>
        </w:numPr>
        <w:bidi w:val="0"/>
        <w:spacing w:before="146" w:line="235" w:lineRule="auto"/>
        <w:ind w:right="3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p>
    <w:p>
      <w:pPr>
        <w:pStyle w:val="Body"/>
        <w:numPr>
          <w:ilvl w:val="2"/>
          <w:numId w:val="13"/>
        </w:numPr>
        <w:bidi w:val="0"/>
        <w:spacing w:before="134"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not made habitable within one month, either party to this Agreement may terminate this Agreement by giving immediate written notice to the other party.</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Notices</w:t>
      </w:r>
    </w:p>
    <w:p>
      <w:pPr>
        <w:pStyle w:val="Body"/>
        <w:numPr>
          <w:ilvl w:val="2"/>
          <w:numId w:val="13"/>
        </w:numPr>
        <w:bidi w:val="0"/>
        <w:spacing w:before="145" w:line="235" w:lineRule="auto"/>
        <w:ind w:right="18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notifies the Tenant pursuant to Sections 47 and 48 of the Landlord and Tenant Act 1987 that the address at which notices (including notices in proceedings) may be served upon the Landlord is </w:t>
      </w:r>
      <w:r>
        <w:rPr>
          <w:rStyle w:val="None"/>
          <w:outline w:val="0"/>
          <w:color w:val="231f20"/>
          <w:sz w:val="20"/>
          <w:szCs w:val="20"/>
          <w:u w:color="231f20"/>
          <w:rtl w:val="0"/>
          <w:lang w:val="pt-PT"/>
          <w14:textFill>
            <w14:solidFill>
              <w14:srgbClr w14:val="231F20"/>
            </w14:solidFill>
          </w14:textFill>
        </w:rPr>
        <w:t>[LANDLORD/AGENT_ADDRESS].</w:t>
      </w:r>
    </w:p>
    <w:p>
      <w:pPr>
        <w:pStyle w:val="Body"/>
        <w:numPr>
          <w:ilvl w:val="2"/>
          <w:numId w:val="13"/>
        </w:numPr>
        <w:bidi w:val="0"/>
        <w:spacing w:before="134" w:line="235" w:lineRule="auto"/>
        <w:ind w:right="30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p>
    <w:p>
      <w:pPr>
        <w:pStyle w:val="Body"/>
        <w:spacing w:before="3"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addressed to the Tenant at the Premises. This clause shall apply to any notices or documents authorised or required to be served under this Agreement or under any Act of Parliament relating to the Tenancy.</w:t>
      </w:r>
    </w:p>
    <w:p>
      <w:pPr>
        <w:pStyle w:val="Body"/>
        <w:numPr>
          <w:ilvl w:val="2"/>
          <w:numId w:val="13"/>
        </w:numPr>
        <w:bidi w:val="0"/>
        <w:spacing w:before="132" w:line="235" w:lineRule="auto"/>
        <w:ind w:right="28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Service shall be deemed valid if sent by email to the following email address provided by the Tenant at the start of the Tenancy and which the Tenant has confirmed as being their own:</w:t>
      </w:r>
    </w:p>
    <w:p>
      <w:pPr>
        <w:pStyle w:val="Body"/>
        <w:spacing w:line="242"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lang w:val="en-US"/>
          <w14:textFill>
            <w14:solidFill>
              <w14:srgbClr w14:val="231F20"/>
            </w14:solidFill>
          </w14:textFill>
        </w:rPr>
        <w:t>[TENANT_EMAIL]</w:t>
      </w:r>
    </w:p>
    <w:p>
      <w:pPr>
        <w:pStyle w:val="Body"/>
        <w:spacing w:before="8"/>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w:spacing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may also serve notice by email to the following email address which the</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Landlord has confirmed as being their own:</w:t>
      </w:r>
    </w:p>
    <w:p>
      <w:pPr>
        <w:pStyle w:val="Body"/>
        <w:spacing w:line="242"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lang w:val="pt-PT"/>
          <w14:textFill>
            <w14:solidFill>
              <w14:srgbClr w14:val="231F20"/>
            </w14:solidFill>
          </w14:textFill>
        </w:rPr>
        <w:t>[LANDLORD/AGENT_EMAIL]</w:t>
      </w:r>
    </w:p>
    <w:p>
      <w:pPr>
        <w:pStyle w:val="Body"/>
        <w:spacing w:before="8"/>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w:spacing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Both the Tenant and the </w:t>
      </w:r>
      <w:r>
        <w:rPr>
          <w:rStyle w:val="None"/>
          <w:outline w:val="0"/>
          <w:color w:val="231f20"/>
          <w:sz w:val="20"/>
          <w:szCs w:val="20"/>
          <w:u w:color="231f20"/>
          <w:rtl w:val="0"/>
          <w14:textFill>
            <w14:solidFill>
              <w14:srgbClr w14:val="231F20"/>
            </w14:solidFill>
          </w14:textFill>
        </w:rPr>
        <w:t>L</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andlord confirm that there are no limitations to the recipient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agreement to accept service by such means as set out in Clause 4.2 of Practice Direction 6A of the Civil Procedure Rules.</w:t>
      </w:r>
    </w:p>
    <w:p>
      <w:pPr>
        <w:pStyle w:val="Body"/>
        <w:spacing w:before="10"/>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w:spacing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email is sent on a business day before 16:30 then it shall be deemed served that day; or in any other case, the next business day after the day it was sent.</w:t>
      </w:r>
    </w:p>
    <w:p>
      <w:pPr>
        <w:pStyle w:val="Body"/>
        <w:numPr>
          <w:ilvl w:val="2"/>
          <w:numId w:val="15"/>
        </w:numPr>
        <w:bidi w:val="0"/>
        <w:spacing w:before="133" w:line="235" w:lineRule="auto"/>
        <w:ind w:right="194"/>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p>
    <w:p>
      <w:pPr>
        <w:pStyle w:val="Body"/>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Jurisdiction</w:t>
      </w:r>
    </w:p>
    <w:p>
      <w:pPr>
        <w:pStyle w:val="Body"/>
        <w:spacing w:before="142"/>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This Agreement will be subject to the jurisdiction of the Court in England and Wales.</w:t>
      </w:r>
    </w:p>
    <w:p>
      <w:pPr>
        <w:pStyle w:val="heading 4"/>
        <w:numPr>
          <w:ilvl w:val="1"/>
          <w:numId w:val="13"/>
        </w:numPr>
        <w:spacing w:before="175"/>
        <w:rPr>
          <w:lang w:val="en-US"/>
        </w:rPr>
      </w:pPr>
      <w:r>
        <w:rPr>
          <w:rStyle w:val="None"/>
          <w:outline w:val="0"/>
          <w:color w:val="231f20"/>
          <w:u w:color="231f20"/>
          <w:rtl w:val="0"/>
          <w:lang w:val="en-US"/>
          <w14:textFill>
            <w14:solidFill>
              <w14:srgbClr w14:val="231F20"/>
            </w14:solidFill>
          </w14:textFill>
        </w:rPr>
        <w:t>Documentation</w:t>
      </w:r>
    </w:p>
    <w:p>
      <w:pPr>
        <w:pStyle w:val="Body"/>
        <w:spacing w:before="146" w:line="235" w:lineRule="auto"/>
        <w:ind w:left="897" w:right="326" w:firstLine="0"/>
        <w:rPr>
          <w:rStyle w:val="None"/>
          <w:outline w:val="0"/>
          <w:color w:val="231f20"/>
          <w:sz w:val="20"/>
          <w:szCs w:val="20"/>
          <w:u w:color="231f20"/>
          <w14:textFill>
            <w14:solidFill>
              <w14:srgbClr w14:val="231F2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acknowledges receipt of the documents listed in the Guidance Notes on page 1 for Tenants attached to this Agreement</w:t>
      </w:r>
      <w:r>
        <w:rPr>
          <w:rStyle w:val="None"/>
          <w:outline w:val="0"/>
          <w:color w:val="231f20"/>
          <w:sz w:val="20"/>
          <w:szCs w:val="20"/>
          <w:u w:color="231f20"/>
          <w:rtl w:val="0"/>
          <w:lang w:val="en-US"/>
          <w14:textFill>
            <w14:solidFill>
              <w14:srgbClr w14:val="231F20"/>
            </w14:solidFill>
          </w14:textFill>
        </w:rPr>
        <w:t xml:space="preserve"> or sent to you via email.</w:t>
      </w:r>
    </w:p>
    <w:p>
      <w:pPr>
        <w:pStyle w:val="Body"/>
        <w:spacing w:before="146" w:line="235" w:lineRule="auto"/>
        <w:ind w:left="897" w:right="326" w:firstLine="0"/>
        <w:rPr>
          <w:rStyle w:val="None"/>
          <w:outline w:val="0"/>
          <w:color w:val="231f20"/>
          <w:sz w:val="20"/>
          <w:szCs w:val="20"/>
          <w:u w:color="231f20"/>
          <w14:textFill>
            <w14:solidFill>
              <w14:srgbClr w14:val="231F20"/>
            </w14:solidFill>
          </w14:textFill>
        </w:rPr>
      </w:pPr>
    </w:p>
    <w:p>
      <w:pPr>
        <w:pStyle w:val="Body"/>
        <w:spacing w:before="146" w:line="235" w:lineRule="auto"/>
        <w:ind w:left="897" w:right="326" w:firstLine="0"/>
        <w:rPr>
          <w:rStyle w:val="None"/>
          <w:outline w:val="0"/>
          <w:color w:val="231f20"/>
          <w:sz w:val="20"/>
          <w:szCs w:val="20"/>
          <w:u w:color="231f20"/>
          <w14:textFill>
            <w14:solidFill>
              <w14:srgbClr w14:val="231F20"/>
            </w14:solidFill>
          </w14:textFill>
        </w:rPr>
      </w:pPr>
    </w:p>
    <w:p>
      <w:pPr>
        <w:pStyle w:val="Body"/>
        <w:spacing w:before="9"/>
        <w:rPr>
          <w:rStyle w:val="None"/>
          <w:sz w:val="23"/>
          <w:szCs w:val="23"/>
        </w:rPr>
      </w:pPr>
    </w:p>
    <w:p>
      <w:pPr>
        <w:pStyle w:val="Heading 2"/>
        <w:ind w:firstLine="103"/>
        <w:rPr>
          <w:rStyle w:val="None"/>
          <w:rFonts w:ascii="Calibri" w:cs="Calibri" w:hAnsi="Calibri" w:eastAsia="Calibri"/>
        </w:rPr>
      </w:pPr>
      <w:bookmarkStart w:name="_headingh.kjw50qo7b5fg" w:id="6"/>
      <w:bookmarkEnd w:id="6"/>
    </w:p>
    <w:p>
      <w:pPr>
        <w:pStyle w:val="Heading 2"/>
        <w:ind w:firstLine="103"/>
        <w:rPr>
          <w:rStyle w:val="None"/>
          <w:rFonts w:ascii="Calibri" w:cs="Calibri" w:hAnsi="Calibri" w:eastAsia="Calibri"/>
        </w:rPr>
      </w:pPr>
      <w:bookmarkStart w:name="_headingh.4uagr6boeq6n" w:id="7"/>
      <w:bookmarkEnd w:id="7"/>
    </w:p>
    <w:p>
      <w:pPr>
        <w:pStyle w:val="Heading 2"/>
        <w:ind w:firstLine="103"/>
        <w:rPr>
          <w:rStyle w:val="None"/>
          <w:rFonts w:ascii="Calibri" w:cs="Calibri" w:hAnsi="Calibri" w:eastAsia="Calibri"/>
        </w:rPr>
      </w:pPr>
      <w:bookmarkStart w:name="_headingh.x6rowjfrntdc" w:id="8"/>
      <w:bookmarkEnd w:id="8"/>
    </w:p>
    <w:p>
      <w:pPr>
        <w:pStyle w:val="Heading 2"/>
        <w:ind w:firstLine="103"/>
        <w:rPr>
          <w:rStyle w:val="None"/>
          <w:rFonts w:ascii="Calibri" w:cs="Calibri" w:hAnsi="Calibri" w:eastAsia="Calibri"/>
        </w:rPr>
      </w:pPr>
      <w:bookmarkStart w:name="_headingh.l5nf4cy1xwln" w:id="9"/>
      <w:bookmarkEnd w:id="9"/>
    </w:p>
    <w:p>
      <w:pPr>
        <w:pStyle w:val="Heading 2"/>
        <w:ind w:firstLine="103"/>
        <w:rPr>
          <w:rStyle w:val="None"/>
          <w:rFonts w:ascii="Calibri" w:cs="Calibri" w:hAnsi="Calibri" w:eastAsia="Calibri"/>
        </w:rPr>
      </w:pPr>
      <w:bookmarkStart w:name="_headingh.w8hsr3novd79" w:id="10"/>
      <w:bookmarkEnd w:id="10"/>
    </w:p>
    <w:p>
      <w:pPr>
        <w:pStyle w:val="Heading 2"/>
        <w:ind w:firstLine="103"/>
        <w:rPr>
          <w:rStyle w:val="None"/>
          <w:rFonts w:ascii="Calibri" w:cs="Calibri" w:hAnsi="Calibri" w:eastAsia="Calibri"/>
        </w:rPr>
      </w:pPr>
      <w:bookmarkStart w:name="_headingh.8jyhitxe54kk" w:id="11"/>
      <w:bookmarkEnd w:id="11"/>
    </w:p>
    <w:p>
      <w:pPr>
        <w:pStyle w:val="Heading 2"/>
        <w:ind w:firstLine="103"/>
        <w:rPr>
          <w:rStyle w:val="None"/>
          <w:rFonts w:ascii="Calibri" w:cs="Calibri" w:hAnsi="Calibri" w:eastAsia="Calibri"/>
        </w:rPr>
      </w:pPr>
      <w:bookmarkStart w:name="_headingh.fjlso2vtugmr" w:id="12"/>
      <w:bookmarkEnd w:id="12"/>
      <w:r>
        <w:rPr>
          <w:rStyle w:val="None"/>
          <w:rFonts w:ascii="Calibri" w:hAnsi="Calibri"/>
          <w:rtl w:val="0"/>
        </w:rPr>
        <w:t>S</w:t>
      </w:r>
      <w:r>
        <w:rPr>
          <w:rStyle w:val="None"/>
          <w:rFonts w:ascii="Calibri" w:hAnsi="Calibri"/>
          <w:rtl w:val="0"/>
          <w:lang w:val="en-US"/>
        </w:rPr>
        <w:t>PECIAL TERMS AND CONDITIONS</w:t>
      </w:r>
    </w:p>
    <w:p>
      <w:pPr>
        <w:pStyle w:val="Body"/>
        <w:spacing w:before="3"/>
      </w:pPr>
    </w:p>
    <w:p>
      <w:pPr>
        <w:pStyle w:val="heading 4"/>
        <w:spacing w:before="63" w:line="235" w:lineRule="auto"/>
        <w:ind w:left="103" w:right="399" w:firstLine="0"/>
      </w:pPr>
      <w:bookmarkStart w:name="_headingh.ujlz9xg8ogy2" w:id="13"/>
      <w:bookmarkEnd w:id="13"/>
      <w:r>
        <w:rPr>
          <w:rStyle w:val="None"/>
          <w:outline w:val="0"/>
          <w:color w:val="231f20"/>
          <w:u w:color="231f20"/>
          <w:rtl w:val="0"/>
          <w:lang w:val="en-US"/>
          <w14:textFill>
            <w14:solidFill>
              <w14:srgbClr w14:val="231F20"/>
            </w14:solidFill>
          </w14:textFill>
        </w:rPr>
        <w:t>A</w:t>
      </w:r>
      <w:r>
        <w:rPr>
          <w:rStyle w:val="None"/>
          <w:outline w:val="0"/>
          <w:color w:val="231f20"/>
          <w:u w:color="231f20"/>
          <w:rtl w:val="0"/>
          <w:lang w:val="en-US"/>
          <w14:textFill>
            <w14:solidFill>
              <w14:srgbClr w14:val="231F20"/>
            </w14:solidFill>
          </w14:textFill>
        </w:rPr>
        <w:t>ny clause contained below shall supersede the equivalent clause within the standard terms of the Agreement. These clauses are negotiated individually between the Landlord and the Tenant.</w:t>
      </w:r>
    </w:p>
    <w:p>
      <w:pPr>
        <w:pStyle w:val="Body"/>
        <w:spacing w:before="10"/>
        <w:rPr>
          <w:rStyle w:val="None"/>
          <w:b w:val="1"/>
          <w:bCs w:val="1"/>
          <w:sz w:val="19"/>
          <w:szCs w:val="19"/>
        </w:rPr>
      </w:pP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tv25qjgjgbm" w:id="14"/>
      <w:bookmarkEnd w:id="14"/>
      <w:r>
        <w:rPr>
          <w:rStyle w:val="None"/>
          <w:b w:val="1"/>
          <w:bCs w:val="1"/>
          <w:outline w:val="0"/>
          <w:color w:val="231f20"/>
          <w:sz w:val="20"/>
          <w:szCs w:val="20"/>
          <w:u w:color="231f20"/>
          <w:rtl w:val="0"/>
          <w14:textFill>
            <w14:solidFill>
              <w14:srgbClr w14:val="231F20"/>
            </w14:solidFill>
          </w14:textFill>
        </w:rPr>
        <w:t>1</w:t>
      </w:r>
      <w:r>
        <w:rPr>
          <w:rStyle w:val="None"/>
          <w:b w:val="1"/>
          <w:bCs w:val="1"/>
          <w:outline w:val="0"/>
          <w:color w:val="231f20"/>
          <w:sz w:val="20"/>
          <w:szCs w:val="20"/>
          <w:u w:color="231f20"/>
          <w:rtl w:val="0"/>
          <w14:textFill>
            <w14:solidFill>
              <w14:srgbClr w14:val="231F20"/>
            </w14:solidFill>
          </w14:textFill>
        </w:rPr>
        <w:t>1.</w:t>
      </w:r>
      <w:r>
        <w:rPr>
          <w:rStyle w:val="None"/>
          <w:outline w:val="0"/>
          <w:color w:val="231f20"/>
          <w:sz w:val="20"/>
          <w:szCs w:val="20"/>
          <w:u w:color="231f20"/>
          <w:rtl w:val="0"/>
          <w:lang w:val="en-US"/>
          <w14:textFill>
            <w14:solidFill>
              <w14:srgbClr w14:val="231F20"/>
            </w14:solidFill>
          </w14:textFill>
        </w:rPr>
        <w:t xml:space="preserve"> [tenancy_break_clause]</w:t>
      </w: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yjntqse0it2j" w:id="15"/>
      <w:bookmarkEnd w:id="15"/>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atgikhrn62" w:id="16"/>
      <w:bookmarkEnd w:id="16"/>
      <w:r>
        <w:rPr>
          <w:rStyle w:val="None"/>
          <w:b w:val="1"/>
          <w:bCs w:val="1"/>
          <w:outline w:val="0"/>
          <w:color w:val="231f20"/>
          <w:sz w:val="20"/>
          <w:szCs w:val="20"/>
          <w:u w:color="231f20"/>
          <w:rtl w:val="0"/>
          <w14:textFill>
            <w14:solidFill>
              <w14:srgbClr w14:val="231F20"/>
            </w14:solidFill>
          </w14:textFill>
        </w:rPr>
        <w:t>1</w:t>
      </w:r>
      <w:r>
        <w:rPr>
          <w:rStyle w:val="None"/>
          <w:b w:val="1"/>
          <w:bCs w:val="1"/>
          <w:outline w:val="0"/>
          <w:color w:val="231f20"/>
          <w:sz w:val="20"/>
          <w:szCs w:val="20"/>
          <w:u w:color="231f20"/>
          <w:rtl w:val="0"/>
          <w14:textFill>
            <w14:solidFill>
              <w14:srgbClr w14:val="231F20"/>
            </w14:solidFill>
          </w14:textFill>
        </w:rPr>
        <w:t>1.1</w:t>
      </w:r>
      <w:r>
        <w:rPr>
          <w:rStyle w:val="None"/>
          <w:outline w:val="0"/>
          <w:color w:val="231f20"/>
          <w:sz w:val="20"/>
          <w:szCs w:val="20"/>
          <w:u w:color="231f20"/>
          <w:rtl w:val="0"/>
          <w:lang w:val="en-US"/>
          <w14:textFill>
            <w14:solidFill>
              <w14:srgbClr w14:val="231F20"/>
            </w14:solidFill>
          </w14:textFill>
        </w:rPr>
        <w:t xml:space="preserve"> [tenancy_special_clause]</w:t>
      </w: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sgy9cuklm6a" w:id="17"/>
      <w:bookmarkEnd w:id="17"/>
    </w:p>
    <w:p>
      <w:pPr>
        <w:pStyle w:val="Heading 2"/>
        <w:spacing w:before="86"/>
        <w:ind w:left="0" w:firstLine="0"/>
      </w:pPr>
      <w:bookmarkStart w:name="_headingh.aq94avi4382u" w:id="18"/>
      <w:bookmarkEnd w:id="18"/>
      <w:r>
        <w:rPr>
          <w:rStyle w:val="None"/>
          <w:rFonts w:ascii="Calibri" w:hAnsi="Calibri"/>
          <w:rtl w:val="0"/>
        </w:rPr>
        <w:t>A</w:t>
      </w:r>
      <w:r>
        <w:rPr>
          <w:rStyle w:val="None"/>
          <w:rFonts w:ascii="Calibri" w:hAnsi="Calibri"/>
          <w:rtl w:val="0"/>
          <w:lang w:val="en-US"/>
        </w:rPr>
        <w:t>GREEMENT SIGNED BY THE LANDLORD</w:t>
      </w:r>
    </w:p>
    <w:p>
      <w:pPr>
        <w:pStyle w:val="Body"/>
        <w:spacing w:before="3"/>
        <w:rPr>
          <w:rStyle w:val="None"/>
          <w:sz w:val="20"/>
          <w:szCs w:val="20"/>
        </w:rPr>
      </w:pPr>
    </w:p>
    <w:p>
      <w:pPr>
        <w:pStyle w:val="Body"/>
        <w:spacing w:before="59"/>
        <w:rPr>
          <w:rStyle w:val="None"/>
          <w:sz w:val="20"/>
          <w:szCs w:val="20"/>
        </w:rPr>
      </w:pPr>
      <w:bookmarkStart w:name="_headingh.3fafosxjiuub" w:id="19"/>
      <w:bookmarkEnd w:id="19"/>
      <w:r>
        <w:rPr>
          <w:rStyle w:val="None"/>
          <w:outline w:val="0"/>
          <w:color w:val="231f20"/>
          <w:sz w:val="20"/>
          <w:szCs w:val="20"/>
          <w:u w:color="231f20"/>
          <w:rtl w:val="0"/>
          <w14:textFill>
            <w14:solidFill>
              <w14:srgbClr w14:val="231F20"/>
            </w14:solidFill>
          </w14:textFill>
        </w:rPr>
        <w:t>S</w:t>
      </w:r>
      <w:r>
        <w:rPr>
          <w:rStyle w:val="None"/>
          <w:outline w:val="0"/>
          <w:color w:val="231f20"/>
          <w:sz w:val="20"/>
          <w:szCs w:val="20"/>
          <w:u w:color="231f20"/>
          <w:rtl w:val="0"/>
          <w:lang w:val="en-US"/>
          <w14:textFill>
            <w14:solidFill>
              <w14:srgbClr w14:val="231F20"/>
            </w14:solidFill>
          </w14:textFill>
        </w:rPr>
        <w:t>igned by the Landlord(s) listed in the Agreement.</w:t>
      </w:r>
    </w:p>
    <w:p>
      <w:pPr>
        <w:pStyle w:val="Body"/>
        <w:spacing w:before="8"/>
        <w:rPr>
          <w:rStyle w:val="None"/>
          <w:sz w:val="15"/>
          <w:szCs w:val="15"/>
        </w:rPr>
      </w:pPr>
    </w:p>
    <w:p>
      <w:pPr>
        <w:pStyle w:val="Body"/>
        <w:spacing w:before="100"/>
        <w:rPr>
          <w:rStyle w:val="None"/>
          <w:sz w:val="18"/>
          <w:szCs w:val="18"/>
        </w:rPr>
      </w:pPr>
      <w:r>
        <w:rPr>
          <w:rStyle w:val="None"/>
          <w:sz w:val="18"/>
          <w:szCs w:val="18"/>
          <w:rtl w:val="0"/>
          <w:lang w:val="en-US"/>
        </w:rPr>
        <w:t>[LANDLORD1NAME]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[LANDLORD1SIGN]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[LANDLORD1SIGNDATE]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[LANDLORD2NAME]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[LANDLORD2SIGN]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[LANDLORD2SIGNDATE]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[LANDLORD3NAME]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[LANDLORD3SIGN]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[LANDLORD3SIGNDATE]</w:t>
      </w:r>
    </w:p>
    <w:p>
      <w:pPr>
        <w:pStyle w:val="Body"/>
        <w:spacing w:before="100"/>
        <w:rPr>
          <w:rStyle w:val="None"/>
          <w:sz w:val="18"/>
          <w:szCs w:val="18"/>
        </w:rPr>
      </w:pPr>
    </w:p>
    <w:p>
      <w:pPr>
        <w:pStyle w:val="Heading 2"/>
        <w:rPr>
          <w:rStyle w:val="None"/>
          <w:rFonts w:ascii="Calibri" w:cs="Calibri" w:hAnsi="Calibri" w:eastAsia="Calibri"/>
        </w:rPr>
      </w:pPr>
      <w:bookmarkStart w:name="_headingh.qpztczcqxsrf" w:id="20"/>
      <w:bookmarkEnd w:id="20"/>
    </w:p>
    <w:p>
      <w:pPr>
        <w:pStyle w:val="Body"/>
        <w:spacing w:before="100"/>
        <w:rPr>
          <w:rStyle w:val="None"/>
          <w:sz w:val="18"/>
          <w:szCs w:val="18"/>
        </w:rPr>
      </w:pPr>
      <w:r>
        <w:rPr>
          <w:rStyle w:val="None"/>
          <w:sz w:val="18"/>
          <w:szCs w:val="18"/>
          <w:rtl w:val="0"/>
          <w:lang w:val="en-US"/>
        </w:rPr>
        <w:t>[LANDLORD4NAME]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[LANDLORD4SIGN]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[LANDLORD4SIGNDATE]</w:t>
      </w: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h5q2n3uodmt" w:id="21"/>
      <w:bookmarkEnd w:id="21"/>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u34gh5743i2m" w:id="22"/>
      <w:bookmarkEnd w:id="22"/>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4xsjhgfgdngw" w:id="23"/>
      <w:bookmarkEnd w:id="23"/>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vpxgp0wmmrwo" w:id="24"/>
      <w:bookmarkEnd w:id="24"/>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fg9t70x20aw8" w:id="25"/>
      <w:bookmarkEnd w:id="25"/>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hcrpu8skapbs" w:id="26"/>
      <w:bookmarkEnd w:id="26"/>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dtwmv3b8mjvn" w:id="27"/>
      <w:bookmarkEnd w:id="27"/>
    </w:p>
    <w:p>
      <w:pPr>
        <w:pStyle w:val="Heading 2"/>
        <w:rPr>
          <w:rStyle w:val="None"/>
          <w:rFonts w:ascii="Calibri" w:cs="Calibri" w:hAnsi="Calibri" w:eastAsia="Calibri"/>
        </w:rPr>
      </w:pPr>
      <w:bookmarkStart w:name="_headingh.4fpejss8uukt" w:id="28"/>
      <w:bookmarkEnd w:id="28"/>
      <w:r>
        <w:rPr>
          <w:rStyle w:val="None"/>
          <w:rFonts w:ascii="Calibri" w:hAnsi="Calibri"/>
          <w:rtl w:val="0"/>
        </w:rPr>
        <w:t>A</w:t>
      </w:r>
      <w:r>
        <w:rPr>
          <w:rStyle w:val="None"/>
          <w:rFonts w:ascii="Calibri" w:hAnsi="Calibri"/>
          <w:rtl w:val="0"/>
          <w:lang w:val="en-US"/>
        </w:rPr>
        <w:t>GREEMENT SIGNED BY THE TENANT(S)</w:t>
      </w:r>
    </w:p>
    <w:p>
      <w:pPr>
        <w:pStyle w:val="Body"/>
        <w:spacing w:before="5"/>
        <w:rPr>
          <w:rStyle w:val="None"/>
          <w:sz w:val="9"/>
          <w:szCs w:val="9"/>
        </w:rPr>
      </w:pPr>
    </w:p>
    <w:p>
      <w:pPr>
        <w:pStyle w:val="Body"/>
        <w:spacing w:before="60" w:line="242" w:lineRule="auto"/>
        <w:ind w:left="103" w:firstLine="0"/>
        <w:rPr>
          <w:rStyle w:val="None"/>
          <w:sz w:val="20"/>
          <w:szCs w:val="20"/>
        </w:rPr>
      </w:pPr>
      <w:r>
        <w:rPr>
          <w:rStyle w:val="None"/>
          <w:outline w:val="0"/>
          <w:color w:val="231f20"/>
          <w:sz w:val="20"/>
          <w:szCs w:val="20"/>
          <w:u w:color="231f20"/>
          <w:rtl w:val="0"/>
          <w:lang w:val="en-US"/>
          <w14:textFill>
            <w14:solidFill>
              <w14:srgbClr w14:val="231F20"/>
            </w14:solidFill>
          </w14:textFill>
        </w:rPr>
        <w:t xml:space="preserve">Where there are Guarantors to this Agreement, each Guarantor shall sign a separate </w:t>
      </w:r>
      <w:r>
        <w:rPr>
          <w:rStyle w:val="None"/>
          <w:i w:val="1"/>
          <w:iCs w:val="1"/>
          <w:outline w:val="0"/>
          <w:color w:val="231f20"/>
          <w:sz w:val="20"/>
          <w:szCs w:val="20"/>
          <w:u w:color="231f20"/>
          <w:rtl w:val="0"/>
          <w:lang w:val="en-US"/>
          <w14:textFill>
            <w14:solidFill>
              <w14:srgbClr w14:val="231F20"/>
            </w14:solidFill>
          </w14:textFill>
        </w:rPr>
        <w:t xml:space="preserve">Deed of Guarantee </w:t>
      </w:r>
      <w:r>
        <w:rPr>
          <w:rStyle w:val="None"/>
          <w:outline w:val="0"/>
          <w:color w:val="231f20"/>
          <w:sz w:val="20"/>
          <w:szCs w:val="20"/>
          <w:u w:color="231f20"/>
          <w:rtl w:val="0"/>
          <w:lang w:val="en-US"/>
          <w14:textFill>
            <w14:solidFill>
              <w14:srgbClr w14:val="231F20"/>
            </w14:solidFill>
          </w14:textFill>
        </w:rPr>
        <w:t>which</w:t>
      </w:r>
    </w:p>
    <w:p>
      <w:pPr>
        <w:pStyle w:val="Body"/>
        <w:spacing w:line="242" w:lineRule="auto"/>
        <w:ind w:left="103" w:firstLine="0"/>
        <w:rPr>
          <w:rStyle w:val="None"/>
          <w:outline w:val="0"/>
          <w:color w:val="231f20"/>
          <w:sz w:val="20"/>
          <w:szCs w:val="20"/>
          <w:u w:color="231f20"/>
          <w14:textFill>
            <w14:solidFill>
              <w14:srgbClr w14:val="231F20"/>
            </w14:solidFill>
          </w14:textFill>
        </w:rPr>
      </w:pPr>
      <w:r>
        <w:rPr>
          <w:rStyle w:val="None"/>
          <w:outline w:val="0"/>
          <w:color w:val="231f20"/>
          <w:sz w:val="20"/>
          <w:szCs w:val="20"/>
          <w:u w:color="231f20"/>
          <w:rtl w:val="0"/>
          <w:lang w:val="en-US"/>
          <w14:textFill>
            <w14:solidFill>
              <w14:srgbClr w14:val="231F20"/>
            </w14:solidFill>
          </w14:textFill>
        </w:rPr>
        <w:t>shall be affixed herein and form part of the Agreement.</w:t>
      </w:r>
    </w:p>
    <w:p>
      <w:pPr>
        <w:pStyle w:val="Body"/>
        <w:spacing w:before="100"/>
        <w:rPr>
          <w:rStyle w:val="None"/>
          <w:sz w:val="14"/>
          <w:szCs w:val="14"/>
        </w:rPr>
      </w:pPr>
    </w:p>
    <w:p>
      <w:pPr>
        <w:pStyle w:val="Body"/>
        <w:spacing w:before="100"/>
        <w:rPr>
          <w:rStyle w:val="None"/>
          <w:sz w:val="14"/>
          <w:szCs w:val="14"/>
        </w:rPr>
      </w:pPr>
    </w:p>
    <w:p>
      <w:pPr>
        <w:pStyle w:val="Body"/>
        <w:spacing w:before="100"/>
        <w:rPr>
          <w:rStyle w:val="None"/>
          <w:sz w:val="18"/>
          <w:szCs w:val="18"/>
        </w:rPr>
      </w:pPr>
      <w:r>
        <w:rPr>
          <w:rStyle w:val="None"/>
          <w:sz w:val="18"/>
          <w:szCs w:val="18"/>
          <w:rtl w:val="0"/>
          <w:lang w:val="en-US"/>
        </w:rPr>
        <w:t>[TENANT1NAME]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de-DE"/>
        </w:rPr>
        <w:t>SIGNED:    [TENANT1SIGN]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[TENANT1SIGNDATE]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[TENANT2NAME]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[TENANT2SIGN]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[TENANT2SIGNDATE]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[TENANT3NAME]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[TENANT3SIGN]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[TENANT3SIGNDATE]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[TENANT4NAME]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[TENANT4SIGN]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[TENANT4SIGNDATE]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[TENANT5NAME]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[TENANT5SIGNDATE]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[TENANT6NAME]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[TENANT6SIGN]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[TENANT6SIGNDATE]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[TENANT7NAME]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[TENANT7SIGN]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[TENANT7SIGNDATE]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[TENANT8NAME]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[TENANT8SIGN]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[TENANT8SIGNDATE]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[TENANT9NAME]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[TENANT9SIGN]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[TENANT9SIGNDATE]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[TENANT10NAME]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[TENANT10SIGN]</w:t>
      </w:r>
    </w:p>
    <w:p>
      <w:pPr>
        <w:pStyle w:val="Body"/>
        <w:spacing w:before="100"/>
        <w:rPr>
          <w:rStyle w:val="None"/>
          <w:sz w:val="18"/>
          <w:szCs w:val="18"/>
        </w:rPr>
      </w:pPr>
    </w:p>
    <w:p>
      <w:pPr>
        <w:pStyle w:val="Body"/>
        <w:spacing w:before="100"/>
      </w:pPr>
      <w:r>
        <w:rPr>
          <w:rStyle w:val="None"/>
          <w:sz w:val="18"/>
          <w:szCs w:val="18"/>
          <w:rtl w:val="0"/>
          <w:lang w:val="en-US"/>
        </w:rPr>
        <w:t>[DATED:]   [TENANT10SIGNDATE]</w:t>
      </w:r>
    </w:p>
    <w:sectPr>
      <w:headerReference w:type="default" r:id="rId17"/>
      <w:pgSz w:w="11920" w:h="16840" w:orient="portrait"/>
      <w:pgMar w:top="1200" w:right="1180" w:bottom="1220" w:left="1200" w:header="0" w:footer="102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entury Gothic">
    <w:charset w:val="00"/>
    <w:family w:val="roman"/>
    <w:pitch w:val="default"/>
  </w:font>
  <w:font w:name="Comforta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808989</wp:posOffset>
              </wp:positionH>
              <wp:positionV relativeFrom="page">
                <wp:posOffset>19681824</wp:posOffset>
              </wp:positionV>
              <wp:extent cx="0" cy="12701"/>
              <wp:effectExtent l="0" t="0" r="0" b="0"/>
              <wp:wrapNone/>
              <wp:docPr id="1073741825" name="officeArt object" descr="Line"/>
              <wp:cNvGraphicFramePr/>
              <a:graphic xmlns:a="http://schemas.openxmlformats.org/drawingml/2006/main">
                <a:graphicData uri="http://schemas.microsoft.com/office/word/2010/wordprocessingShape">
                  <wps:wsp>
                    <wps:cNvSpPr/>
                    <wps:spPr>
                      <a:xfrm>
                        <a:off x="0" y="0"/>
                        <a:ext cx="0" cy="12701"/>
                      </a:xfrm>
                      <a:prstGeom prst="line">
                        <a:avLst/>
                      </a:prstGeom>
                      <a:noFill/>
                      <a:ln w="9525" cap="flat">
                        <a:solidFill>
                          <a:srgbClr val="939598"/>
                        </a:solidFill>
                        <a:prstDash val="solid"/>
                        <a:round/>
                      </a:ln>
                      <a:effectLst/>
                    </wps:spPr>
                    <wps:bodyPr/>
                  </wps:wsp>
                </a:graphicData>
              </a:graphic>
            </wp:anchor>
          </w:drawing>
        </mc:Choice>
        <mc:Fallback>
          <w:pict>
            <v:line id="_x0000_s1026"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09"/>
              <wp:effectExtent l="0" t="0" r="0" b="0"/>
              <wp:wrapNone/>
              <wp:docPr id="1073741826"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27"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19741197</wp:posOffset>
              </wp:positionV>
              <wp:extent cx="1649095" cy="153149"/>
              <wp:effectExtent l="0" t="0" r="0" b="0"/>
              <wp:wrapNone/>
              <wp:docPr id="1073741827"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28"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28"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29"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29"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0"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30"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1"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31"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32"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32"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3"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33"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4"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34"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35"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35"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6"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36"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7"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37"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38"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38"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9"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39"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0"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40"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41"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41"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2"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42"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3"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43"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44"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44"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5"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45"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6"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46"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47"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47"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8"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48"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9"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49"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0"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50"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1"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51"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2"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52"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3"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53"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4"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54"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5"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55"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6"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56"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7"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57"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8"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58"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9"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59"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60"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60"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61"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808990</wp:posOffset>
              </wp:positionH>
              <wp:positionV relativeFrom="page">
                <wp:posOffset>19681825</wp:posOffset>
              </wp:positionV>
              <wp:extent cx="0" cy="12700"/>
              <wp:effectExtent l="0" t="0" r="0" b="0"/>
              <wp:wrapNone/>
              <wp:docPr id="1073741861"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62" style="visibility:visible;position:absolute;margin-left:63.7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19741198</wp:posOffset>
              </wp:positionV>
              <wp:extent cx="214630" cy="173609"/>
              <wp:effectExtent l="0" t="0" r="0" b="0"/>
              <wp:wrapNone/>
              <wp:docPr id="1073741862" name="officeArt object" descr="PAGE 10"/>
              <wp:cNvGraphicFramePr/>
              <a:graphic xmlns:a="http://schemas.openxmlformats.org/drawingml/2006/main">
                <a:graphicData uri="http://schemas.microsoft.com/office/word/2010/wordprocessingShape">
                  <wps:wsp>
                    <wps:cNvSpPr txBox="1"/>
                    <wps:spPr>
                      <a:xfrm>
                        <a:off x="0" y="0"/>
                        <a:ext cx="214630" cy="173609"/>
                      </a:xfrm>
                      <a:prstGeom prst="rect">
                        <a:avLst/>
                      </a:prstGeom>
                      <a:noFill/>
                      <a:ln w="12700" cap="flat">
                        <a:noFill/>
                        <a:miter lim="400000"/>
                      </a:ln>
                      <a:effectLst/>
                    </wps:spPr>
                    <wps:txb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63"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5110162</wp:posOffset>
              </wp:positionH>
              <wp:positionV relativeFrom="page">
                <wp:posOffset>19741198</wp:posOffset>
              </wp:positionV>
              <wp:extent cx="1649095" cy="153149"/>
              <wp:effectExtent l="0" t="0" r="0" b="0"/>
              <wp:wrapNone/>
              <wp:docPr id="1073741863"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64"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464"/>
        </w:tabs>
        <w:ind w:left="463"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sz w:val="24"/>
        <w:szCs w:val="24"/>
        <w:highlight w:val="none"/>
        <w:vertAlign w:val="baseline"/>
      </w:rPr>
    </w:lvl>
    <w:lvl w:ilvl="1">
      <w:start w:val="1"/>
      <w:numFmt w:val="bullet"/>
      <w:suff w:val="tab"/>
      <w:lvlText w:val="•"/>
      <w:lvlJc w:val="left"/>
      <w:pPr>
        <w:tabs>
          <w:tab w:val="left" w:pos="463"/>
          <w:tab w:val="left" w:pos="464"/>
        </w:tabs>
        <w:ind w:left="1366"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2">
      <w:start w:val="1"/>
      <w:numFmt w:val="bullet"/>
      <w:suff w:val="tab"/>
      <w:lvlText w:val="•"/>
      <w:lvlJc w:val="left"/>
      <w:pPr>
        <w:tabs>
          <w:tab w:val="left" w:pos="463"/>
          <w:tab w:val="left" w:pos="464"/>
        </w:tabs>
        <w:ind w:left="2273"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3">
      <w:start w:val="1"/>
      <w:numFmt w:val="bullet"/>
      <w:suff w:val="tab"/>
      <w:lvlText w:val="•"/>
      <w:lvlJc w:val="left"/>
      <w:pPr>
        <w:tabs>
          <w:tab w:val="left" w:pos="463"/>
          <w:tab w:val="left" w:pos="464"/>
        </w:tabs>
        <w:ind w:left="3179"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4">
      <w:start w:val="1"/>
      <w:numFmt w:val="bullet"/>
      <w:suff w:val="tab"/>
      <w:lvlText w:val="•"/>
      <w:lvlJc w:val="left"/>
      <w:pPr>
        <w:tabs>
          <w:tab w:val="left" w:pos="463"/>
          <w:tab w:val="left" w:pos="464"/>
        </w:tabs>
        <w:ind w:left="4086"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5">
      <w:start w:val="1"/>
      <w:numFmt w:val="bullet"/>
      <w:suff w:val="tab"/>
      <w:lvlText w:val="•"/>
      <w:lvlJc w:val="left"/>
      <w:pPr>
        <w:tabs>
          <w:tab w:val="left" w:pos="463"/>
          <w:tab w:val="left" w:pos="464"/>
        </w:tabs>
        <w:ind w:left="4992"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6">
      <w:start w:val="1"/>
      <w:numFmt w:val="bullet"/>
      <w:suff w:val="tab"/>
      <w:lvlText w:val="•"/>
      <w:lvlJc w:val="left"/>
      <w:pPr>
        <w:tabs>
          <w:tab w:val="left" w:pos="463"/>
          <w:tab w:val="left" w:pos="464"/>
        </w:tabs>
        <w:ind w:left="5899"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7">
      <w:start w:val="1"/>
      <w:numFmt w:val="bullet"/>
      <w:suff w:val="tab"/>
      <w:lvlText w:val="•"/>
      <w:lvlJc w:val="left"/>
      <w:pPr>
        <w:tabs>
          <w:tab w:val="left" w:pos="463"/>
          <w:tab w:val="left" w:pos="464"/>
        </w:tabs>
        <w:ind w:left="6805"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8">
      <w:start w:val="1"/>
      <w:numFmt w:val="bullet"/>
      <w:suff w:val="tab"/>
      <w:lvlText w:val="•"/>
      <w:lvlJc w:val="left"/>
      <w:pPr>
        <w:tabs>
          <w:tab w:val="left" w:pos="463"/>
          <w:tab w:val="left" w:pos="464"/>
        </w:tabs>
        <w:ind w:left="7712"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left" w:pos="322"/>
        </w:tabs>
        <w:ind w:left="321"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1">
      <w:start w:val="1"/>
      <w:numFmt w:val="decimal"/>
      <w:suff w:val="tab"/>
      <w:lvlText w:val="%2."/>
      <w:lvlJc w:val="left"/>
      <w:pPr>
        <w:tabs>
          <w:tab w:val="left" w:pos="322"/>
        </w:tabs>
        <w:ind w:left="93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2">
      <w:start w:val="1"/>
      <w:numFmt w:val="decimal"/>
      <w:suff w:val="tab"/>
      <w:lvlText w:val="%3."/>
      <w:lvlJc w:val="left"/>
      <w:pPr>
        <w:tabs>
          <w:tab w:val="left" w:pos="322"/>
        </w:tabs>
        <w:ind w:left="165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3">
      <w:start w:val="1"/>
      <w:numFmt w:val="decimal"/>
      <w:suff w:val="tab"/>
      <w:lvlText w:val="%4."/>
      <w:lvlJc w:val="left"/>
      <w:pPr>
        <w:tabs>
          <w:tab w:val="left" w:pos="322"/>
        </w:tabs>
        <w:ind w:left="237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4">
      <w:start w:val="1"/>
      <w:numFmt w:val="decimal"/>
      <w:suff w:val="tab"/>
      <w:lvlText w:val="%5."/>
      <w:lvlJc w:val="left"/>
      <w:pPr>
        <w:tabs>
          <w:tab w:val="left" w:pos="322"/>
        </w:tabs>
        <w:ind w:left="309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5">
      <w:start w:val="1"/>
      <w:numFmt w:val="decimal"/>
      <w:suff w:val="tab"/>
      <w:lvlText w:val="%6."/>
      <w:lvlJc w:val="left"/>
      <w:pPr>
        <w:tabs>
          <w:tab w:val="left" w:pos="322"/>
        </w:tabs>
        <w:ind w:left="381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6">
      <w:start w:val="1"/>
      <w:numFmt w:val="decimal"/>
      <w:suff w:val="tab"/>
      <w:lvlText w:val="%7."/>
      <w:lvlJc w:val="left"/>
      <w:pPr>
        <w:tabs>
          <w:tab w:val="left" w:pos="322"/>
        </w:tabs>
        <w:ind w:left="453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7">
      <w:start w:val="1"/>
      <w:numFmt w:val="decimal"/>
      <w:suff w:val="tab"/>
      <w:lvlText w:val="%8."/>
      <w:lvlJc w:val="left"/>
      <w:pPr>
        <w:tabs>
          <w:tab w:val="left" w:pos="322"/>
        </w:tabs>
        <w:ind w:left="525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8">
      <w:start w:val="1"/>
      <w:numFmt w:val="decimal"/>
      <w:suff w:val="tab"/>
      <w:lvlText w:val="%9."/>
      <w:lvlJc w:val="left"/>
      <w:pPr>
        <w:tabs>
          <w:tab w:val="left" w:pos="322"/>
        </w:tabs>
        <w:ind w:left="597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1">
      <w:start w:val="1"/>
      <w:numFmt w:val="decimal"/>
      <w:suff w:val="tab"/>
      <w:lvlText w:val="%1.%2."/>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2">
      <w:start w:val="1"/>
      <w:numFmt w:val="decimal"/>
      <w:suff w:val="tab"/>
      <w:lvlText w:val="%1.%2.%3."/>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3">
      <w:start w:val="1"/>
      <w:numFmt w:val="decimal"/>
      <w:suff w:val="tab"/>
      <w:lvlText w:val="%1.%2.%3.%4."/>
      <w:lvlJc w:val="left"/>
      <w:pPr>
        <w:ind w:left="949"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4">
      <w:start w:val="1"/>
      <w:numFmt w:val="decimal"/>
      <w:suff w:val="tab"/>
      <w:lvlText w:val="%1.%2.%3.%4.%5."/>
      <w:lvlJc w:val="left"/>
      <w:pPr>
        <w:ind w:left="1000"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5">
      <w:start w:val="1"/>
      <w:numFmt w:val="decimal"/>
      <w:suff w:val="nothing"/>
      <w:lvlText w:val="%1.%2.%3.%4.%5.%6."/>
      <w:lvlJc w:val="left"/>
      <w:pPr>
        <w:ind w:left="1052"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6">
      <w:start w:val="1"/>
      <w:numFmt w:val="decimal"/>
      <w:suff w:val="nothing"/>
      <w:lvlText w:val="%1.%2.%3.%4.%5.%6.%7."/>
      <w:lvlJc w:val="left"/>
      <w:pPr>
        <w:ind w:left="1103"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7">
      <w:start w:val="1"/>
      <w:numFmt w:val="decimal"/>
      <w:suff w:val="nothing"/>
      <w:lvlText w:val="%1.%2.%3.%4.%5.%6.%7.%8."/>
      <w:lvlJc w:val="left"/>
      <w:pPr>
        <w:ind w:left="1155"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8">
      <w:start w:val="1"/>
      <w:numFmt w:val="decimal"/>
      <w:suff w:val="nothing"/>
      <w:lvlText w:val="%1.%2.%3.%4.%5.%6.%7.%8.%9."/>
      <w:lvlJc w:val="left"/>
      <w:pPr>
        <w:ind w:left="1206"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464"/>
          </w:tabs>
          <w:ind w:left="463"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sz w:val="24"/>
          <w:szCs w:val="24"/>
          <w:highlight w:val="none"/>
          <w:vertAlign w:val="baseline"/>
        </w:rPr>
      </w:lvl>
    </w:lvlOverride>
    <w:lvlOverride w:ilvl="1">
      <w:lvl w:ilvl="1">
        <w:start w:val="1"/>
        <w:numFmt w:val="bullet"/>
        <w:suff w:val="tab"/>
        <w:lvlText w:val="•"/>
        <w:lvlJc w:val="left"/>
        <w:pPr>
          <w:tabs>
            <w:tab w:val="left" w:pos="463"/>
            <w:tab w:val="left" w:pos="464"/>
          </w:tabs>
          <w:ind w:left="1366"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bullet"/>
        <w:suff w:val="tab"/>
        <w:lvlText w:val="•"/>
        <w:lvlJc w:val="left"/>
        <w:pPr>
          <w:tabs>
            <w:tab w:val="left" w:pos="463"/>
            <w:tab w:val="left" w:pos="464"/>
          </w:tabs>
          <w:ind w:left="2273"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bullet"/>
        <w:suff w:val="tab"/>
        <w:lvlText w:val="•"/>
        <w:lvlJc w:val="left"/>
        <w:pPr>
          <w:tabs>
            <w:tab w:val="left" w:pos="463"/>
            <w:tab w:val="left" w:pos="464"/>
          </w:tabs>
          <w:ind w:left="3179"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bullet"/>
        <w:suff w:val="tab"/>
        <w:lvlText w:val="•"/>
        <w:lvlJc w:val="left"/>
        <w:pPr>
          <w:tabs>
            <w:tab w:val="left" w:pos="463"/>
            <w:tab w:val="left" w:pos="464"/>
          </w:tabs>
          <w:ind w:left="4086"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bullet"/>
        <w:suff w:val="tab"/>
        <w:lvlText w:val="•"/>
        <w:lvlJc w:val="left"/>
        <w:pPr>
          <w:tabs>
            <w:tab w:val="left" w:pos="463"/>
            <w:tab w:val="left" w:pos="464"/>
          </w:tabs>
          <w:ind w:left="4992"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bullet"/>
        <w:suff w:val="tab"/>
        <w:lvlText w:val="•"/>
        <w:lvlJc w:val="left"/>
        <w:pPr>
          <w:tabs>
            <w:tab w:val="left" w:pos="463"/>
            <w:tab w:val="left" w:pos="464"/>
          </w:tabs>
          <w:ind w:left="5899"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bullet"/>
        <w:suff w:val="tab"/>
        <w:lvlText w:val="•"/>
        <w:lvlJc w:val="left"/>
        <w:pPr>
          <w:tabs>
            <w:tab w:val="left" w:pos="463"/>
            <w:tab w:val="left" w:pos="464"/>
          </w:tabs>
          <w:ind w:left="6805"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bullet"/>
        <w:suff w:val="tab"/>
        <w:lvlText w:val="•"/>
        <w:lvlJc w:val="left"/>
        <w:pPr>
          <w:tabs>
            <w:tab w:val="left" w:pos="463"/>
            <w:tab w:val="left" w:pos="464"/>
          </w:tabs>
          <w:ind w:left="7712"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tabs>
            <w:tab w:val="left" w:pos="135"/>
          </w:tabs>
          <w:ind w:left="61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135"/>
          </w:tabs>
          <w:ind w:left="133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135"/>
          </w:tabs>
          <w:ind w:left="205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135"/>
          </w:tabs>
          <w:ind w:left="277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135"/>
          </w:tabs>
          <w:ind w:left="349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135"/>
          </w:tabs>
          <w:ind w:left="421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135"/>
          </w:tabs>
          <w:ind w:left="493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135"/>
          </w:tabs>
          <w:ind w:left="565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135"/>
          </w:tabs>
          <w:ind w:left="637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7">
    <w:abstractNumId w:val="2"/>
    <w:lvlOverride w:ilvl="0">
      <w:lvl w:ilvl="0">
        <w:start w:val="1"/>
        <w:numFmt w:val="decimal"/>
        <w:suff w:val="tab"/>
        <w:lvlText w:val="%1."/>
        <w:lvlJc w:val="left"/>
        <w:pPr>
          <w:tabs>
            <w:tab w:val="left" w:pos="320"/>
          </w:tabs>
          <w:ind w:left="319"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20"/>
          </w:tabs>
          <w:ind w:left="93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20"/>
          </w:tabs>
          <w:ind w:left="165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20"/>
          </w:tabs>
          <w:ind w:left="237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20"/>
          </w:tabs>
          <w:ind w:left="309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20"/>
          </w:tabs>
          <w:ind w:left="381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20"/>
          </w:tabs>
          <w:ind w:left="453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20"/>
          </w:tabs>
          <w:ind w:left="525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20"/>
          </w:tabs>
          <w:ind w:left="597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8">
    <w:abstractNumId w:val="2"/>
    <w:lvlOverride w:ilvl="0">
      <w:lvl w:ilvl="0">
        <w:start w:val="1"/>
        <w:numFmt w:val="decimal"/>
        <w:suff w:val="tab"/>
        <w:lvlText w:val="%1."/>
        <w:lvlJc w:val="left"/>
        <w:pPr>
          <w:tabs>
            <w:tab w:val="num" w:pos="320"/>
          </w:tabs>
          <w:ind w:left="21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20"/>
            <w:tab w:val="num" w:pos="1040"/>
          </w:tabs>
          <w:ind w:left="93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20"/>
            <w:tab w:val="num" w:pos="1760"/>
          </w:tabs>
          <w:ind w:left="165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20"/>
            <w:tab w:val="num" w:pos="2480"/>
          </w:tabs>
          <w:ind w:left="237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20"/>
            <w:tab w:val="num" w:pos="3200"/>
          </w:tabs>
          <w:ind w:left="309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20"/>
            <w:tab w:val="num" w:pos="3920"/>
          </w:tabs>
          <w:ind w:left="381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20"/>
            <w:tab w:val="num" w:pos="4640"/>
          </w:tabs>
          <w:ind w:left="453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20"/>
            <w:tab w:val="num" w:pos="5360"/>
          </w:tabs>
          <w:ind w:left="525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20"/>
            <w:tab w:val="num" w:pos="6080"/>
          </w:tabs>
          <w:ind w:left="597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9">
    <w:abstractNumId w:val="2"/>
    <w:lvlOverride w:ilvl="0">
      <w:lvl w:ilvl="0">
        <w:start w:val="1"/>
        <w:numFmt w:val="decimal"/>
        <w:suff w:val="tab"/>
        <w:lvlText w:val="%1."/>
        <w:lvlJc w:val="left"/>
        <w:pPr>
          <w:tabs>
            <w:tab w:val="num" w:pos="319"/>
          </w:tabs>
          <w:ind w:left="21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19"/>
            <w:tab w:val="num" w:pos="1039"/>
          </w:tabs>
          <w:ind w:left="93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19"/>
            <w:tab w:val="num" w:pos="1759"/>
          </w:tabs>
          <w:ind w:left="165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19"/>
            <w:tab w:val="num" w:pos="2479"/>
          </w:tabs>
          <w:ind w:left="237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19"/>
            <w:tab w:val="num" w:pos="3199"/>
          </w:tabs>
          <w:ind w:left="309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19"/>
            <w:tab w:val="num" w:pos="3919"/>
          </w:tabs>
          <w:ind w:left="381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19"/>
            <w:tab w:val="num" w:pos="4639"/>
          </w:tabs>
          <w:ind w:left="453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19"/>
            <w:tab w:val="num" w:pos="5359"/>
          </w:tabs>
          <w:ind w:left="525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19"/>
            <w:tab w:val="num" w:pos="6079"/>
          </w:tabs>
          <w:ind w:left="597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10">
    <w:abstractNumId w:val="5"/>
  </w:num>
  <w:num w:numId="11">
    <w:abstractNumId w:val="4"/>
  </w:num>
  <w:num w:numId="12">
    <w:abstractNumId w:val="4"/>
    <w:lvlOverride w:ilvl="0">
      <w:startOverride w:val="7"/>
    </w:lvlOverride>
  </w:num>
  <w:num w:numId="13">
    <w:abstractNumId w:val="4"/>
    <w:lvlOverride w:ilvl="0">
      <w:startOverride w:val="8"/>
      <w:lvl w:ilvl="0">
        <w:start w:val="8"/>
        <w:numFmt w:val="decimal"/>
        <w:suff w:val="tab"/>
        <w:lvlText w:val="%1."/>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7"/>
            <w:tab w:val="left" w:pos="898"/>
          </w:tabs>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7"/>
            <w:tab w:val="left" w:pos="898"/>
          </w:tabs>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7"/>
            <w:tab w:val="left" w:pos="898"/>
          </w:tabs>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7"/>
            <w:tab w:val="left" w:pos="898"/>
          </w:tabs>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7"/>
            <w:tab w:val="left" w:pos="898"/>
          </w:tabs>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4">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8"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7"/>
            <w:tab w:val="left" w:pos="898"/>
          </w:tabs>
          <w:ind w:left="999"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7"/>
            <w:tab w:val="left" w:pos="898"/>
          </w:tabs>
          <w:ind w:left="1050"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7"/>
            <w:tab w:val="left" w:pos="898"/>
          </w:tabs>
          <w:ind w:left="1101"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7"/>
            <w:tab w:val="left" w:pos="898"/>
          </w:tabs>
          <w:ind w:left="1152"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7"/>
            <w:tab w:val="left" w:pos="898"/>
          </w:tabs>
          <w:ind w:left="1203"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5">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8"/>
          </w:tabs>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6">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startOverride w:val="13"/>
      <w:lvl w:ilvl="2">
        <w:start w:val="13"/>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7">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3"/>
      <w:lvl w:ilvl="1">
        <w:start w:val="3"/>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8">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9"/>
      <w:lvl w:ilvl="1">
        <w:start w:val="9"/>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9">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13"/>
      <w:lvl w:ilvl="1">
        <w:start w:val="13"/>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0">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18"/>
      <w:lvl w:ilvl="1">
        <w:start w:val="18"/>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1">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26"/>
      <w:lvl w:ilvl="1">
        <w:start w:val="26"/>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2">
    <w:abstractNumId w:val="4"/>
    <w:lvlOverride w:ilvl="0">
      <w:startOverride w:val="9"/>
      <w:lvl w:ilvl="0">
        <w:start w:val="9"/>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3">
    <w:abstractNumId w:val="4"/>
    <w:lvlOverride w:ilvl="0">
      <w:startOverride w:val="10"/>
      <w:lvl w:ilvl="0">
        <w:start w:val="10"/>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4">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7"/>
            <w:tab w:val="left" w:pos="898"/>
          </w:tabs>
          <w:ind w:left="1000"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7"/>
            <w:tab w:val="left" w:pos="898"/>
          </w:tabs>
          <w:ind w:left="1052"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7"/>
            <w:tab w:val="left" w:pos="898"/>
          </w:tabs>
          <w:ind w:left="1103"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7"/>
            <w:tab w:val="left" w:pos="898"/>
          </w:tabs>
          <w:ind w:left="1155"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7"/>
            <w:tab w:val="left" w:pos="898"/>
          </w:tabs>
          <w:ind w:left="1206"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num>
  <w:num w:numId="25">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8"/>
      <w:lvl w:ilvl="1">
        <w:start w:val="8"/>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120" w:after="0" w:line="230" w:lineRule="auto"/>
      <w:ind w:left="0" w:right="170" w:firstLine="0"/>
      <w:jc w:val="left"/>
      <w:outlineLvl w:val="0"/>
    </w:pPr>
    <w:rPr>
      <w:rFonts w:ascii="Comfortaa" w:cs="Comfortaa" w:hAnsi="Comfortaa" w:eastAsia="Comfortaa"/>
      <w:b w:val="0"/>
      <w:bCs w:val="0"/>
      <w:i w:val="0"/>
      <w:iCs w:val="0"/>
      <w:caps w:val="0"/>
      <w:smallCaps w:val="0"/>
      <w:strike w:val="0"/>
      <w:dstrike w:val="0"/>
      <w:outline w:val="0"/>
      <w:color w:val="ff9900"/>
      <w:spacing w:val="0"/>
      <w:kern w:val="0"/>
      <w:position w:val="0"/>
      <w:sz w:val="32"/>
      <w:szCs w:val="32"/>
      <w:u w:val="none" w:color="ff9900"/>
      <w:shd w:val="nil" w:color="auto" w:fill="auto"/>
      <w:vertAlign w:val="baseline"/>
      <w:lang w:val="de-DE"/>
      <w14:textOutline>
        <w14:noFill/>
      </w14:textOutline>
      <w14:textFill>
        <w14:solidFill>
          <w14:srgbClr w14:val="FF99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100" w:after="0" w:line="240" w:lineRule="auto"/>
      <w:ind w:left="105" w:right="0" w:hanging="1"/>
      <w:jc w:val="left"/>
      <w:outlineLvl w:val="1"/>
    </w:pPr>
    <w:rPr>
      <w:rFonts w:ascii="Century Gothic" w:cs="Century Gothic" w:hAnsi="Century Gothic" w:eastAsia="Century Gothic"/>
      <w:b w:val="0"/>
      <w:bCs w:val="0"/>
      <w:i w:val="0"/>
      <w:iCs w:val="0"/>
      <w:caps w:val="0"/>
      <w:smallCaps w:val="0"/>
      <w:strike w:val="0"/>
      <w:dstrike w:val="0"/>
      <w:outline w:val="0"/>
      <w:color w:val="ff9900"/>
      <w:spacing w:val="0"/>
      <w:kern w:val="0"/>
      <w:position w:val="0"/>
      <w:sz w:val="20"/>
      <w:szCs w:val="20"/>
      <w:u w:val="none" w:color="ff9900"/>
      <w:shd w:val="nil" w:color="auto" w:fill="auto"/>
      <w:vertAlign w:val="baseline"/>
      <w14:textOutline>
        <w14:noFill/>
      </w14:textOutline>
      <w14:textFill>
        <w14:solidFill>
          <w14:srgbClr w14:val="FF9900"/>
        </w14:solidFill>
      </w14:textFill>
    </w:rPr>
  </w:style>
  <w:style w:type="numbering" w:styleId="Imported Style 1">
    <w:name w:val="Imported Style 1"/>
    <w:pPr>
      <w:numPr>
        <w:numId w:val="1"/>
      </w:numPr>
    </w:pPr>
  </w:style>
  <w:style w:type="paragraph" w:styleId="Heading 3">
    <w:name w:val="Heading 3"/>
    <w:next w:val="Body"/>
    <w:pPr>
      <w:keepNext w:val="0"/>
      <w:keepLines w:val="0"/>
      <w:pageBreakBefore w:val="0"/>
      <w:widowControl w:val="0"/>
      <w:shd w:val="clear" w:color="auto" w:fill="auto"/>
      <w:suppressAutoHyphens w:val="0"/>
      <w:bidi w:val="0"/>
      <w:spacing w:before="100" w:after="0" w:line="240" w:lineRule="auto"/>
      <w:ind w:left="105" w:right="0" w:firstLine="0"/>
      <w:jc w:val="left"/>
      <w:outlineLvl w:val="2"/>
    </w:pPr>
    <w:rPr>
      <w:rFonts w:ascii="Century Gothic" w:cs="Century Gothic" w:hAnsi="Century Gothic" w:eastAsia="Century Gothic"/>
      <w:b w:val="0"/>
      <w:bCs w:val="0"/>
      <w:i w:val="0"/>
      <w:iCs w:val="0"/>
      <w:caps w:val="0"/>
      <w:smallCaps w:val="0"/>
      <w:strike w:val="0"/>
      <w:dstrike w:val="0"/>
      <w:outline w:val="0"/>
      <w:color w:val="ff9900"/>
      <w:spacing w:val="0"/>
      <w:kern w:val="0"/>
      <w:position w:val="0"/>
      <w:sz w:val="14"/>
      <w:szCs w:val="14"/>
      <w:u w:val="none" w:color="ff9900"/>
      <w:shd w:val="nil" w:color="auto" w:fill="auto"/>
      <w:vertAlign w:val="baseline"/>
      <w14:textOutline>
        <w14:noFill/>
      </w14:textOutline>
      <w14:textFill>
        <w14:solidFill>
          <w14:srgbClr w14:val="FF9900"/>
        </w14:solidFill>
      </w14:textFill>
    </w:rPr>
  </w:style>
  <w:style w:type="numbering" w:styleId="Imported Style 2">
    <w:name w:val="Imported Style 2"/>
    <w:pPr>
      <w:numPr>
        <w:numId w:val="4"/>
      </w:numPr>
    </w:pPr>
  </w:style>
  <w:style w:type="numbering" w:styleId="Imported Style 3">
    <w:name w:val="Imported Style 3"/>
    <w:pPr>
      <w:numPr>
        <w:numId w:val="10"/>
      </w:numPr>
    </w:pPr>
  </w:style>
  <w:style w:type="character" w:styleId="None">
    <w:name w:val="None"/>
  </w:style>
  <w:style w:type="character" w:styleId="Hyperlink.0">
    <w:name w:val="Hyperlink.0"/>
    <w:basedOn w:val="None"/>
    <w:next w:val="Hyperlink.0"/>
    <w:rPr>
      <w:outline w:val="0"/>
      <w:color w:val="231f20"/>
      <w:sz w:val="20"/>
      <w:szCs w:val="20"/>
      <w:u w:val="single" w:color="231f20"/>
      <w14:textFill>
        <w14:solidFill>
          <w14:srgbClr w14:val="231F20"/>
        </w14:solidFill>
      </w14:textFill>
    </w:rPr>
  </w:style>
  <w:style w:type="paragraph" w:styleId="heading 4">
    <w:name w:val="heading 4"/>
    <w:next w:val="Body"/>
    <w:pPr>
      <w:keepNext w:val="0"/>
      <w:keepLines w:val="0"/>
      <w:pageBreakBefore w:val="0"/>
      <w:widowControl w:val="0"/>
      <w:shd w:val="clear" w:color="auto" w:fill="auto"/>
      <w:suppressAutoHyphens w:val="0"/>
      <w:bidi w:val="0"/>
      <w:spacing w:before="60" w:after="0"/>
      <w:ind w:left="897" w:right="0" w:hanging="795"/>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