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Pulse Brief</w:t>
      </w:r>
    </w:p>
    <w:p>
      <w:pPr>
        <w:spacing w:after="240"/>
      </w:pPr>
      <w:r>
        <w:rPr>
          <w:i/>
          <w:iCs/>
          <w:color w:val="555555"/>
          <w:sz w:val="24"/>
          <w:szCs w:val="24"/>
        </w:rPr>
        <w:t xml:space="preserve">Week of June 13–20, 2026</w:t>
      </w:r>
    </w:p>
    <w:p>
      <w:pPr>
        <w:spacing w:after="160"/>
      </w:pPr>
      <w:r>
        <w:t xml:space="preserve">A loud week, Matthew. The single biggest story is not a model release or a funding round but a precedent: for the first time, the US government reached in and switched off a frontier AI model mid-deployment. Around it, the money kept moving in ways that matter to you — the largest IPO in history turned into an AI-compute story, the application layer saw its first mega-acquisition, and the smart money started pointing at the physical economy. Below, the quick hits first, then the few items that earn the full walk-through.</w:t>
      </w:r>
    </w:p>
    <w:p>
      <w:pPr>
        <w:pBdr>
          <w:bottom w:val="single" w:color="BBBBBB" w:sz="6" w:space="1"/>
        </w:pBdr>
        <w:spacing w:after="160" w:before="80"/>
      </w:pPr>
      <w:r>
        <w:t xml:space="preserve"/>
      </w:r>
    </w:p>
    <w:p>
      <w:pPr>
        <w:pStyle w:val="Heading1"/>
      </w:pPr>
      <w:r>
        <w:t xml:space="preserve">Top developments</w:t>
      </w:r>
    </w:p>
    <w:p>
      <w:pPr>
        <w:pStyle w:val="Heading2"/>
      </w:pPr>
      <w:r>
        <w:t xml:space="preserve">1. The US government forced Anthropic to shut off its two best models. This is the story of the week, and maybe the year.</w:t>
      </w:r>
    </w:p>
    <w:p>
      <w:pPr>
        <w:spacing w:after="160"/>
      </w:pPr>
      <w:r>
        <w:rPr>
          <w:b/>
          <w:bCs/>
        </w:rPr>
        <w:t xml:space="preserve">What happened.</w:t>
      </w:r>
      <w:r>
        <w:t xml:space="preserve"> On June 12 at 5:21pm ET, the Commerce Department handed Anthropic an export-control directive ordering it to suspend all access to Fable 5 and Mythos 5 — its two frontier models, released just three days earlier on June 9 — for every foreign national, anywhere in the world, including Anthropic's own foreign-national employees. Because that is impossible to enforce selectively, Anthropic had to pull both models for all customers worldwide. Every other Claude model (Opus, Sonnet, Haiku) stayed up. (Source: </w:t>
      </w:r>
      <w:hyperlink w:history="1" r:id="rIde9dfjogc9urc-yyyl2yyk">
        <w:r>
          <w:rPr>
            <w:rStyle w:val="Hyperlink"/>
          </w:rPr>
          <w:t xml:space="preserve">Anthropic statement</w:t>
        </w:r>
      </w:hyperlink>
      <w:r>
        <w:t xml:space="preserve">, Jun 12.)</w:t>
      </w:r>
    </w:p>
    <w:p>
      <w:pPr>
        <w:spacing w:after="160"/>
      </w:pPr>
      <w:r>
        <w:rPr>
          <w:b/>
          <w:bCs/>
        </w:rPr>
        <w:t xml:space="preserve">The stated reason, and the evidence.</w:t>
      </w:r>
      <w:r>
        <w:t xml:space="preserve"> The government cited national security: it believed someone had found a way to “jailbreak” Fable (get it to bypass its own safety guardrails) to do cyber-offense work. A jailbreak is just a prompt trick that talks a model out of its restrictions. Anthropic's rebuttal, in its own post, is unusually pointed: the demonstrated technique only surfaced minor, already-known software vulnerabilities, and other models already on the market — including OpenAI's GPT-5.5 — can find the same things without any jailbreak at all. Anthropic argued that if “a narrow jailbreak exists” were the bar for recalling a model, no frontier model from anyone could ever ship. (Source: </w:t>
      </w:r>
      <w:hyperlink w:history="1" r:id="rIdiieszdwrirdlqaymz-avt">
        <w:r>
          <w:rPr>
            <w:rStyle w:val="Hyperlink"/>
          </w:rPr>
          <w:t xml:space="preserve">Anthropic statement</w:t>
        </w:r>
      </w:hyperlink>
      <w:r>
        <w:t xml:space="preserve">.)</w:t>
      </w:r>
    </w:p>
    <w:p>
      <w:pPr>
        <w:spacing w:after="160"/>
      </w:pPr>
      <w:r>
        <w:rPr>
          <w:b/>
          <w:bCs/>
        </w:rPr>
        <w:t xml:space="preserve">What actually seems to have triggered it.</w:t>
      </w:r>
      <w:r>
        <w:t xml:space="preserve"> Reporting pulled together on The AI Daily Brief points at something more political than technical. Anthropic had quietly added about 50 organizations to “Project Glasswing” (an early-access program), then took days to produce the recipient list when asked. When the government got it, the list reportedly included a South Korean telecom suspected of ties to the Chinese government — and that, not the jailbreak per se, is what set off the export-control hammer. When Dario Amodei reportedly told Commerce Secretary Howard Lutnick the order meant pulling the model entirely, Lutnick's answer was: “That's the point.” (Source: </w:t>
      </w:r>
      <w:hyperlink w:history="1" r:id="rIdgew7q6l73o42370luav63">
        <w:r>
          <w:rPr>
            <w:rStyle w:val="Hyperlink"/>
          </w:rPr>
          <w:t xml:space="preserve">AI Daily Brief, Jun 17</w:t>
        </w:r>
      </w:hyperlink>
      <w:r>
        <w:t xml:space="preserve">, citing Bloomberg, the Washington Post, and Axios.)</w:t>
      </w:r>
    </w:p>
    <w:p>
      <w:pPr>
        <w:spacing w:after="160"/>
      </w:pPr>
      <w:r>
        <w:rPr>
          <w:b/>
          <w:bCs/>
        </w:rPr>
        <w:t xml:space="preserve">Why it matters to you, traced out.</w:t>
      </w:r>
      <w:r>
        <w:t xml:space="preserve"> This is the one to really sit with, because it changes a planning assumption.</w:t>
      </w:r>
    </w:p>
    <w:p>
      <w:pPr>
        <w:pStyle w:val="ListParagraph"/>
        <w:numPr>
          <w:ilvl w:val="0"/>
          <w:numId w:val="2"/>
        </w:numPr>
        <w:spacing w:after="100"/>
      </w:pPr>
      <w:r>
        <w:rPr>
          <w:b/>
          <w:bCs/>
        </w:rPr>
        <w:t xml:space="preserve">Access is now a geopolitical variable, not a contract term.</w:t>
      </w:r>
      <w:r>
        <w:t xml:space="preserve"> Until now, “which model do I build on” was a question of price and capability. This week added a third axis: can it be switched off by a government? Deutsche Bank's Jim Reid put it plainly — “You can't rely on something that could be switched off.” For an operator, that is a hard-edged procurement-risk lesson: a business whose core function runs on a single frontier model now has a single point of failure that sits partly with US export-control policy. The mitigation the market is already reaching for is multi-model routing (an app that can swap between models) and open-weight fallbacks (models you download and run yourself, which nobody can remotely disable).</w:t>
      </w:r>
    </w:p>
    <w:p>
      <w:pPr>
        <w:pStyle w:val="ListParagraph"/>
        <w:numPr>
          <w:ilvl w:val="0"/>
          <w:numId w:val="2"/>
        </w:numPr>
        <w:spacing w:after="100"/>
      </w:pPr>
      <w:r>
        <w:rPr>
          <w:b/>
          <w:bCs/>
        </w:rPr>
        <w:t xml:space="preserve">It is a gift to Chinese open models, and everyone said so.</w:t>
      </w:r>
      <w:r>
        <w:t xml:space="preserve"> The Council on Foreign Relations' read, in the FT: “Washington has just done more to boost Chinese AI models than Beijing ever could have hoped.” If predictability of access — not just cost — is now a buying criterion, an open model you keep your own copy of suddenly looks like the safe choice. (See item 4.)</w:t>
      </w:r>
    </w:p>
    <w:p>
      <w:pPr>
        <w:pStyle w:val="ListParagraph"/>
        <w:numPr>
          <w:ilvl w:val="0"/>
          <w:numId w:val="2"/>
        </w:numPr>
        <w:spacing w:after="100"/>
      </w:pPr>
      <w:r>
        <w:rPr>
          <w:b/>
          <w:bCs/>
        </w:rPr>
        <w:t xml:space="preserve">The legal theory is shaky, and that is the transactional-law angle for you.</w:t>
      </w:r>
      <w:r>
        <w:t xml:space="preserve"> Charlie Bullock of the Institute for Law and AI called the government's legal basis “strange, very aggressive, and probably vulnerable to legal and constitutional challenge,” while predicting Anthropic won't actually sue and the two sides will quietly settle. The deeper point: this is regulation-by-improvised-directive, not a real statutory regime. For someone heading into transactional law and deal-making around AI companies, this is the live frontier — there is no clean rulebook yet for who can deploy what, and that uncertainty becomes a diligence item, an indemnity clause, and a risk factor in every AI-related deal for the next few years.</w:t>
      </w:r>
    </w:p>
    <w:p>
      <w:pPr>
        <w:spacing w:after="160"/>
      </w:pPr>
      <w:r>
        <w:rPr>
          <w:b/>
          <w:bCs/>
        </w:rPr>
        <w:t xml:space="preserve">My read (clearly labeled as mine):</w:t>
      </w:r>
      <w:r>
        <w:t xml:space="preserve"> The signal is much bigger than the specific spat, which will probably get patched up — Commerce has already hinted it would let the consumer version of Fable back once the jailbreak is “fixed,” even though Anthropic and outside experts (former OpenAI board member Helen Toner among them) say perfect jailbreak resistance is not technically possible for anyone. The durable takeaway is that frontier AI has crossed fully into the national-security domain, and access to the best models is now an instrument of state power. If you ever build on these models, treat single-vendor dependence as a real risk and design for substitutability from day one.</w:t>
      </w:r>
    </w:p>
    <w:p>
      <w:pPr>
        <w:pStyle w:val="Heading2"/>
      </w:pPr>
      <w:r>
        <w:t xml:space="preserve">2. SpaceX pulled off the largest IPO ever — and it's really an AI-compute story — then spent the proceeds buying Cursor for $60B.</w:t>
      </w:r>
    </w:p>
    <w:p>
      <w:pPr>
        <w:spacing w:after="160"/>
      </w:pPr>
      <w:r>
        <w:rPr>
          <w:b/>
          <w:bCs/>
        </w:rPr>
        <w:t xml:space="preserve">What happened.</w:t>
      </w:r>
      <w:r>
        <w:t xml:space="preserve"> SpaceX went public on June 11 at $135 a share, raising roughly $75 billion — the biggest IPO in history. The stock popped 19% the first day, then kept climbing; by Tuesday June 16 it closed at $201.80, up 49% from the IPO price, valuing the company at about $2.6 trillion — the fifth-most-valuable company on earth, just ahead of Amazon. Elon Musk became the world's first trillionaire on paper. (Sources: </w:t>
      </w:r>
      <w:hyperlink w:history="1" r:id="rIdf_ifem8nihwrykjvxzgtr">
        <w:r>
          <w:rPr>
            <w:rStyle w:val="Hyperlink"/>
          </w:rPr>
          <w:t xml:space="preserve">NPR</w:t>
        </w:r>
      </w:hyperlink>
      <w:r>
        <w:t xml:space="preserve">, </w:t>
      </w:r>
      <w:hyperlink w:history="1" r:id="rId1cfk-vt_v2awtablwn2rh">
        <w:r>
          <w:rPr>
            <w:rStyle w:val="Hyperlink"/>
          </w:rPr>
          <w:t xml:space="preserve">AI Daily Brief, Jun 17</w:t>
        </w:r>
      </w:hyperlink>
      <w:r>
        <w:t xml:space="preserve">.)</w:t>
      </w:r>
    </w:p>
    <w:p>
      <w:pPr>
        <w:spacing w:after="160"/>
      </w:pPr>
      <w:r>
        <w:rPr>
          <w:b/>
          <w:bCs/>
        </w:rPr>
        <w:t xml:space="preserve">The part that belongs in an AI brief.</w:t>
      </w:r>
      <w:r>
        <w:t xml:space="preserve"> SpaceX is a rocket company on the label, but the IPO narrative that got it to $2.6T is increasingly about AI infrastructure. xAI (Musk's AI lab) was folded into SpaceX, and its “Colossus II” data-center build became an asset SpaceX could rent out. Compute deals with Anthropic and then Google reportedly made this “neo-cloud” revenue SpaceX's single largest line almost overnight, with an orbital-data-center story layered on top. A neo-cloud, in plain terms, is a company that buys a huge fleet of AI chips and rents them out by the hour — the same business as CoreWeave — because demand for training and running models far outstrips what the traditional clouds can supply. (Source: </w:t>
      </w:r>
      <w:hyperlink w:history="1" r:id="rId2xxdqhvm0kzot7rr9z2-u">
        <w:r>
          <w:rPr>
            <w:rStyle w:val="Hyperlink"/>
          </w:rPr>
          <w:t xml:space="preserve">AI Daily Brief, Jun 17</w:t>
        </w:r>
      </w:hyperlink>
      <w:r>
        <w:t xml:space="preserve">.)</w:t>
      </w:r>
    </w:p>
    <w:p>
      <w:pPr>
        <w:spacing w:after="160"/>
      </w:pPr>
      <w:r>
        <w:rPr>
          <w:b/>
          <w:bCs/>
        </w:rPr>
        <w:t xml:space="preserve">Then the deal.</w:t>
      </w:r>
      <w:r>
        <w:t xml:space="preserve"> Flush with highly valued stock, SpaceX exercised a right to acquire Cursor — the AI coding tool — for $60 billion. Cursor had reached roughly a $4B annual revenue run rate, growing about 7x year over year. The FT framed it as SpaceX's “Instagram moment”: buying a fast-rising competitor early and taking it off the board. (Source: </w:t>
      </w:r>
      <w:hyperlink w:history="1" r:id="rIdfey0gft5exmck2qmijgcs">
        <w:r>
          <w:rPr>
            <w:rStyle w:val="Hyperlink"/>
          </w:rPr>
          <w:t xml:space="preserve">AI Daily Brief, Jun 17</w:t>
        </w:r>
      </w:hyperlink>
      <w:r>
        <w:t xml:space="preserve">.)</w:t>
      </w:r>
    </w:p>
    <w:p>
      <w:pPr>
        <w:spacing w:after="160"/>
      </w:pPr>
      <w:r>
        <w:rPr>
          <w:b/>
          <w:bCs/>
        </w:rPr>
        <w:t xml:space="preserve">Why it matters to you, traced out.</w:t>
      </w:r>
      <w:r>
        <w:t xml:space="preserve"> Three operator-and-finance lessons stacked here, right in your wheelhouse.</w:t>
      </w:r>
    </w:p>
    <w:p>
      <w:pPr>
        <w:pStyle w:val="ListParagraph"/>
        <w:numPr>
          <w:ilvl w:val="0"/>
          <w:numId w:val="2"/>
        </w:numPr>
        <w:spacing w:after="100"/>
      </w:pPr>
      <w:r>
        <w:rPr>
          <w:b/>
          <w:bCs/>
        </w:rPr>
        <w:t xml:space="preserve">High-multiple equity is acquisition currency.</w:t>
      </w:r>
      <w:r>
        <w:t xml:space="preserve"> Investor Bill Ackman's line — “value begets value” — is the mechanism: because SpaceX trades at an enormous valuation, it can buy a $60B company while giving up a relatively small slice of itself. Same logic that let Cisco and later the FAANGs roll up entire sectors in stock. The lesson: a richly valued equity is not just a scoreboard, it is a tool — it lets you make accretive acquisitions cheaply and out-recruit everyone on talent.</w:t>
      </w:r>
    </w:p>
    <w:p>
      <w:pPr>
        <w:pStyle w:val="ListParagraph"/>
        <w:numPr>
          <w:ilvl w:val="0"/>
          <w:numId w:val="2"/>
        </w:numPr>
        <w:spacing w:after="100"/>
      </w:pPr>
      <w:r>
        <w:rPr>
          <w:b/>
          <w:bCs/>
        </w:rPr>
        <w:t xml:space="preserve">The first big application-layer exit just happened.</w:t>
      </w:r>
      <w:r>
        <w:t xml:space="preserve"> Until now the money and the M&amp;A were concentrated at the model and infrastructure layers. Cursor is an application — a product built on top of models — and a $60B exit there signals that durable value is forming in the layer where you would actually build a company. Chamath Palihapitiya's framing is the one to keep: the lasting value in Cursor isn't its model but its “control plane” — the harness, the customer relationship, the governance and auditability that let a big organization actually trust and adopt AI. The moat is the workflow and the trust, not the raw intelligence. For someone thinking about what AI business to start or buy, that is the most useful sentence of the week: own the control plane, not the model.</w:t>
      </w:r>
    </w:p>
    <w:p>
      <w:pPr>
        <w:pStyle w:val="ListParagraph"/>
        <w:numPr>
          <w:ilvl w:val="0"/>
          <w:numId w:val="2"/>
        </w:numPr>
        <w:spacing w:after="100"/>
      </w:pPr>
      <w:r>
        <w:rPr>
          <w:b/>
          <w:bCs/>
        </w:rPr>
        <w:t xml:space="preserve">Watch the bubble tell.</w:t>
      </w:r>
      <w:r>
        <w:t xml:space="preserve"> SpaceX at $2.6T sits just above Amazon, which has roughly 40x the revenue, and the vast majority of SpaceX stock is still locked up and will unlock through the year, which could push the price down. That gap between price and fundamentals is a clean example of AI-narrative valuation running well ahead of cash flows.</w:t>
      </w:r>
    </w:p>
    <w:p>
      <w:pPr>
        <w:pStyle w:val="Heading2"/>
      </w:pPr>
      <w:r>
        <w:t xml:space="preserve">3. The smart money started pointing AI at the physical economy: Bezos's Prometheus raised $12B at a $41B valuation.</w:t>
      </w:r>
    </w:p>
    <w:p>
      <w:pPr>
        <w:spacing w:after="160"/>
      </w:pPr>
      <w:r>
        <w:rPr>
          <w:b/>
          <w:bCs/>
        </w:rPr>
        <w:t xml:space="preserve">What happened.</w:t>
      </w:r>
      <w:r>
        <w:t xml:space="preserve"> Project Prometheus, an AI startup co-led by Jeff Bezos (his first CEO-level role since leaving Amazon in 2021) and former Google X scientist Vik Bajaj, came out of stealth with a $12 billion round at roughly a $41 billion valuation. The round was led by the financial establishment — JPMorgan, Goldman Sachs, BlackRock, DST Global, Arch Venture — with Bezos in personally. (Sources: </w:t>
      </w:r>
      <w:hyperlink w:history="1" r:id="rIdizggpimwb2d_dvzxns_c0">
        <w:r>
          <w:rPr>
            <w:rStyle w:val="Hyperlink"/>
          </w:rPr>
          <w:t xml:space="preserve">TechCrunch</w:t>
        </w:r>
      </w:hyperlink>
      <w:r>
        <w:t xml:space="preserve">, </w:t>
      </w:r>
      <w:hyperlink w:history="1" r:id="rId8l-0s5rr50alto7krx6ei">
        <w:r>
          <w:rPr>
            <w:rStyle w:val="Hyperlink"/>
          </w:rPr>
          <w:t xml:space="preserve">Axios</w:t>
        </w:r>
      </w:hyperlink>
      <w:r>
        <w:t xml:space="preserve">.)</w:t>
      </w:r>
    </w:p>
    <w:p>
      <w:pPr>
        <w:spacing w:after="160"/>
      </w:pPr>
      <w:r>
        <w:rPr>
          <w:b/>
          <w:bCs/>
        </w:rPr>
        <w:t xml:space="preserve">What it's actually building.</w:t>
      </w:r>
      <w:r>
        <w:t xml:space="preserve"> The pitch is an “artificial general engineer”: AI aimed not at writing text or code but at inventing, designing, and manufacturing physical things — engines, materials, medicines. Think of it as a successor to computer-aided design (CAD) software, where instead of a human drafting a part on screen, the AI runs the whole “invention loop” from idea to a manufacturable product.</w:t>
      </w:r>
    </w:p>
    <w:p>
      <w:pPr>
        <w:spacing w:after="160"/>
      </w:pPr>
      <w:r>
        <w:rPr>
          <w:b/>
          <w:bCs/>
        </w:rPr>
        <w:t xml:space="preserve">Why it matters to you.</w:t>
      </w:r>
      <w:r>
        <w:t xml:space="preserve"> Two things. First, the direction of capital: when Bezos and the biggest banks put $12B into pointing AI at the physical economy rather than at another chatbot, that signals where the next wave of value is expected to form — industrials, materials, hardware, manufacturing, sectors barely touched by the current AI cycle. For an operator hunting for openings, the under-served physical-world applications are where the field is least crowded. Second, the financing: a pre-product company raising $12B at $41B led by JPMorgan and Goldman is venture-scale risk underwritten with investment-bank-scale checks, and it tells you how much dry powder is chasing credible AI founders right now. My read: the vision is real but unproven, and “artificial general engineer” is doing a lot of marketing work for a company with no shipped product — file it as a strong directional signal, not a validated business.</w:t>
      </w:r>
    </w:p>
    <w:p>
      <w:pPr>
        <w:pStyle w:val="Heading2"/>
      </w:pPr>
      <w:r>
        <w:t xml:space="preserve">4. China's open models are eating the access vacuum: GLM-5.2 dropped two days after the Fable ban.</w:t>
      </w:r>
    </w:p>
    <w:p>
      <w:pPr>
        <w:spacing w:after="160"/>
      </w:pPr>
      <w:r>
        <w:rPr>
          <w:b/>
          <w:bCs/>
        </w:rPr>
        <w:t xml:space="preserve">What happened.</w:t>
      </w:r>
      <w:r>
        <w:t xml:space="preserve"> On June 16, the Chinese lab Z.ai released GLM-5.2, an open-weight model (the weights — the trained parameters that are the model — are free to download under an MIT license, so anyone can run it on their own hardware and no one can switch it off). It is large (753 billion parameters) with a 1-million-token context window (it can hold roughly a whole codebase or a stack of long documents in working memory at once), and it ranks alongside Claude Opus 4.8 and GPT-5.5 on hard, long-running coding tasks — at something like one-sixth the cost. (Sources: </w:t>
      </w:r>
      <w:hyperlink w:history="1" r:id="rIdrgvkytnxjpbswwlxlhzvp">
        <w:r>
          <w:rPr>
            <w:rStyle w:val="Hyperlink"/>
          </w:rPr>
          <w:t xml:space="preserve">VentureBeat</w:t>
        </w:r>
      </w:hyperlink>
      <w:r>
        <w:t xml:space="preserve">, </w:t>
      </w:r>
      <w:hyperlink w:history="1" r:id="rIdlslla1k2bk59vqyvh9uwx">
        <w:r>
          <w:rPr>
            <w:rStyle w:val="Hyperlink"/>
          </w:rPr>
          <w:t xml:space="preserve">TestingCatalog</w:t>
        </w:r>
      </w:hyperlink>
      <w:r>
        <w:t xml:space="preserve">.)</w:t>
      </w:r>
    </w:p>
    <w:p>
      <w:pPr>
        <w:spacing w:after="160"/>
      </w:pPr>
      <w:r>
        <w:rPr>
          <w:b/>
          <w:bCs/>
        </w:rPr>
        <w:t xml:space="preserve">Why it matters to you.</w:t>
      </w:r>
      <w:r>
        <w:t xml:space="preserve"> This is the other half of the Fable story and it compounds it. The week landed as a one-two punch: the US made its best models geopolitically unreliable on Friday, and by Monday the strongest Chinese open model yet was sitting there as a free, can't-be-switched-off alternative at a fraction of the price. For anyone whose product is a thin layer on top of a model — the “wrapper” businesses — the model is the single biggest cost line, so a capable open model at one-sixth the cost is both a margin improvement and an insurance policy. The strategic shift: the argument for open weights used to be mostly about price; this week it became about control and predictability of access, which is a far stronger reason for a serious business to adopt them.</w:t>
      </w:r>
    </w:p>
    <w:p>
      <w:pPr>
        <w:spacing w:after="160"/>
      </w:pPr>
      <w:r>
        <w:rPr>
          <w:b/>
          <w:bCs/>
        </w:rPr>
        <w:t xml:space="preserve">One caution, flagged:</w:t>
      </w:r>
      <w:r>
        <w:t xml:space="preserve"> treat the benchmark-beating claims with a grain of salt. The AI Daily Brief's own coverage notes that this season's Chinese releases (including Kimi K2.7) tend to look better on benchmarks than in day-to-day use — “benchmarks beat reality.” The cost and openness are real and verifiable; the “as good as Opus” claim is the part to test before betting on it.</w:t>
      </w:r>
    </w:p>
    <w:p>
      <w:pPr>
        <w:pBdr>
          <w:bottom w:val="single" w:color="BBBBBB" w:sz="6" w:space="1"/>
        </w:pBdr>
        <w:spacing w:after="160" w:before="80"/>
      </w:pPr>
      <w:r>
        <w:t xml:space="preserve"/>
      </w:r>
    </w:p>
    <w:p>
      <w:pPr>
        <w:pStyle w:val="Heading1"/>
      </w:pPr>
      <w:r>
        <w:t xml:space="preserve">Worth a skim</w:t>
      </w:r>
    </w:p>
    <w:p>
      <w:pPr>
        <w:pStyle w:val="ListParagraph"/>
        <w:numPr>
          <w:ilvl w:val="0"/>
          <w:numId w:val="2"/>
        </w:numPr>
        <w:spacing w:after="100"/>
      </w:pPr>
      <w:r>
        <w:rPr>
          <w:b/>
          <w:bCs/>
        </w:rPr>
        <w:t xml:space="preserve">OpenAI's leaked financials suggest it actually makes money selling tokens.</w:t>
      </w:r>
      <w:r>
        <w:t xml:space="preserve"> Ed Zitron published audited numbers: a $38.5B net loss for 2025 — but the majority was a one-time ~$30B non-cash accounting charge tied to OpenAI's conversion to a public-benefit corporation. Strip that and stock comp out and the loss was about $8B, and on a pure unit basis OpenAI earned ~$13B revenue against ~$7.5B of direct cost — i.e. it appears genuinely profitable on inference (the cost of actually running the models). It is also sitting on $73B cash, up from $40B in December, so it can stay private as long as it likes. Why it matters: the bear case on AI has been “the economics never work” — this is the first hard data that the core token business may have real margins. (</w:t>
      </w:r>
      <w:hyperlink w:history="1" r:id="rIdybmerudbbpipiwluhnusj">
        <w:r>
          <w:rPr>
            <w:rStyle w:val="Hyperlink"/>
          </w:rPr>
          <w:t xml:space="preserve">AI Daily Brief, Jun 17</w:t>
        </w:r>
      </w:hyperlink>
      <w:r>
        <w:t xml:space="preserve">.)</w:t>
      </w:r>
    </w:p>
    <w:p>
      <w:pPr>
        <w:pStyle w:val="ListParagraph"/>
        <w:numPr>
          <w:ilvl w:val="0"/>
          <w:numId w:val="2"/>
        </w:numPr>
        <w:spacing w:after="100"/>
      </w:pPr>
      <w:r>
        <w:rPr>
          <w:b/>
          <w:bCs/>
        </w:rPr>
        <w:t xml:space="preserve">Noam Shazeer left Google for OpenAI (June 18).</w:t>
      </w:r>
      <w:r>
        <w:t xml:space="preserve"> He co-wrote the 2017 “Attention Is All You Need” paper that started the modern AI era, co-led Gemini, and Google paid $2.7B two years ago to get him back. His exit is both a talent-flow signal toward OpenAI and a quiet question mark over Gemini's momentum, with Google's next model gone conspicuously quiet. (</w:t>
      </w:r>
      <w:hyperlink w:history="1" r:id="rIdijqdv0ln9budinlr1qbli">
        <w:r>
          <w:rPr>
            <w:rStyle w:val="Hyperlink"/>
          </w:rPr>
          <w:t xml:space="preserve">CNBC</w:t>
        </w:r>
      </w:hyperlink>
      <w:r>
        <w:t xml:space="preserve">.)</w:t>
      </w:r>
    </w:p>
    <w:p>
      <w:pPr>
        <w:pStyle w:val="ListParagraph"/>
        <w:numPr>
          <w:ilvl w:val="0"/>
          <w:numId w:val="2"/>
        </w:numPr>
        <w:spacing w:after="100"/>
      </w:pPr>
      <w:r>
        <w:rPr>
          <w:b/>
          <w:bCs/>
        </w:rPr>
        <w:t xml:space="preserve">Anthropic is pushing hard into regulated industries — the applied-AI-in-finance-and-law angle.</w:t>
      </w:r>
      <w:r>
        <w:t xml:space="preserve"> It signed Tata Consultancy Services (Claude in front of 50,000 of its own people across 56 countries, plus Claude products for financial services, healthcare, and the public sector) on June 12, and DXC (integrating Claude into the core systems banks and airlines run on) on June 11. Real deployment into finance, not a press release. (</w:t>
      </w:r>
      <w:hyperlink w:history="1" r:id="rIdw6faijrim8dwipasck0eg">
        <w:r>
          <w:rPr>
            <w:rStyle w:val="Hyperlink"/>
          </w:rPr>
          <w:t xml:space="preserve">TCS</w:t>
        </w:r>
      </w:hyperlink>
      <w:r>
        <w:t xml:space="preserve">, </w:t>
      </w:r>
      <w:hyperlink w:history="1" r:id="rIdjs8hy_p9gzxpeuofialpd">
        <w:r>
          <w:rPr>
            <w:rStyle w:val="Hyperlink"/>
          </w:rPr>
          <w:t xml:space="preserve">DXC</w:t>
        </w:r>
      </w:hyperlink>
      <w:r>
        <w:t xml:space="preserve">.)</w:t>
      </w:r>
    </w:p>
    <w:p>
      <w:pPr>
        <w:pStyle w:val="ListParagraph"/>
        <w:numPr>
          <w:ilvl w:val="0"/>
          <w:numId w:val="2"/>
        </w:numPr>
        <w:spacing w:after="100"/>
      </w:pPr>
      <w:r>
        <w:rPr>
          <w:b/>
          <w:bCs/>
        </w:rPr>
        <w:t xml:space="preserve">Anthropic opened a Seoul office and a wave of Korean partnerships (June 17),</w:t>
      </w:r>
      <w:r>
        <w:t xml:space="preserve"> the same week NVIDIA stacked up Korea infrastructure deals (NAVER, SK hynix, SK Telecom, June 7). Korea is becoming a real node on the AI-infrastructure map. (</w:t>
      </w:r>
      <w:hyperlink w:history="1" r:id="rIdu8ipqcsg21xlnxkzeucxg">
        <w:r>
          <w:rPr>
            <w:rStyle w:val="Hyperlink"/>
          </w:rPr>
          <w:t xml:space="preserve">Anthropic</w:t>
        </w:r>
      </w:hyperlink>
      <w:r>
        <w:t xml:space="preserve">, </w:t>
      </w:r>
      <w:hyperlink w:history="1" r:id="rIdn0xsszo31ua7c2yxr9cuk">
        <w:r>
          <w:rPr>
            <w:rStyle w:val="Hyperlink"/>
          </w:rPr>
          <w:t xml:space="preserve">NVIDIA</w:t>
        </w:r>
      </w:hyperlink>
      <w:r>
        <w:t xml:space="preserve">.)</w:t>
      </w:r>
    </w:p>
    <w:p>
      <w:pPr>
        <w:pStyle w:val="ListParagraph"/>
        <w:numPr>
          <w:ilvl w:val="0"/>
          <w:numId w:val="2"/>
        </w:numPr>
        <w:spacing w:after="100"/>
      </w:pPr>
      <w:r>
        <w:rPr>
          <w:b/>
          <w:bCs/>
        </w:rPr>
        <w:t xml:space="preserve">The national-security framing is spreading to the power grid.</w:t>
      </w:r>
      <w:r>
        <w:t xml:space="preserve"> The DOJ intervened to defend xAI's unpermitted gas turbines at its Colossus II site against a Clean Air Act suit, arguing a shutdown “threatens American national, economic, and energy security.” Same logic as the Fable ban, opposite direction: AI infrastructure is now treated as critical national infrastructure. (</w:t>
      </w:r>
      <w:hyperlink w:history="1" r:id="rId3jnqwzibtaq6z3td5fala">
        <w:r>
          <w:rPr>
            <w:rStyle w:val="Hyperlink"/>
          </w:rPr>
          <w:t xml:space="preserve">AI Daily Brief, Jun 17</w:t>
        </w:r>
      </w:hyperlink>
      <w:r>
        <w:t xml:space="preserve">.)</w:t>
      </w:r>
    </w:p>
    <w:p>
      <w:pPr>
        <w:pStyle w:val="ListParagraph"/>
        <w:numPr>
          <w:ilvl w:val="0"/>
          <w:numId w:val="2"/>
        </w:numPr>
        <w:spacing w:after="100"/>
      </w:pPr>
      <w:r>
        <w:rPr>
          <w:b/>
          <w:bCs/>
        </w:rPr>
        <w:t xml:space="preserve">OpenAI keeps pushing Codex from a coding tool toward a general work agent</w:t>
      </w:r>
      <w:r>
        <w:t xml:space="preserve"> (“Codex for every role, tool, and workflow,” June 2) and is folding its “Pulse” feature into scheduled tasks. Incremental, but the agent-productization trend continuing. (</w:t>
      </w:r>
      <w:hyperlink w:history="1" r:id="rIdttof7utvgf1h_il-blct6">
        <w:r>
          <w:rPr>
            <w:rStyle w:val="Hyperlink"/>
          </w:rPr>
          <w:t xml:space="preserve">OpenAI</w:t>
        </w:r>
      </w:hyperlink>
      <w:r>
        <w:t xml:space="preserve">.)</w:t>
      </w:r>
    </w:p>
    <w:p>
      <w:pPr>
        <w:pBdr>
          <w:bottom w:val="single" w:color="BBBBBB" w:sz="6" w:space="1"/>
        </w:pBdr>
        <w:spacing w:after="160" w:before="80"/>
      </w:pPr>
      <w:r>
        <w:t xml:space="preserve"/>
      </w:r>
    </w:p>
    <w:p>
      <w:pPr>
        <w:pStyle w:val="Heading1"/>
      </w:pPr>
      <w:r>
        <w:t xml:space="preserve">On my radar</w:t>
      </w:r>
    </w:p>
    <w:p>
      <w:pPr>
        <w:pStyle w:val="ListParagraph"/>
        <w:numPr>
          <w:ilvl w:val="0"/>
          <w:numId w:val="2"/>
        </w:numPr>
        <w:spacing w:after="100"/>
      </w:pPr>
      <w:r>
        <w:rPr>
          <w:b/>
          <w:bCs/>
        </w:rPr>
        <w:t xml:space="preserve">Does the Fable/Mythos ban get resolved, and how?</w:t>
      </w:r>
      <w:r>
        <w:t xml:space="preserve"> Commerce has signaled the consumer Fable could return after a “fix,” but Mythos (the heavier model) is a separate and harder question, and experts say a true jailbreak fix may be impossible. Watch for either a quiet settlement or — less likely — a legal challenge that would set real precedent. The thread with the most second-order consequences.</w:t>
      </w:r>
    </w:p>
    <w:p>
      <w:pPr>
        <w:pStyle w:val="ListParagraph"/>
        <w:numPr>
          <w:ilvl w:val="0"/>
          <w:numId w:val="2"/>
        </w:numPr>
        <w:spacing w:after="100"/>
      </w:pPr>
      <w:r>
        <w:rPr>
          <w:b/>
          <w:bCs/>
        </w:rPr>
        <w:t xml:space="preserve">GPT-5.6 and Gemini 3.5 Pro.</w:t>
      </w:r>
      <w:r>
        <w:t xml:space="preserve"> GPT-5.6 is expected late June (prediction markets put ~83% odds on June 22–28). Gemini 3.5 Pro was rumored for June and has gone silent, a silence that gets louder with Shazeer's departure. Two frontier releases potentially land inside the next brief's window.</w:t>
      </w:r>
    </w:p>
    <w:p>
      <w:pPr>
        <w:pStyle w:val="ListParagraph"/>
        <w:numPr>
          <w:ilvl w:val="0"/>
          <w:numId w:val="2"/>
        </w:numPr>
        <w:spacing w:after="100"/>
      </w:pPr>
      <w:r>
        <w:rPr>
          <w:b/>
          <w:bCs/>
        </w:rPr>
        <w:t xml:space="preserve">SpaceX's lockup unlocks.</w:t>
      </w:r>
      <w:r>
        <w:t xml:space="preserve"> The bulk of the stock is locked; as it frees up through the year it could pressure the price. A clean test of whether the $2.6T AI-narrative valuation holds against fundamentals.</w:t>
      </w:r>
    </w:p>
    <w:p>
      <w:pPr>
        <w:pStyle w:val="ListParagraph"/>
        <w:numPr>
          <w:ilvl w:val="0"/>
          <w:numId w:val="2"/>
        </w:numPr>
        <w:spacing w:after="100"/>
      </w:pPr>
      <w:r>
        <w:rPr>
          <w:b/>
          <w:bCs/>
        </w:rPr>
        <w:t xml:space="preserve">Cursor's from-scratch model.</w:t>
      </w:r>
      <w:r>
        <w:t xml:space="preserve"> Now part of SpaceX, Cursor is teasing a model trained from scratch (not fine-tuned on someone else's base), “generally intelligent, not just coding,” in weeks. A read on whether application-layer companies can credibly move down into the model layer.</w:t>
      </w:r>
    </w:p>
    <w:p>
      <w:pPr>
        <w:pStyle w:val="ListParagraph"/>
        <w:numPr>
          <w:ilvl w:val="0"/>
          <w:numId w:val="2"/>
        </w:numPr>
        <w:spacing w:after="100"/>
      </w:pPr>
      <w:r>
        <w:rPr>
          <w:b/>
          <w:bCs/>
        </w:rPr>
        <w:t xml:space="preserve">Whether OpenAI uses its cash to stay private.</w:t>
      </w:r>
      <w:r>
        <w:t xml:space="preserve"> With $73B on hand and no IPO timeline, OpenAI may deliberately sit out the public markets while SpaceX absorbs investor attention and government friction continues.</w:t>
      </w:r>
    </w:p>
    <w:p>
      <w:pPr>
        <w:pBdr>
          <w:bottom w:val="single" w:color="BBBBBB" w:sz="6" w:space="1"/>
        </w:pBdr>
        <w:spacing w:after="160" w:before="80"/>
      </w:pPr>
      <w:r>
        <w:t xml:space="preserve"/>
      </w:r>
    </w:p>
    <w:p>
      <w:pPr>
        <w:spacing w:after="0" w:before="120"/>
      </w:pPr>
      <w:r>
        <w:rPr>
          <w:b/>
          <w:bCs/>
          <w:sz w:val="22"/>
          <w:szCs w:val="22"/>
        </w:rPr>
        <w:t xml:space="preserve">Source coverage this week</w:t>
      </w:r>
    </w:p>
    <w:p>
      <w:pPr>
        <w:spacing w:after="160"/>
      </w:pPr>
      <w:r>
        <w:rPr>
          <w:i/>
          <w:iCs/>
        </w:rPr>
        <w:t xml:space="preserve">Pulled (primary and verification): Anthropic newsroom, OpenAI newsroom, and NVIDIA newsroom (primary); The AI Daily Brief web editions (Jun 13–18); plus deal and funding coverage from TechCrunch, Axios, VentureBeat, CNBC, NPR, and TestingCatalog for cross-checking. Not reached this week (no in-window transcript pulled): Hard Fork, No Priors, a16z, Stratechery/Sharp Tech, Dwarkesh, Greg Isenberg, and the markets shows (WSJ What's News, FT News Briefing, Odd Lots, In Good Company, Bloomberg Talks). The AI Daily Brief carried enough of the analysis layer that the written and primary sources covered the material — flag if you want any of those specific shows dug into next week. Source worth noting: The AI Daily Brief web editions (already in your config) earned their place, the single richest analysis source this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Calibri" w:cs="Calibri" w:eastAsia="Calibri" w:hAnsi="Calibri"/>
      <w:b/>
      <w:bCs/>
      <w:color w:val="1A1A1A"/>
      <w:sz w:val="48"/>
      <w:szCs w:val="48"/>
    </w:rPr>
  </w:style>
  <w:style w:type="paragraph" w:styleId="Heading1">
    <w:name w:val="Heading 1"/>
    <w:basedOn w:val="Normal"/>
    <w:next w:val="Normal"/>
    <w:qFormat/>
    <w:pPr>
      <w:spacing w:after="140" w:before="26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4A7A"/>
      <w:sz w:val="25"/>
      <w:szCs w:val="25"/>
    </w:rPr>
  </w:style>
  <w:style w:type="paragraph" w:styleId="Heading3">
    <w:name w:val="Heading 3"/>
    <w:basedOn w:val="Normal"/>
    <w:next w:val="Normal"/>
    <w:qFormat/>
    <w:pPr>
      <w:spacing w:after="80" w:before="16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9dfjogc9urc-yyyl2yyk" Type="http://schemas.openxmlformats.org/officeDocument/2006/relationships/hyperlink" Target="https://www.anthropic.com/news/fable-mythos-access" TargetMode="External"/><Relationship Id="rIdiieszdwrirdlqaymz-avt" Type="http://schemas.openxmlformats.org/officeDocument/2006/relationships/hyperlink" Target="https://www.anthropic.com/news/fable-mythos-access" TargetMode="External"/><Relationship Id="rIdgew7q6l73o42370luav63" Type="http://schemas.openxmlformats.org/officeDocument/2006/relationships/hyperlink" Target="https://aidailybrief.ai/e/2026-06-17" TargetMode="External"/><Relationship Id="rIdf_ifem8nihwrykjvxzgtr" Type="http://schemas.openxmlformats.org/officeDocument/2006/relationships/hyperlink" Target="https://www.npr.org/2026/06/12/nx-s1-5855004/stock-ai-spacex-ipo-elon-musk" TargetMode="External"/><Relationship Id="rId1cfk-vt_v2awtablwn2rh" Type="http://schemas.openxmlformats.org/officeDocument/2006/relationships/hyperlink" Target="https://aidailybrief.ai/e/2026-06-17" TargetMode="External"/><Relationship Id="rId2xxdqhvm0kzot7rr9z2-u" Type="http://schemas.openxmlformats.org/officeDocument/2006/relationships/hyperlink" Target="https://aidailybrief.ai/e/2026-06-17" TargetMode="External"/><Relationship Id="rIdfey0gft5exmck2qmijgcs" Type="http://schemas.openxmlformats.org/officeDocument/2006/relationships/hyperlink" Target="https://aidailybrief.ai/e/2026-06-17" TargetMode="External"/><Relationship Id="rIdizggpimwb2d_dvzxns_c0" Type="http://schemas.openxmlformats.org/officeDocument/2006/relationships/hyperlink" Target="https://techcrunch.com/2026/06/11/jeff-bezoss-prometheus-raises-12b-to-build-an-artificial-general-engineer-for-the-physical-world/" TargetMode="External"/><Relationship Id="rId8l-0s5rr50alto7krx6ei" Type="http://schemas.openxmlformats.org/officeDocument/2006/relationships/hyperlink" Target="https://www.axios.com/2026/06/11/prometheus-bezos-industrial-ai" TargetMode="External"/><Relationship Id="rIdrgvkytnxjpbswwlxlhzvp" Type="http://schemas.openxmlformats.org/officeDocument/2006/relationships/hyperlink" Target="https://venturebeat.com/technology/z-ais-open-weights-glm-5-2-beats-gpt-5-5-on-multiple-long-horizon-coding-benchmarks-for-1-6th-the-cost" TargetMode="External"/><Relationship Id="rIdlslla1k2bk59vqyvh9uwx" Type="http://schemas.openxmlformats.org/officeDocument/2006/relationships/hyperlink" Target="https://www.testingcatalog.com/icymi-zai-launches-glm-5-2-open-model-with-1m-context/" TargetMode="External"/><Relationship Id="rIdybmerudbbpipiwluhnusj" Type="http://schemas.openxmlformats.org/officeDocument/2006/relationships/hyperlink" Target="https://aidailybrief.ai/e/2026-06-17" TargetMode="External"/><Relationship Id="rIdijqdv0ln9budinlr1qbli" Type="http://schemas.openxmlformats.org/officeDocument/2006/relationships/hyperlink" Target="https://www.cnbc.com/2026/06/18/google-gemini-co-lead-noam-shazeer-leaves-for-openai.html" TargetMode="External"/><Relationship Id="rIdw6faijrim8dwipasck0eg" Type="http://schemas.openxmlformats.org/officeDocument/2006/relationships/hyperlink" Target="https://www.anthropic.com/news/tcs-anthropic-partnership" TargetMode="External"/><Relationship Id="rIdjs8hy_p9gzxpeuofialpd" Type="http://schemas.openxmlformats.org/officeDocument/2006/relationships/hyperlink" Target="https://www.anthropic.com/news/dxc-anthropic-alliance" TargetMode="External"/><Relationship Id="rIdu8ipqcsg21xlnxkzeucxg" Type="http://schemas.openxmlformats.org/officeDocument/2006/relationships/hyperlink" Target="https://www.anthropic.com/news/seoul-office-partnerships-korean-ai-ecosystem" TargetMode="External"/><Relationship Id="rIdn0xsszo31ua7c2yxr9cuk" Type="http://schemas.openxmlformats.org/officeDocument/2006/relationships/hyperlink" Target="https://nvidianews.nvidia.com/news/naver-ai-infrastructure" TargetMode="External"/><Relationship Id="rId3jnqwzibtaq6z3td5fala" Type="http://schemas.openxmlformats.org/officeDocument/2006/relationships/hyperlink" Target="https://aidailybrief.ai/e/2026-06-17" TargetMode="External"/><Relationship Id="rIdttof7utvgf1h_il-blct6" Type="http://schemas.openxmlformats.org/officeDocument/2006/relationships/hyperlink" Target="https://openai.com/index/codex-for-every-role-tool-workflow/"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2026-06-20T21:22:48.333Z</dcterms:created>
  <dcterms:modified xsi:type="dcterms:W3CDTF">2026-06-20T21:22:48.334Z</dcterms:modified>
</cp:coreProperties>
</file>

<file path=docProps/custom.xml><?xml version="1.0" encoding="utf-8"?>
<Properties xmlns="http://schemas.openxmlformats.org/officeDocument/2006/custom-properties" xmlns:vt="http://schemas.openxmlformats.org/officeDocument/2006/docPropsVTypes"/>
</file>