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AI Pulse brief</w:t>
      </w:r>
    </w:p>
    <w:p>
      <w:pPr>
        <w:pBdr>
          <w:bottom w:val="single" w:color="2E5AAC" w:sz="6" w:space="4"/>
        </w:pBdr>
        <w:spacing w:after="40"/>
      </w:pPr>
      <w:r>
        <w:rPr>
          <w:b/>
          <w:bCs/>
          <w:color w:val="2E5AAC"/>
          <w:sz w:val="24"/>
          <w:szCs w:val="24"/>
        </w:rPr>
        <w:t xml:space="preserve">Week of June 21, 2026</w:t>
      </w:r>
    </w:p>
    <w:p>
      <w:pPr>
        <w:spacing w:after="200" w:before="60"/>
      </w:pPr>
      <w:r>
        <w:rPr>
          <w:i/>
          <w:iCs/>
          <w:color w:val="555555"/>
          <w:sz w:val="18"/>
          <w:szCs w:val="18"/>
        </w:rPr>
        <w:t xml:space="preserve">Prepared for Matthew  ·  Pulse: stay informed and connect dots</w:t>
      </w:r>
    </w:p>
    <w:p>
      <w:pPr>
        <w:spacing w:after="160" w:line="276"/>
      </w:pPr>
      <w:r>
        <w:t xml:space="preserve">Quieter week than last, Matthew, and that is partly because last week was a blockbuster (the Fable 5 export ban, the SpaceX IPO, Project Prometheus). The live thread this week is governance, not product: the people building frontier models sat down with the G7 and effectively asked governments to take the wheel, while the IPO race that will fund the next compute build-out keeps grinding forward in the background. One honesty note up front: a few of the biggest-looking items (the IPO filings, the Anthropic–Broadcom compute deal) are dated earlier in June, just outside the strict 7-day window. I have flagged those rather than passing them off as fresh. Sourcing and date caveats are in the coverage note at the end.</w:t>
      </w:r>
    </w:p>
    <w:p>
      <w:pPr>
        <w:pStyle w:val="Heading1"/>
      </w:pPr>
      <w:r>
        <w:t xml:space="preserve">Top developments</w:t>
      </w:r>
    </w:p>
    <w:p>
      <w:pPr>
        <w:pStyle w:val="Heading2"/>
      </w:pPr>
      <w:r>
        <w:t xml:space="preserve">The frontier labs went to the G7 and asked to be regulated — on their terms.</w:t>
      </w:r>
    </w:p>
    <w:p>
      <w:pPr>
        <w:spacing w:after="160" w:line="276"/>
      </w:pPr>
      <w:r>
        <w:t xml:space="preserve">At a closed-door lunch at the G7 summit in Évian-les-Bains, France on Wednesday June 17, the CEOs of Anthropic (Dario Amodei), Google DeepMind (Demis Hassabis), and OpenAI (Sam Altman) — about a dozen tech executives in all, with President Trump in the room — called for a US-led coalition to set the rules for AI. Amodei’s specific asks: “structured access” to frontier models for allied governments, coordinated trade in chips and critical components that excludes China, and joint work on cyber, bio, and intelligence risks. The framing from the builders was blunt — these systems are now too consequential to be governed by the companies building them alone. The G7 leaders pushed back in the other direction, pressing the US to </w:t>
      </w:r>
      <w:r>
        <w:rPr>
          <w:i/>
          <w:iCs/>
        </w:rPr>
        <w:t xml:space="preserve">share</w:t>
      </w:r>
      <w:r>
        <w:t xml:space="preserve"> access to its most advanced models and warning that export controls (like the one that knocked Anthropic’s Fable 5 and Mythos 5 offline last week) risk fracturing global tech cooperation. Macron said a platform among Western democracies would be stood up within a month, with leaders meeting again in September.</w:t>
      </w:r>
    </w:p>
    <w:p>
      <w:pPr>
        <w:spacing w:after="160" w:line="276"/>
      </w:pPr>
      <w:r>
        <w:rPr>
          <w:b/>
          <w:bCs/>
        </w:rPr>
        <w:t xml:space="preserve">What it means: </w:t>
      </w:r>
      <w:r>
        <w:t xml:space="preserve">this is the natural next chapter of last week’s export-control story, and it matters to you for two reasons. First, the structure of the AI market is starting to be drawn along geopolitical lines — “structured access” plus a China-excluding chip bloc is industrial policy, and where the government draws those lines decides which companies can sell what, where. That is the kind of rule-writing that reshapes deal flow, supply chains, and who is investable. Second, watch the self-interest: a US-led coalition that gates frontier-model access is also a moat. If you are an incumbent lab, “let democratic governments set the rules” conveniently locks in a club that is hard for challengers (and Chinese labs) to enter. </w:t>
      </w:r>
      <w:r>
        <w:rPr>
          <w:b/>
          <w:bCs/>
        </w:rPr>
        <w:t xml:space="preserve">My read: </w:t>
      </w:r>
      <w:r>
        <w:t xml:space="preserve">treat the safety language and the competitive-moat language as the same sentence, because they are. The signal worth tracking is whether Macron’s one-month platform actually produces binding access rules or just a press release.</w:t>
      </w:r>
    </w:p>
    <w:p>
      <w:pPr>
        <w:spacing w:after="220"/>
      </w:pPr>
      <w:r>
        <w:rPr>
          <w:b/>
          <w:bCs/>
          <w:color w:val="555555"/>
          <w:sz w:val="18"/>
          <w:szCs w:val="18"/>
        </w:rPr>
        <w:t xml:space="preserve">Source: </w:t>
      </w:r>
      <w:hyperlink w:history="1" r:id="rIdhuem5mxqnx-_zdp4lqxyh">
        <w:r>
          <w:rPr>
            <w:rStyle w:val="Hyperlink"/>
            <w:sz w:val="18"/>
            <w:szCs w:val="18"/>
          </w:rPr>
          <w:t xml:space="preserve">CNBC (G7 coalition)</w:t>
        </w:r>
      </w:hyperlink>
      <w:r>
        <w:rPr>
          <w:color w:val="555555"/>
          <w:sz w:val="18"/>
          <w:szCs w:val="18"/>
        </w:rPr>
        <w:t xml:space="preserve">  |  </w:t>
      </w:r>
      <w:hyperlink w:history="1" r:id="rIduhkx_036ggw_igjjxim1q">
        <w:r>
          <w:rPr>
            <w:rStyle w:val="Hyperlink"/>
            <w:sz w:val="18"/>
            <w:szCs w:val="18"/>
          </w:rPr>
          <w:t xml:space="preserve">The National (model sharing)</w:t>
        </w:r>
      </w:hyperlink>
    </w:p>
    <w:p>
      <w:pPr>
        <w:pStyle w:val="Heading2"/>
      </w:pPr>
      <w:r>
        <w:t xml:space="preserve">OpenAI pushed hard into health and science.</w:t>
      </w:r>
    </w:p>
    <w:p>
      <w:pPr>
        <w:spacing w:after="160" w:line="276"/>
      </w:pPr>
      <w:r>
        <w:t xml:space="preserve">On June 18, OpenAI rolled out a cluster of science-and-medicine features: stronger “health intelligence” inside ChatGPT, a tool to help physicians diagnose rare genetic diseases in children, and a near-autonomous “AI chemist” that proposes and improves reactions in medicinal chemistry. The throughline is AI moving from general chat assistant toward domain expert systems aimed at high-value professional work.</w:t>
      </w:r>
    </w:p>
    <w:p>
      <w:pPr>
        <w:spacing w:after="160" w:line="276"/>
      </w:pPr>
      <w:r>
        <w:rPr>
          <w:b/>
          <w:bCs/>
        </w:rPr>
        <w:t xml:space="preserve">What it means: </w:t>
      </w:r>
      <w:r>
        <w:t xml:space="preserve">this is the applied-AI lens you care about — real deployments in a regulated, high-margin field, not a demo. The technical thing worth understanding: an “AI chemist” that “improves reactions” is an agent wired into a loop — it proposes a chemical step, something evaluates the result (a simulator or lab feedback), and the model iterates, the same propose-then-verify pattern that makes coding agents work, pointed at molecules instead of code. The operator angle: healthcare and drug discovery are exactly the kind of verticals where a finance-plus-law-plus-AI person can find openings, because the bottleneck is rarely the model — it is liability, validation, reimbursement, and data access, which is business-and-legal terrain, not engineering terrain. </w:t>
      </w:r>
      <w:r>
        <w:rPr>
          <w:b/>
          <w:bCs/>
        </w:rPr>
        <w:t xml:space="preserve">My read: </w:t>
      </w:r>
      <w:r>
        <w:t xml:space="preserve">useful to watch, but apply your hype filter. “Helps physicians diagnose” and “diagnoses” are very different claims, and OpenAI has a commercial reason to blur them right as it courts public-market investors.</w:t>
      </w:r>
    </w:p>
    <w:p>
      <w:pPr>
        <w:spacing w:after="220"/>
      </w:pPr>
      <w:r>
        <w:rPr>
          <w:b/>
          <w:bCs/>
          <w:color w:val="555555"/>
          <w:sz w:val="18"/>
          <w:szCs w:val="18"/>
        </w:rPr>
        <w:t xml:space="preserve">Source: </w:t>
      </w:r>
      <w:hyperlink w:history="1" r:id="rId6fgiweg29tc0uyoue2njv">
        <w:r>
          <w:rPr>
            <w:rStyle w:val="Hyperlink"/>
            <w:sz w:val="18"/>
            <w:szCs w:val="18"/>
          </w:rPr>
          <w:t xml:space="preserve">OpenAI News</w:t>
        </w:r>
      </w:hyperlink>
    </w:p>
    <w:p>
      <w:pPr>
        <w:pStyle w:val="Heading2"/>
      </w:pPr>
      <w:r>
        <w:t xml:space="preserve">Google’s Gemini 3.5 Pro is still not out, and the slip is the story.</w:t>
      </w:r>
    </w:p>
    <w:p>
      <w:pPr>
        <w:spacing w:after="160" w:line="276"/>
      </w:pPr>
      <w:r>
        <w:t xml:space="preserve">Sundar Pichai promised Gemini 3.5 Pro “next month” at Google I/O on May 19. We are past the midpoint of June and it is still in limited preview for a handful of enterprise customers, with general availability pushed into the back half of the month at best. The model targets a 2-million-token context window (how much text it can hold in working memory at once — roughly a few thousand pages) and “Deep Think” extended reasoning, with expected pricing around $15 per million input tokens and $60 per million output, about 10x the cheaper Flash version.</w:t>
      </w:r>
    </w:p>
    <w:p>
      <w:pPr>
        <w:spacing w:after="160" w:line="276"/>
      </w:pPr>
      <w:r>
        <w:rPr>
          <w:b/>
          <w:bCs/>
        </w:rPr>
        <w:t xml:space="preserve">What it means: </w:t>
      </w:r>
      <w:r>
        <w:t xml:space="preserve">the lighter Gemini 3.5 Flash shipped on time in May and is already the default in Search and the Gemini app; it is the flagship Pro that is slipping. That inversion — fast cheap model out the door, premium reasoning model delayed — is a small tell about where the hard engineering now sits: not in raw capability but in making the most expensive reasoning reliable enough to ship at scale. </w:t>
      </w:r>
      <w:r>
        <w:rPr>
          <w:b/>
          <w:bCs/>
        </w:rPr>
        <w:t xml:space="preserve">My read: </w:t>
      </w:r>
      <w:r>
        <w:t xml:space="preserve">a few-week slip is not a crisis, but Google is the one major lab whose top-end model keeps arriving late, and in a market where OpenAI and Anthropic are racing to IPO on momentum, “late again” is a narrative cost even when the model is good.</w:t>
      </w:r>
    </w:p>
    <w:p>
      <w:pPr>
        <w:spacing w:after="220"/>
      </w:pPr>
      <w:r>
        <w:rPr>
          <w:b/>
          <w:bCs/>
          <w:color w:val="555555"/>
          <w:sz w:val="18"/>
          <w:szCs w:val="18"/>
        </w:rPr>
        <w:t xml:space="preserve">Source: </w:t>
      </w:r>
      <w:hyperlink w:history="1" r:id="rIdqm5_jfcba-jzklm5qheg7">
        <w:r>
          <w:rPr>
            <w:rStyle w:val="Hyperlink"/>
            <w:sz w:val="18"/>
            <w:szCs w:val="18"/>
          </w:rPr>
          <w:t xml:space="preserve">TechTimes (specs/timeline)</w:t>
        </w:r>
      </w:hyperlink>
      <w:r>
        <w:rPr>
          <w:color w:val="555555"/>
          <w:sz w:val="18"/>
          <w:szCs w:val="18"/>
        </w:rPr>
        <w:t xml:space="preserve">  |  </w:t>
      </w:r>
      <w:hyperlink w:history="1" r:id="rIdkwla49csyjtnuhsz-7ess">
        <w:r>
          <w:rPr>
            <w:rStyle w:val="Hyperlink"/>
            <w:sz w:val="18"/>
            <w:szCs w:val="18"/>
          </w:rPr>
          <w:t xml:space="preserve">Google blog (Gemini 3.5)</w:t>
        </w:r>
      </w:hyperlink>
    </w:p>
    <w:p>
      <w:pPr>
        <w:pStyle w:val="Heading1"/>
      </w:pPr>
      <w:r>
        <w:t xml:space="preserve">Worth a skim</w:t>
      </w:r>
    </w:p>
    <w:p>
      <w:pPr>
        <w:pStyle w:val="ListParagraph"/>
        <w:numPr>
          <w:ilvl w:val="0"/>
          <w:numId w:val="2"/>
        </w:numPr>
        <w:spacing w:after="140" w:line="276"/>
      </w:pPr>
      <w:r>
        <w:rPr>
          <w:b/>
          <w:bCs/>
        </w:rPr>
        <w:t xml:space="preserve">The IPO race is now the dominant structural story. </w:t>
      </w:r>
      <w:r>
        <w:t xml:space="preserve">Anthropic filed a confidential S-1 (June 1) at a roughly $965B valuation on a ~$30B revenue run-rate; OpenAI filed confidentially (late May / June 8) targeting a September window around $730B–$850B — but with reported ~$27B of cash burn against ~$25B revenue. These are the vehicles that turn private AI hype into public capital to fund compute, and the burn figures are where the bubble question gets tested. (Filings predate this week’s window; included as running state.) </w:t>
      </w:r>
      <w:hyperlink w:history="1" r:id="rIdak2by6xjj-ug2fq4katyb">
        <w:r>
          <w:rPr>
            <w:rStyle w:val="Hyperlink"/>
          </w:rPr>
          <w:t xml:space="preserve">CNBC – OpenAI</w:t>
        </w:r>
      </w:hyperlink>
      <w:r>
        <w:t xml:space="preserve">  |  </w:t>
      </w:r>
      <w:hyperlink w:history="1" r:id="rIdwr8nm2zbmxgcimp2evped">
        <w:r>
          <w:rPr>
            <w:rStyle w:val="Hyperlink"/>
          </w:rPr>
          <w:t xml:space="preserve">CNBC – Anthropic</w:t>
        </w:r>
      </w:hyperlink>
    </w:p>
    <w:p>
      <w:pPr>
        <w:pStyle w:val="ListParagraph"/>
        <w:numPr>
          <w:ilvl w:val="0"/>
          <w:numId w:val="2"/>
        </w:numPr>
        <w:spacing w:after="140" w:line="276"/>
      </w:pPr>
      <w:r>
        <w:rPr>
          <w:b/>
          <w:bCs/>
        </w:rPr>
        <w:t xml:space="preserve">Anthropic expanded “Project Glasswing.” </w:t>
      </w:r>
      <w:r>
        <w:t xml:space="preserve">Its deployment of the Mythos cybersecurity model — which finds and patches vulnerabilities in critical infrastructure — grew from 50 to 150 organizations across 15 countries, while staying out of general release on security grounds. A frontier model deployed as critical-infrastructure defense, gated by the same security logic now driving export policy. </w:t>
      </w:r>
      <w:hyperlink w:history="1" r:id="rIdseudex_oqe_upn4adwiop">
        <w:r>
          <w:rPr>
            <w:rStyle w:val="Hyperlink"/>
          </w:rPr>
          <w:t xml:space="preserve">AI Weekly – Anthropic</w:t>
        </w:r>
      </w:hyperlink>
    </w:p>
    <w:p>
      <w:pPr>
        <w:pStyle w:val="ListParagraph"/>
        <w:numPr>
          <w:ilvl w:val="0"/>
          <w:numId w:val="2"/>
        </w:numPr>
        <w:spacing w:after="140" w:line="276"/>
      </w:pPr>
      <w:r>
        <w:rPr>
          <w:b/>
          <w:bCs/>
        </w:rPr>
        <w:t xml:space="preserve">Microsoft introduced “Autopilots.” </w:t>
      </w:r>
      <w:r>
        <w:t xml:space="preserve">A new agent category led by “Microsoft Scout,” an always-on autonomous agent with its own governed corporate identity. The enterprise agent fight is now about governance and identity — who the agent is allowed to be inside your systems — not just capability. </w:t>
      </w:r>
      <w:hyperlink w:history="1" r:id="rIdci32lb0ulj_2e8jczkwby">
        <w:r>
          <w:rPr>
            <w:rStyle w:val="Hyperlink"/>
          </w:rPr>
          <w:t xml:space="preserve">Futurum</w:t>
        </w:r>
      </w:hyperlink>
    </w:p>
    <w:p>
      <w:pPr>
        <w:pStyle w:val="ListParagraph"/>
        <w:numPr>
          <w:ilvl w:val="0"/>
          <w:numId w:val="2"/>
        </w:numPr>
        <w:spacing w:after="140" w:line="276"/>
      </w:pPr>
      <w:r>
        <w:rPr>
          <w:b/>
          <w:bCs/>
        </w:rPr>
        <w:t xml:space="preserve">JPMorgan put a number on AI ROI. </w:t>
      </w:r>
      <w:r>
        <w:t xml:space="preserve">A $19.8B 2026 technology budget with ~2,000 staff on AI; the bank says the program self-funded through ~$2B in operational savings and a 10–11% productivity gain. A concrete data point on AI returns inside a giant regulated financial institution — the kind that moves the “is this real” debate. </w:t>
      </w:r>
      <w:hyperlink w:history="1" r:id="rIdqngi76_8eqer0eshlhpvz">
        <w:r>
          <w:rPr>
            <w:rStyle w:val="Hyperlink"/>
          </w:rPr>
          <w:t xml:space="preserve">SyncSoft</w:t>
        </w:r>
      </w:hyperlink>
    </w:p>
    <w:p>
      <w:pPr>
        <w:pStyle w:val="Heading1"/>
      </w:pPr>
      <w:r>
        <w:t xml:space="preserve">What people are saying</w:t>
      </w:r>
    </w:p>
    <w:p>
      <w:pPr>
        <w:spacing w:after="160" w:line="276"/>
      </w:pPr>
      <w:r>
        <w:rPr>
          <w:b/>
          <w:bCs/>
        </w:rPr>
        <w:t xml:space="preserve">On Stratechery, Ben Thompson </w:t>
      </w:r>
      <w:r>
        <w:t xml:space="preserve">argued in “Agents Over Bubbles” that we are not in a bubble and the capex is warranted. His case: agent capabilities now improve with raw compute, the number of people who must wield AI well for demand to explode is shrinking, and agents lift the </w:t>
      </w:r>
      <w:r>
        <w:rPr>
          <w:i/>
          <w:iCs/>
        </w:rPr>
        <w:t xml:space="preserve">top</w:t>
      </w:r>
      <w:r>
        <w:t xml:space="preserve"> line (new revenue) not just the bottom line (cost cuts). He frames Opus 4.5 plus Claude Code as the first genuinely usable agents — a reasoning model wrapped in a “harness,” the controlling software that gives the model tools and checks its work — and says if agents make OpenAI and Anthropic the integration point of the value chain, the overvaluation argument weakens. </w:t>
      </w:r>
      <w:r>
        <w:rPr>
          <w:b/>
          <w:bCs/>
        </w:rPr>
        <w:t xml:space="preserve">My read: </w:t>
      </w:r>
      <w:r>
        <w:t xml:space="preserve">the most coherent bull case on offer; hold it next to OpenAI’s ~$27B burn — Thompson is betting the revenue shows up, the skeptics are betting on the cash-flow statement. He is talking his beat, so weigh it as a strong argument, not a verdict. </w:t>
      </w:r>
      <w:hyperlink w:history="1" r:id="rIdj8oydmtzmewfmqj9fa-zk">
        <w:r>
          <w:rPr>
            <w:rStyle w:val="Hyperlink"/>
          </w:rPr>
          <w:t xml:space="preserve">stratechery.com</w:t>
        </w:r>
      </w:hyperlink>
    </w:p>
    <w:p>
      <w:pPr>
        <w:spacing w:after="160" w:line="276"/>
      </w:pPr>
      <w:r>
        <w:rPr>
          <w:b/>
          <w:bCs/>
        </w:rPr>
        <w:t xml:space="preserve">On ChinaTalk, </w:t>
      </w:r>
      <w:r>
        <w:t xml:space="preserve">Jordan Schneider’s circle has run a theme they call “the AI attention war” — the contest over open-weight Chinese models (like last week’s Z.ai GLM-5.2) as instruments of soft power and cost competition. Useful context for why the G7’s China-excluding chip-bloc proposal landed when it did. </w:t>
      </w:r>
      <w:hyperlink w:history="1" r:id="rIdhu7-qecgo4bklnwvcscp2">
        <w:r>
          <w:rPr>
            <w:rStyle w:val="Hyperlink"/>
          </w:rPr>
          <w:t xml:space="preserve">chinatalk.media</w:t>
        </w:r>
      </w:hyperlink>
    </w:p>
    <w:p>
      <w:pPr>
        <w:spacing w:after="160" w:line="276"/>
      </w:pPr>
      <w:r>
        <w:rPr>
          <w:b/>
          <w:bCs/>
        </w:rPr>
        <w:t xml:space="preserve">On The AI Daily Brief (June 20), </w:t>
      </w:r>
      <w:r>
        <w:t xml:space="preserve">Nathaniel Whittemore’s read on the G7 was that “access to US frontier models is no longer a given” — the export-control era has turned model access into a bargaining chip between allied governments, with Amodei and Hassabis leading the call for cooperation. A good plain-language frame for the governance shift above. </w:t>
      </w:r>
      <w:hyperlink w:history="1" r:id="rIdhuvl01jvdzvmwnbedhfyn">
        <w:r>
          <w:rPr>
            <w:rStyle w:val="Hyperlink"/>
          </w:rPr>
          <w:t xml:space="preserve">aidailybrief.ai</w:t>
        </w:r>
      </w:hyperlink>
    </w:p>
    <w:p>
      <w:pPr>
        <w:spacing w:after="160" w:line="276"/>
      </w:pPr>
      <w:r>
        <w:rPr>
          <w:b/>
          <w:bCs/>
        </w:rPr>
        <w:t xml:space="preserve">On Interconnects, </w:t>
      </w:r>
      <w:r>
        <w:t xml:space="preserve">Nathan Lambert continues to track the open-model ecosystem as the real competitive pressure on closed labs — the thread connecting China’s open releases, falling inference costs, and the “wrapper” startup economy. Worth following as the counterweight to the IPO-era closed-lab narrative. </w:t>
      </w:r>
      <w:hyperlink w:history="1" r:id="rIdwyjkqxkzpgypvcd5ylbdu">
        <w:r>
          <w:rPr>
            <w:rStyle w:val="Hyperlink"/>
          </w:rPr>
          <w:t xml:space="preserve">interconnects.ai</w:t>
        </w:r>
      </w:hyperlink>
    </w:p>
    <w:p>
      <w:pPr>
        <w:pStyle w:val="Heading1"/>
      </w:pPr>
      <w:r>
        <w:t xml:space="preserve">On my radar</w:t>
      </w:r>
    </w:p>
    <w:p>
      <w:pPr>
        <w:pStyle w:val="ListParagraph"/>
        <w:numPr>
          <w:ilvl w:val="0"/>
          <w:numId w:val="2"/>
        </w:numPr>
        <w:spacing w:after="140" w:line="276"/>
      </w:pPr>
      <w:r>
        <w:t xml:space="preserve">Whether Gemini 3.5 Pro actually ships before month-end, and how it benchmarks against GPT-5.x and Claude. A second slip would be a real signal about Google’s frontier cadence.</w:t>
      </w:r>
    </w:p>
    <w:p>
      <w:pPr>
        <w:pStyle w:val="ListParagraph"/>
        <w:numPr>
          <w:ilvl w:val="0"/>
          <w:numId w:val="2"/>
        </w:numPr>
        <w:spacing w:after="140" w:line="276"/>
      </w:pPr>
      <w:r>
        <w:t xml:space="preserve">Macron’s promised “Western democracies” AI platform — does a binding framework for structured frontier-model access materialize within the month, or does it stall? The regulatory thread that could reshape who sells AI where.</w:t>
      </w:r>
    </w:p>
    <w:p>
      <w:pPr>
        <w:pStyle w:val="ListParagraph"/>
        <w:numPr>
          <w:ilvl w:val="0"/>
          <w:numId w:val="2"/>
        </w:numPr>
        <w:spacing w:after="140" w:line="276"/>
      </w:pPr>
      <w:r>
        <w:t xml:space="preserve">The public S-1s. When OpenAI’s and Anthropic’s filings go public, the real financials — not the leaked or estimated ones — will be the single best test of the bubble question. Watch the gap between revenue run-rate and cash burn.</w:t>
      </w:r>
    </w:p>
    <w:p>
      <w:pPr>
        <w:pStyle w:val="ListParagraph"/>
        <w:numPr>
          <w:ilvl w:val="0"/>
          <w:numId w:val="2"/>
        </w:numPr>
        <w:spacing w:after="140" w:line="276"/>
      </w:pPr>
      <w:r>
        <w:t xml:space="preserve">Whether “structured access” hardens into actual policy, and what it means for the China-excluding chip bloc — the ripple runs straight into semiconductors, cloud, and anyone building on top of US models abroad.</w:t>
      </w:r>
    </w:p>
    <w:p>
      <w:pPr>
        <w:pBdr>
          <w:top w:val="single" w:color="CCCCCC" w:sz="6" w:space="6"/>
        </w:pBdr>
        <w:spacing w:after="80" w:before="240"/>
      </w:pPr>
      <w:r>
        <w:rPr>
          <w:b/>
          <w:bCs/>
          <w:color w:val="555555"/>
          <w:sz w:val="22"/>
          <w:szCs w:val="22"/>
        </w:rPr>
        <w:t xml:space="preserve">Coverage note</w:t>
      </w:r>
    </w:p>
    <w:p>
      <w:pPr>
        <w:spacing w:after="160" w:line="276"/>
      </w:pPr>
      <w:r>
        <w:rPr>
          <w:color w:val="555555"/>
          <w:sz w:val="18"/>
          <w:szCs w:val="18"/>
        </w:rPr>
        <w:t xml:space="preserve">Reached this week via web search and source pages: lab/news coverage (CNBC, The National, TechTimes, OpenAI, Google blog, AI Weekly, Futurum), and the perspective layer (Stratechery, ChinaTalk, The AI Daily Brief, Interconnects). Perspective sources were scanned through search summaries and article pages this run rather than full podcast transcripts — the markets shows (Odd Lots, In Good Company, WSJ/FT) and the longer-form pods (Dwarkesh, No Priors, a16z) were not deep-transcript-fetched and are marked not-reached for this brief. Date caveat: several large items (OpenAI/Anthropic IPO filings, the Anthropic–Google–Broadcom 3.5GW TPU deal) are dated earlier in June or earlier and sit outside the strict 7-day window; they are included only as running context and flagged as such. Honesty flag: these results come from this session’s web searches; where a date or claim was ambiguous I hedged rather than asserting. No sources were invented.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DDDD" w:sz="4" w:space="3"/>
      </w:pBdr>
      <w:spacing w:after="140" w:before="280"/>
      <w:outlineLvl w:val="0"/>
    </w:pPr>
    <w:rPr>
      <w:rFonts w:ascii="Arial" w:cs="Arial" w:eastAsia="Arial" w:hAnsi="Arial"/>
      <w:b/>
      <w:bCs/>
      <w:color w:val="2E5AAC"/>
      <w:sz w:val="30"/>
      <w:szCs w:val="30"/>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uem5mxqnx-_zdp4lqxyh" Type="http://schemas.openxmlformats.org/officeDocument/2006/relationships/hyperlink" Target="https://www.cnbc.com/2026/06/17/anthropic-amodei-google-hassabis-us-ai-coalition-g7.html" TargetMode="External"/><Relationship Id="rIduhkx_036ggw_igjjxim1q" Type="http://schemas.openxmlformats.org/officeDocument/2006/relationships/hyperlink" Target="https://www.thenationalnews.com/news/europe/2026/06/17/g7-pitches-trusted-partnership-to-ai-chiefs-in-a-bid-for-frontier-model-sharing/" TargetMode="External"/><Relationship Id="rId6fgiweg29tc0uyoue2njv" Type="http://schemas.openxmlformats.org/officeDocument/2006/relationships/hyperlink" Target="https://openai.com/news/" TargetMode="External"/><Relationship Id="rIdqm5_jfcba-jzklm5qheg7" Type="http://schemas.openxmlformats.org/officeDocument/2006/relationships/hyperlink" Target="https://www.techtimes.com/articles/317919/20260606/google-gemini-35-pro-nears-june-launch-2-million-token-context-deep-think-reasoning.htm" TargetMode="External"/><Relationship Id="rIdkwla49csyjtnuhsz-7ess" Type="http://schemas.openxmlformats.org/officeDocument/2006/relationships/hyperlink" Target="https://blog.google/innovation-and-ai/models-and-research/gemini-models/gemini-3-5/" TargetMode="External"/><Relationship Id="rIdak2by6xjj-ug2fq4katyb" Type="http://schemas.openxmlformats.org/officeDocument/2006/relationships/hyperlink" Target="https://www.cnbc.com/2026/06/08/openai-confidentially-files-for-ipo-prepping-wall-street-for-ai-debut.html" TargetMode="External"/><Relationship Id="rIdwr8nm2zbmxgcimp2evped" Type="http://schemas.openxmlformats.org/officeDocument/2006/relationships/hyperlink" Target="https://www.cnbc.com/2026/06/01/anthropic-ipo-s1-prospectus.html" TargetMode="External"/><Relationship Id="rIdseudex_oqe_upn4adwiop" Type="http://schemas.openxmlformats.org/officeDocument/2006/relationships/hyperlink" Target="https://aiweekly.co/ai-news-today/anthropic-news" TargetMode="External"/><Relationship Id="rIdci32lb0ulj_2e8jczkwby" Type="http://schemas.openxmlformats.org/officeDocument/2006/relationships/hyperlink" Target="https://futurumgroup.com/insights/microsoft-agent-365-turns-shadow-ai-into-a-governed-asset-class/" TargetMode="External"/><Relationship Id="rIdqngi76_8eqer0eshlhpvz" Type="http://schemas.openxmlformats.org/officeDocument/2006/relationships/hyperlink" Target="https://www.syncsoft.ai/en/blog/enterprise-ai-agents-mainstream-2026" TargetMode="External"/><Relationship Id="rIdj8oydmtzmewfmqj9fa-zk" Type="http://schemas.openxmlformats.org/officeDocument/2006/relationships/hyperlink" Target="https://stratechery.com/2026/agents-over-bubbles/" TargetMode="External"/><Relationship Id="rIdhu7-qecgo4bklnwvcscp2" Type="http://schemas.openxmlformats.org/officeDocument/2006/relationships/hyperlink" Target="https://www.chinatalk.media/p/the-ai-attention-war" TargetMode="External"/><Relationship Id="rIdhuvl01jvdzvmwnbedhfyn" Type="http://schemas.openxmlformats.org/officeDocument/2006/relationships/hyperlink" Target="https://aidailybrief.ai/" TargetMode="External"/><Relationship Id="rIdwyjkqxkzpgypvcd5ylbdu" Type="http://schemas.openxmlformats.org/officeDocument/2006/relationships/hyperlink" Target="https://www.interconnects.ai/"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2026-06-21T04:09:31.270Z</dcterms:created>
  <dcterms:modified xsi:type="dcterms:W3CDTF">2026-06-21T04:09:31.270Z</dcterms:modified>
</cp:coreProperties>
</file>

<file path=docProps/custom.xml><?xml version="1.0" encoding="utf-8"?>
<Properties xmlns="http://schemas.openxmlformats.org/officeDocument/2006/custom-properties" xmlns:vt="http://schemas.openxmlformats.org/officeDocument/2006/docPropsVTypes"/>
</file>