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color w:val="0D1C2E"/>
          <w:sz w:val="40"/>
        </w:rPr>
        <w:t>alainI – Weekly Media Intelligence Report</w:t>
      </w:r>
    </w:p>
    <w:p>
      <w:pPr>
        <w:jc w:val="center"/>
      </w:pPr>
      <w:r>
        <w:rPr>
          <w:color w:val="6A1B9A"/>
          <w:sz w:val="24"/>
        </w:rPr>
        <w:t>Client: [Client Name] | Reporting Period: [Date Range]</w:t>
      </w:r>
    </w:p>
    <w:p>
      <w:r>
        <w:br/>
      </w:r>
    </w:p>
    <w:p>
      <w:r>
        <w:rPr>
          <w:b/>
          <w:color w:val="0D1C2E"/>
          <w:sz w:val="28"/>
        </w:rPr>
        <w:t>1. Executive Summary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2. Top Mentions (News &amp; Social)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3. Sentiment Analysis Overview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4. Trending Hashtags &amp; Keywords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5. Influencer &amp; Stakeholder Mentions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6. Campaign/Event Impact (If Any)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7. Risk &amp; Crisis Signals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r>
        <w:rPr>
          <w:b/>
          <w:color w:val="0D1C2E"/>
          <w:sz w:val="28"/>
        </w:rPr>
        <w:t>8. Strategic Insights &amp; Recommendations</w:t>
      </w:r>
    </w:p>
    <w:p>
      <w:r>
        <w:rPr>
          <w:color w:val="3C3C3C"/>
          <w:sz w:val="22"/>
        </w:rPr>
        <w:t>[Insert content or paste charts/data here]</w:t>
      </w:r>
    </w:p>
    <w:p>
      <w:r>
        <w:br/>
      </w:r>
    </w:p>
    <w:p>
      <w:pPr>
        <w:jc w:val="center"/>
      </w:pPr>
      <w:r>
        <w:rPr>
          <w:color w:val="6A1B9A"/>
          <w:sz w:val="20"/>
        </w:rPr>
        <w:br/>
        <w:t>alainI | hello@alaini.ae | www.alaini.ae | Al Ain, UAE</w:t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drawing>
        <wp:inline xmlns:a="http://schemas.openxmlformats.org/drawingml/2006/main" xmlns:pic="http://schemas.openxmlformats.org/drawingml/2006/picture">
          <wp:extent cx="1371600" cy="137160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A_logo_for_alainI_(Al_Ain_Intelligence)_is_prese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37160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