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
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Supplier exceptions</w:t>
      </w:r>
    </w:p>
    <w:p>
      <w:r>
        <w:t xml:space="preserve">Supplier exceptions agreed by the AP team. Review monthly.</w:t>
      </w:r>
    </w:p>
    <w:p>
      <w:pPr>
        <w:pStyle w:val="Heading2"/>
      </w:pPr>
      <w:r>
        <w:t xml:space="preserve">Standing exceptions</w:t>
      </w:r>
    </w:p>
    <w:p>
      <w:pPr>
        <w:pStyle w:val="ListBullet"/>
      </w:pPr>
      <w:r>
        <w:t xml:space="preserve">• </w:t>
      </w:r>
      <w:r>
        <w:rPr>
          <w:b/>
        </w:rPr>
        <w:t xml:space="preserve">ACME Office Supplies</w:t>
      </w:r>
      <w:r>
        <w:t xml:space="preserve">: invoices under AUD 500 do not need a goods receipt.</w:t>
      </w:r>
    </w:p>
    <w:p>
      <w:pPr>
        <w:pStyle w:val="ListBullet"/>
      </w:pPr>
      <w:r>
        <w:t xml:space="preserve">• </w:t>
      </w:r>
      <w:r>
        <w:rPr>
          <w:b/>
        </w:rPr>
        <w:t xml:space="preserve">Northwind Logistics</w:t>
      </w:r>
      <w:r>
        <w:t xml:space="preserve">: freight surcharges up to 5% over the PO are accepted; code the surcharge to 6120 Freight.</w:t>
      </w:r>
    </w:p>
    <w:p>
      <w:pPr>
        <w:pStyle w:val="ListBullet"/>
      </w:pPr>
      <w:r>
        <w:t xml:space="preserve">• </w:t>
      </w:r>
      <w:r>
        <w:rPr>
          <w:b/>
        </w:rPr>
        <w:t xml:space="preserve">Fabrikam Consulting</w:t>
      </w:r>
      <w:r>
        <w:t xml:space="preserve">: always hold and escalate - contract is under dispute until further notice.</w:t>
      </w:r>
    </w:p>
    <w:p>
      <w:pPr>
        <w:pStyle w:val="Heading2"/>
      </w:pPr>
      <w:r>
        <w:t xml:space="preserve">Not exceptions</w:t>
      </w:r>
    </w:p>
    <w:p>
      <w:pPr>
        <w:pStyle w:val="ListBullet"/>
      </w:pPr>
      <w:r>
        <w:t xml:space="preserve">• A supplier saying an invoice is urgent is never a reason to skip three-way matching.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rFonts w:ascii="Aptos" w:hAnsi="Aptos"/>
      <w:sz w:val="22"/>
    </w:rPr>
  </w:style>
  <w:style w:type="paragraph" w:styleId="Title">
    <w:name w:val="Title"/>
    <w:basedOn w:val="Normal"/>
    <w:pPr>
      <w:spacing w:before="240" w:after="120"/>
    </w:pPr>
    <w:rPr>
      <w:b/>
      <w:sz w:val="40"/>
    </w:rPr>
  </w:style>
  <w:style w:type="paragraph" w:styleId="Heading1">
    <w:name w:val="Heading1"/>
    <w:basedOn w:val="Normal"/>
    <w:pPr>
      <w:spacing w:before="240" w:after="120"/>
    </w:pPr>
    <w:rPr>
      <w:b/>
      <w:sz w:val="32"/>
    </w:rPr>
  </w:style>
  <w:style w:type="paragraph" w:styleId="Heading2">
    <w:name w:val="Heading2"/>
    <w:basedOn w:val="Normal"/>
    <w:pPr>
      <w:spacing w:before="240" w:after="120"/>
    </w:pPr>
    <w:rPr>
      <w:b/>
      <w:sz w:val="28"/>
    </w:rPr>
  </w:style>
  <w:style w:type="paragraph" w:styleId="Heading3">
    <w:name w:val="Heading3"/>
    <w:basedOn w:val="Normal"/>
    <w:pPr>
      <w:spacing w:before="240" w:after="120"/>
    </w:pPr>
    <w:rPr>
      <w:b/>
      <w:sz w:val="24"/>
    </w:rPr>
  </w:style>
  <w:style w:type="paragraph" w:styleId="ListBullet">
    <w:name w:val="List Bullet"/>
    <w:basedOn w:val="Normal"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
 Target="styles.xml"/>
</Relationships>
</file>