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B00454" w14:textId="6F9FF486">
      <w:pPr>
        <w:pBdr/>
        <w:spacing/>
        <w:ind/>
        <w:jc w:val="right"/>
        <w:rPr>
          <w:rFonts w:ascii="Aptos" w:hAnsi="Aptos" w:eastAsia="Aptos" w:cs="Aptos"/>
        </w:rPr>
      </w:pPr>
      <w:r>
        <w:rPr>
          <w:rFonts w:ascii="Aptos" w:hAnsi="Aptos" w:eastAsia="Aptos" w:cs="Aptos"/>
        </w:rPr>
      </w:r>
      <w:r>
        <w:rPr>
          <w:rFonts w:ascii="Aptos" w:hAnsi="Aptos" w:eastAsia="Aptos" w:cs="Aptos"/>
        </w:rPr>
      </w:r>
    </w:p>
    <w:p w14:paraId="2B6C2111" w14:textId="364D0C94">
      <w:pPr>
        <w:pBdr/>
        <w:spacing/>
        <w:ind/>
        <w:rPr/>
      </w:pPr>
      <w:r>
        <w:rPr>
          <w:rFonts w:ascii="Aptos" w:hAnsi="Aptos" w:eastAsia="Aptos" w:cs="Aptos"/>
        </w:rPr>
        <w:t xml:space="preserve"> </w:t>
      </w:r>
      <w:r/>
    </w:p>
    <w:p w14:paraId="77D3E5D4" w14:textId="48BC13C8">
      <w:pPr>
        <w:pBdr/>
        <w:spacing/>
        <w:ind/>
        <w:rPr/>
      </w:pPr>
      <w:r>
        <w:rPr>
          <w:rFonts w:ascii="Aptos" w:hAnsi="Aptos" w:eastAsia="Aptos" w:cs="Aptos"/>
        </w:rPr>
        <w:t xml:space="preserve"> </w:t>
      </w:r>
      <w:r/>
    </w:p>
    <w:p w14:paraId="753AA10A" w14:textId="5F4F1097">
      <w:pPr>
        <w:pBdr/>
        <w:spacing/>
        <w:ind/>
        <w:rPr/>
      </w:pPr>
      <w:r>
        <w:rPr>
          <w:rFonts w:ascii="Aptos" w:hAnsi="Aptos" w:eastAsia="Aptos" w:cs="Aptos"/>
        </w:rPr>
        <w:t xml:space="preserve"> </w:t>
      </w:r>
      <w:r/>
    </w:p>
    <w:p w14:paraId="14A9271E" w14:textId="082AC7BD">
      <w:pPr>
        <w:pBdr/>
        <w:spacing/>
        <w:ind/>
        <w:rPr/>
      </w:pPr>
      <w:r>
        <w:rPr>
          <w:rFonts w:ascii="Aptos" w:hAnsi="Aptos" w:eastAsia="Aptos" w:cs="Aptos"/>
        </w:rPr>
        <w:t xml:space="preserve"> </w:t>
      </w:r>
      <w:r/>
    </w:p>
    <w:p w14:paraId="51EC6E23" w14:textId="044E80B9">
      <w:pPr>
        <w:pBdr/>
        <w:spacing/>
        <w:ind/>
        <w:rPr/>
      </w:pPr>
      <w:r>
        <w:rPr>
          <w:rFonts w:ascii="Aptos" w:hAnsi="Aptos" w:eastAsia="Aptos" w:cs="Aptos"/>
        </w:rPr>
        <w:t xml:space="preserve"> </w:t>
      </w:r>
      <w:r/>
    </w:p>
    <w:p w14:paraId="1E5FAA27" w14:textId="1C13F2D7">
      <w:pPr>
        <w:pBdr/>
        <w:spacing/>
        <w:ind/>
        <w:rPr/>
      </w:pPr>
      <w:r>
        <w:rPr>
          <w:rFonts w:ascii="Aptos" w:hAnsi="Aptos" w:eastAsia="Aptos" w:cs="Aptos"/>
        </w:rPr>
        <w:t xml:space="preserve"> </w:t>
      </w:r>
      <w:r/>
    </w:p>
    <w:tbl>
      <w:tblPr>
        <w:tblInd w:w="2025" w:type="dxa"/>
        <w:tblW w:w="0" w:type="auto"/>
        <w:tblBorders/>
        <w:tblLook w:val="06A0" w:firstRow="1" w:lastRow="0" w:firstColumn="1" w:lastColumn="0" w:noHBand="1" w:noVBand="1"/>
      </w:tblPr>
      <w:tblGrid>
        <w:gridCol w:w="7032"/>
      </w:tblGrid>
      <w:tr>
        <w:trPr>
          <w:trHeight w:val="660"/>
        </w:trPr>
        <w:tc>
          <w:tcPr>
            <w:tcBorders>
              <w:top w:val="none" w:color="000000" w:sz="4" w:space="0"/>
              <w:left w:val="single" w:color="50637d" w:sz="12" w:space="0"/>
              <w:bottom w:val="none" w:color="000000" w:sz="4" w:space="0"/>
              <w:right w:val="none" w:color="000000" w:sz="4" w:space="0"/>
            </w:tcBorders>
            <w:tcMar>
              <w:left w:w="108" w:type="dxa"/>
              <w:right w:w="108" w:type="dxa"/>
            </w:tcMar>
            <w:tcW w:w="7320" w:type="dxa"/>
            <w:vAlign w:val="center"/>
          </w:tcPr>
          <w:p w14:paraId="362106B1" w14:textId="48183312">
            <w:pPr>
              <w:pBdr/>
              <w:spacing w:after="0" w:before="9"/>
              <w:ind/>
              <w:rPr/>
            </w:pPr>
            <w:r>
              <w:t xml:space="preserve"> </w:t>
            </w:r>
            <w:r/>
          </w:p>
          <w:p w14:paraId="183D682F" w14:textId="06E23E2F">
            <w:pPr>
              <w:pBdr/>
              <w:spacing w:after="0"/>
              <w:ind w:left="114"/>
              <w:rPr>
                <w:rFonts w:ascii="LM Roman 12" w:hAnsi="LM Roman 12" w:eastAsia="LM Roman 12" w:cs="LM Roman 12"/>
                <w:color w:val="51647e"/>
                <w:sz w:val="28"/>
                <w:szCs w:val="28"/>
              </w:rPr>
            </w:pPr>
            <w:r>
              <w:rPr>
                <w:rFonts w:ascii="LM Roman 12" w:hAnsi="LM Roman 12" w:eastAsia="LM Roman 12" w:cs="LM Roman 12"/>
                <w:color w:val="51647e"/>
                <w:sz w:val="28"/>
                <w:szCs w:val="28"/>
              </w:rPr>
              <w:t xml:space="preserve">Compte </w:t>
            </w:r>
            <w:r>
              <w:rPr>
                <w:rFonts w:ascii="LM Roman 12" w:hAnsi="LM Roman 12" w:eastAsia="LM Roman 12" w:cs="LM Roman 12"/>
                <w:color w:val="51647e"/>
                <w:sz w:val="28"/>
                <w:szCs w:val="28"/>
              </w:rPr>
              <w:t xml:space="preserve">Rendu </w:t>
            </w:r>
            <w:r>
              <w:rPr>
                <w:rFonts w:ascii="LM Roman 12" w:hAnsi="LM Roman 12" w:eastAsia="LM Roman 12" w:cs="LM Roman 12"/>
                <w:color w:val="51647e"/>
                <w:sz w:val="28"/>
                <w:szCs w:val="28"/>
              </w:rPr>
            </w:r>
          </w:p>
        </w:tc>
      </w:tr>
      <w:tr>
        <w:trPr>
          <w:trHeight w:val="2130"/>
        </w:trPr>
        <w:tc>
          <w:tcPr>
            <w:tcBorders>
              <w:top w:val="none" w:color="000000" w:sz="4" w:space="0"/>
              <w:left w:val="single" w:color="50637d" w:sz="12" w:space="0"/>
              <w:bottom w:val="none" w:color="000000" w:sz="4" w:space="0"/>
              <w:right w:val="none" w:color="000000" w:sz="4" w:space="0"/>
            </w:tcBorders>
            <w:tcMar>
              <w:left w:w="108" w:type="dxa"/>
              <w:right w:w="108" w:type="dxa"/>
            </w:tcMar>
            <w:tcW w:w="7320" w:type="dxa"/>
            <w:vAlign w:val="center"/>
          </w:tcPr>
          <w:p w14:paraId="68B6F691" w14:textId="33CA82A2">
            <w:pPr>
              <w:pBdr/>
              <w:spacing w:after="0" w:before="63" w:line="216" w:lineRule="auto"/>
              <w:ind w:right="170" w:left="143"/>
              <w:rPr>
                <w:rFonts w:ascii="LM Roman 12" w:hAnsi="LM Roman 12" w:eastAsia="LM Roman 12" w:cs="LM Roman 12"/>
                <w:color w:val="51647e"/>
                <w:sz w:val="72"/>
                <w:szCs w:val="72"/>
              </w:rPr>
            </w:pPr>
            <w:r>
              <w:rPr>
                <w:rFonts w:ascii="LM Roman 12" w:hAnsi="LM Roman 12" w:eastAsia="LM Roman 12" w:cs="LM Roman 12"/>
                <w:color w:val="51647e"/>
                <w:sz w:val="72"/>
                <w:szCs w:val="72"/>
              </w:rPr>
              <w:t xml:space="preserve">Projet de </w:t>
            </w:r>
            <w:r>
              <w:rPr>
                <w:rFonts w:ascii="LM Roman 12" w:hAnsi="LM Roman 12" w:eastAsia="LM Roman 12" w:cs="LM Roman 12"/>
                <w:color w:val="51647e"/>
                <w:sz w:val="72"/>
                <w:szCs w:val="72"/>
              </w:rPr>
              <w:t xml:space="preserve">Big Data</w:t>
            </w:r>
            <w:r>
              <w:rPr>
                <w:rFonts w:ascii="LM Roman 12" w:hAnsi="LM Roman 12" w:eastAsia="LM Roman 12" w:cs="LM Roman 12"/>
                <w:color w:val="51647e"/>
                <w:sz w:val="72"/>
                <w:szCs w:val="72"/>
              </w:rPr>
            </w:r>
          </w:p>
        </w:tc>
      </w:tr>
      <w:tr>
        <w:trPr>
          <w:trHeight w:val="585"/>
        </w:trPr>
        <w:tc>
          <w:tcPr>
            <w:tcBorders>
              <w:top w:val="none" w:color="000000" w:sz="4" w:space="0"/>
              <w:left w:val="single" w:color="50637d" w:sz="12" w:space="0"/>
              <w:bottom w:val="none" w:color="000000" w:sz="4" w:space="0"/>
              <w:right w:val="none" w:color="000000" w:sz="4" w:space="0"/>
            </w:tcBorders>
            <w:tcMar>
              <w:left w:w="108" w:type="dxa"/>
              <w:right w:w="108" w:type="dxa"/>
            </w:tcMar>
            <w:tcW w:w="7320" w:type="dxa"/>
            <w:vAlign w:val="center"/>
          </w:tcPr>
          <w:p w14:paraId="3D518828" w14:textId="77594D9A">
            <w:pPr>
              <w:pBdr/>
              <w:spacing w:after="0" w:before="80"/>
              <w:ind w:left="114"/>
              <w:rPr/>
            </w:pPr>
            <w:r>
              <w:rPr>
                <w:rFonts w:ascii="LM Roman 12" w:hAnsi="LM Roman 12" w:eastAsia="LM Roman 12" w:cs="LM Roman 12"/>
                <w:color w:val="51647e"/>
                <w:sz w:val="28"/>
                <w:szCs w:val="28"/>
              </w:rPr>
              <w:t xml:space="preserve">Mr </w:t>
            </w:r>
            <w:r>
              <w:rPr>
                <w:rFonts w:ascii="LM Roman 12" w:hAnsi="LM Roman 12" w:eastAsia="LM Roman 12" w:cs="LM Roman 12"/>
                <w:color w:val="51647e"/>
                <w:sz w:val="28"/>
                <w:szCs w:val="28"/>
              </w:rPr>
              <w:t xml:space="preserve">Cyril </w:t>
            </w:r>
            <w:r>
              <w:rPr>
                <w:rFonts w:ascii="LM Roman 12" w:hAnsi="LM Roman 12" w:eastAsia="LM Roman 12" w:cs="LM Roman 12"/>
                <w:color w:val="51647e"/>
                <w:sz w:val="28"/>
                <w:szCs w:val="28"/>
              </w:rPr>
              <w:t xml:space="preserve">BARRELET</w:t>
            </w:r>
            <w:r/>
          </w:p>
        </w:tc>
      </w:tr>
    </w:tbl>
    <w:p w14:paraId="0C9FCC9A" w14:textId="3BBED777">
      <w:pPr>
        <w:pBdr/>
        <w:spacing/>
        <w:ind/>
        <w:rPr/>
      </w:pPr>
      <w:r>
        <w:rPr>
          <w:rFonts w:ascii="Aptos" w:hAnsi="Aptos" w:eastAsia="Aptos" w:cs="Aptos"/>
        </w:rPr>
        <w:t xml:space="preserve"> </w:t>
      </w:r>
      <w:r/>
    </w:p>
    <w:p w14:paraId="2308C258" w14:textId="46536819">
      <w:pPr>
        <w:pBdr/>
        <w:spacing/>
        <w:ind/>
        <w:rPr/>
      </w:pPr>
      <w:r>
        <w:rPr>
          <w:rFonts w:ascii="Aptos" w:hAnsi="Aptos" w:eastAsia="Aptos" w:cs="Aptos"/>
        </w:rPr>
        <w:t xml:space="preserve"> </w:t>
      </w:r>
      <w:r/>
    </w:p>
    <w:p w14:paraId="02CAD80D" w14:textId="5D9336F6">
      <w:pPr>
        <w:pBdr/>
        <w:spacing/>
        <w:ind/>
        <w:rPr/>
      </w:pPr>
      <w:r>
        <w:rPr>
          <w:rFonts w:ascii="Aptos" w:hAnsi="Aptos" w:eastAsia="Aptos" w:cs="Aptos"/>
        </w:rPr>
        <w:t xml:space="preserve"> </w:t>
      </w:r>
      <w:r/>
    </w:p>
    <w:p w14:paraId="5FA12007" w14:textId="661FFD7B">
      <w:pPr>
        <w:pBdr/>
        <w:spacing/>
        <w:ind/>
        <w:rPr/>
      </w:pPr>
      <w:r>
        <w:rPr>
          <w:rFonts w:ascii="Aptos" w:hAnsi="Aptos" w:eastAsia="Aptos" w:cs="Aptos"/>
        </w:rPr>
        <w:t xml:space="preserve"> </w:t>
      </w:r>
      <w:r/>
    </w:p>
    <w:p w14:paraId="5B96EB11" w14:textId="3ECF5B03">
      <w:pPr>
        <w:pBdr/>
        <w:spacing/>
        <w:ind/>
        <w:rPr/>
      </w:pPr>
      <w:r>
        <w:rPr>
          <w:rFonts w:ascii="Aptos" w:hAnsi="Aptos" w:eastAsia="Aptos" w:cs="Aptos"/>
        </w:rPr>
        <w:t xml:space="preserve"> </w:t>
      </w:r>
      <w:r/>
    </w:p>
    <w:p w14:paraId="4A55723A" w14:textId="5B4516C7">
      <w:pPr>
        <w:pBdr/>
        <w:spacing/>
        <w:ind/>
        <w:rPr>
          <w:rFonts w:ascii="Aptos" w:hAnsi="Aptos" w:eastAsia="Aptos" w:cs="Aptos"/>
          <w:highlight w:val="none"/>
        </w:rPr>
      </w:pPr>
      <w:r>
        <w:rPr>
          <w:rFonts w:ascii="Aptos" w:hAnsi="Aptos" w:eastAsia="Aptos" w:cs="Aptos"/>
        </w:rPr>
        <w:t xml:space="preserve"> </w:t>
      </w:r>
      <w:r/>
    </w:p>
    <w:p w14:paraId="3425492E">
      <w:pPr>
        <w:pBdr/>
        <w:spacing/>
        <w:ind/>
        <w:rPr/>
      </w:pPr>
      <w:r/>
      <w:r/>
      <w:r/>
    </w:p>
    <w:p w14:paraId="4CA60B31">
      <w:pPr>
        <w:pBdr/>
        <w:spacing/>
        <w:ind/>
        <w:rPr/>
      </w:pPr>
      <w:r/>
      <w:r/>
      <w:r/>
    </w:p>
    <w:p w14:paraId="0803A6E1">
      <w:pPr>
        <w:pBdr/>
        <w:spacing/>
        <w:ind/>
        <w:rPr/>
      </w:pPr>
      <w:r/>
      <w:r/>
      <w:r/>
    </w:p>
    <w:p w14:paraId="746FCB61">
      <w:pPr>
        <w:pBdr/>
        <w:spacing/>
        <w:ind/>
        <w:rPr/>
      </w:pPr>
      <w:r/>
      <w:r/>
      <w:r/>
    </w:p>
    <w:p w14:paraId="59CB544B">
      <w:pPr>
        <w:pBdr/>
        <w:spacing/>
        <w:ind/>
        <w:rPr/>
      </w:pPr>
      <w:r/>
      <w:r/>
      <w:r/>
    </w:p>
    <w:p w14:paraId="602E20A1">
      <w:pPr>
        <w:pBdr/>
        <w:spacing/>
        <w:ind/>
        <w:rPr/>
      </w:pPr>
      <w:r>
        <w:rPr>
          <w:rFonts w:ascii="Aptos" w:hAnsi="Aptos" w:eastAsia="Aptos" w:cs="Aptos"/>
          <w:highlight w:val="none"/>
        </w:rPr>
      </w:r>
      <w:r>
        <w:rPr>
          <w:rFonts w:ascii="Aptos" w:hAnsi="Aptos" w:eastAsia="Aptos" w:cs="Aptos"/>
          <w:highlight w:val="none"/>
        </w:rPr>
      </w:r>
      <w:r>
        <w:rPr>
          <w:rFonts w:ascii="Aptos" w:hAnsi="Aptos" w:eastAsia="Aptos" w:cs="Aptos"/>
          <w:highlight w:val="none"/>
        </w:rPr>
      </w:r>
    </w:p>
    <w:p w14:paraId="09B79ADC" w14:textId="73315114">
      <w:pPr>
        <w:pBdr/>
        <w:spacing w:after="0"/>
        <w:ind w:left="114"/>
        <w:rPr/>
      </w:pPr>
      <w:r>
        <w:rPr>
          <w:rFonts w:ascii="Aptos" w:hAnsi="Aptos" w:eastAsia="Aptos" w:cs="Aptos"/>
        </w:rPr>
        <w:t xml:space="preserve"> </w:t>
      </w:r>
      <w:r/>
    </w:p>
    <w:p w14:paraId="3CE2F324" w14:textId="6C7C24E6">
      <w:pPr>
        <w:pBdr/>
        <w:spacing w:after="0"/>
        <w:ind w:left="114"/>
        <w:rPr>
          <w:rFonts w:ascii="LM Roman 12" w:hAnsi="LM Roman 12" w:eastAsia="LM Roman 12" w:cs="LM Roman 12"/>
          <w:color w:val="51647e"/>
          <w:sz w:val="32"/>
          <w:szCs w:val="32"/>
        </w:rPr>
      </w:pPr>
      <w:r>
        <w:rPr>
          <w:rFonts w:ascii="LM Roman 12" w:hAnsi="LM Roman 12" w:eastAsia="LM Roman 12" w:cs="LM Roman 12"/>
          <w:color w:val="51647e"/>
          <w:sz w:val="32"/>
          <w:szCs w:val="32"/>
        </w:rPr>
        <w:t xml:space="preserve">MAURIC</w:t>
      </w:r>
      <w:r>
        <w:rPr>
          <w:rFonts w:ascii="LM Roman 12" w:hAnsi="LM Roman 12" w:eastAsia="LM Roman 12" w:cs="LM Roman 12"/>
          <w:color w:val="51647e"/>
          <w:sz w:val="32"/>
          <w:szCs w:val="32"/>
        </w:rPr>
        <w:t xml:space="preserve">E Pierre-Luc</w:t>
      </w:r>
      <w:r>
        <w:rPr>
          <w:rFonts w:ascii="LM Roman 12" w:hAnsi="LM Roman 12" w:eastAsia="LM Roman 12" w:cs="LM Roman 12"/>
          <w:color w:val="51647e"/>
          <w:sz w:val="32"/>
          <w:szCs w:val="32"/>
        </w:rPr>
        <w:t xml:space="preserve">,</w:t>
      </w:r>
      <w:r>
        <w:rPr>
          <w:rFonts w:ascii="LM Roman 12" w:hAnsi="LM Roman 12" w:eastAsia="LM Roman 12" w:cs="LM Roman 12"/>
          <w:color w:val="51647e"/>
          <w:sz w:val="32"/>
          <w:szCs w:val="32"/>
        </w:rPr>
        <w:t xml:space="preserve"> </w:t>
      </w:r>
      <w:r>
        <w:rPr>
          <w:rFonts w:ascii="LM Roman 12" w:hAnsi="LM Roman 12" w:eastAsia="LM Roman 12" w:cs="LM Roman 12"/>
          <w:color w:val="51647e"/>
          <w:sz w:val="32"/>
          <w:szCs w:val="32"/>
        </w:rPr>
        <w:t xml:space="preserve">ALLIE </w:t>
      </w:r>
      <w:r>
        <w:rPr>
          <w:rFonts w:ascii="LM Roman 12" w:hAnsi="LM Roman 12" w:eastAsia="LM Roman 12" w:cs="LM Roman 12"/>
          <w:color w:val="51647e"/>
          <w:sz w:val="32"/>
          <w:szCs w:val="32"/>
        </w:rPr>
        <w:t xml:space="preserve">François </w:t>
      </w:r>
      <w:r>
        <w:rPr>
          <w:rFonts w:ascii="LM Roman 12" w:hAnsi="LM Roman 12" w:eastAsia="LM Roman 12" w:cs="LM Roman 12"/>
          <w:color w:val="51647e"/>
          <w:sz w:val="32"/>
          <w:szCs w:val="32"/>
        </w:rPr>
        <w:t xml:space="preserve">et </w:t>
      </w:r>
      <w:r>
        <w:rPr>
          <w:rFonts w:ascii="LM Roman 12" w:hAnsi="LM Roman 12" w:eastAsia="LM Roman 12" w:cs="LM Roman 12"/>
          <w:color w:val="51647e"/>
          <w:sz w:val="32"/>
          <w:szCs w:val="32"/>
        </w:rPr>
        <w:t xml:space="preserve">HODONOU Arsène</w:t>
      </w:r>
      <w:r>
        <w:rPr>
          <w:rFonts w:ascii="LM Roman 12" w:hAnsi="LM Roman 12" w:eastAsia="LM Roman 12" w:cs="LM Roman 12"/>
          <w:color w:val="51647e"/>
          <w:sz w:val="32"/>
          <w:szCs w:val="32"/>
        </w:rPr>
      </w:r>
    </w:p>
    <w:p w14:paraId="1C1D37D9" w14:textId="2760F8FE">
      <w:pPr>
        <w:pBdr/>
        <w:spacing w:after="0"/>
        <w:ind w:left="114"/>
        <w:rPr>
          <w:rFonts w:ascii="LM Roman 12" w:hAnsi="LM Roman 12" w:eastAsia="LM Roman 12" w:cs="LM Roman 12"/>
          <w:color w:val="51647e"/>
          <w:sz w:val="32"/>
          <w:szCs w:val="32"/>
          <w:highlight w:val="none"/>
        </w:rPr>
      </w:pPr>
      <w:r>
        <w:rPr>
          <w:rFonts w:ascii="LM Roman 12" w:hAnsi="LM Roman 12" w:eastAsia="LM Roman 12" w:cs="LM Roman 12"/>
          <w:color w:val="51647e"/>
          <w:sz w:val="32"/>
          <w:szCs w:val="32"/>
        </w:rPr>
        <w:t xml:space="preserve">1</w:t>
      </w:r>
      <w:r>
        <w:rPr>
          <w:rFonts w:ascii="LM Roman 12" w:hAnsi="LM Roman 12" w:eastAsia="LM Roman 12" w:cs="LM Roman 12"/>
          <w:color w:val="51647e"/>
          <w:sz w:val="32"/>
          <w:szCs w:val="32"/>
        </w:rPr>
        <w:t xml:space="preserve">2 </w:t>
      </w:r>
      <w:r>
        <w:rPr>
          <w:rFonts w:ascii="LM Roman 12" w:hAnsi="LM Roman 12" w:eastAsia="LM Roman 12" w:cs="LM Roman 12"/>
          <w:color w:val="51647e"/>
          <w:sz w:val="32"/>
          <w:szCs w:val="32"/>
        </w:rPr>
        <w:t xml:space="preserve">juin</w:t>
      </w:r>
      <w:r>
        <w:rPr>
          <w:rFonts w:ascii="LM Roman 12" w:hAnsi="LM Roman 12" w:eastAsia="LM Roman 12" w:cs="LM Roman 12"/>
          <w:color w:val="51647e"/>
          <w:sz w:val="32"/>
          <w:szCs w:val="32"/>
        </w:rPr>
        <w:t xml:space="preserve"> </w:t>
      </w:r>
      <w:r>
        <w:rPr>
          <w:rFonts w:ascii="LM Roman 12" w:hAnsi="LM Roman 12" w:eastAsia="LM Roman 12" w:cs="LM Roman 12"/>
          <w:color w:val="51647e"/>
          <w:sz w:val="32"/>
          <w:szCs w:val="32"/>
        </w:rPr>
        <w:t xml:space="preserve">202</w:t>
      </w:r>
      <w:r>
        <w:rPr>
          <w:rFonts w:ascii="LM Roman 12" w:hAnsi="LM Roman 12" w:eastAsia="LM Roman 12" w:cs="LM Roman 12"/>
          <w:color w:val="51647e"/>
          <w:sz w:val="32"/>
          <w:szCs w:val="32"/>
        </w:rPr>
        <w:t xml:space="preserve">6</w:t>
      </w:r>
      <w:r/>
    </w:p>
    <w:p w14:paraId="535C2EBA">
      <w:pPr>
        <w:pBdr/>
        <w:shd w:val="nil"/>
        <w:spacing/>
        <w:ind/>
        <w:rPr/>
      </w:pPr>
      <w:r>
        <w:br w:type="page" w:clear="all"/>
      </w:r>
      <w:r/>
      <w:r/>
    </w:p>
    <w:p w14:paraId="42C93299">
      <w:pPr>
        <w:pBdr/>
        <w:spacing w:after="0"/>
        <w:ind w:left="114"/>
        <w:rPr/>
      </w:pPr>
      <w:r>
        <w:rPr>
          <w:rFonts w:ascii="LM Roman 12" w:hAnsi="LM Roman 12" w:eastAsia="LM Roman 12" w:cs="LM Roman 12"/>
          <w:color w:val="51647e"/>
          <w:sz w:val="32"/>
          <w:szCs w:val="32"/>
          <w:highlight w:val="none"/>
        </w:rPr>
      </w:r>
      <w:r>
        <w:rPr>
          <w:rFonts w:ascii="LM Roman 12" w:hAnsi="LM Roman 12" w:eastAsia="LM Roman 12" w:cs="LM Roman 12"/>
          <w:color w:val="51647e"/>
          <w:sz w:val="32"/>
          <w:szCs w:val="32"/>
          <w:highlight w:val="none"/>
        </w:rPr>
      </w:r>
      <w:r>
        <w:rPr>
          <w:rFonts w:ascii="LM Roman 12" w:hAnsi="LM Roman 12" w:eastAsia="LM Roman 12" w:cs="LM Roman 12"/>
          <w:color w:val="51647e"/>
          <w:sz w:val="32"/>
          <w:szCs w:val="32"/>
          <w:highlight w:val="none"/>
        </w:rPr>
      </w:r>
    </w:p>
    <w:sdt>
      <w:sdtPr>
        <w15:appearance w15:val="boundingBox"/>
        <w:id w:val="2124803052"/>
        <w:docPartObj>
          <w:docPartGallery w:val="Table of Contents"/>
          <w:docPartUnique w:val="true"/>
        </w:docPartObj>
        <w:rPr>
          <w:rFonts w:asciiTheme="minorHAnsi" w:hAnsiTheme="minorHAnsi" w:eastAsiaTheme="minorEastAsia" w:cstheme="minorBidi"/>
          <w:color w:val="auto"/>
          <w:sz w:val="24"/>
          <w:szCs w:val="24"/>
          <w:lang w:eastAsia="en-US"/>
          <w14:ligatures w14:val="standardContextual"/>
        </w:rPr>
      </w:sdtPr>
      <w:sdtContent>
        <w:p w14:paraId="6F3C4448" w14:textId="0EE29FBA">
          <w:pPr>
            <w:pStyle w:val="821"/>
            <w:pBdr/>
            <w:spacing/>
            <w:ind/>
            <w:rPr/>
          </w:pPr>
          <w:r>
            <w:t xml:space="preserve">Table des matières</w:t>
          </w:r>
          <w:r/>
        </w:p>
        <w:p w14:paraId="51D1E09F">
          <w:pPr>
            <w:pStyle w:val="822"/>
            <w:pBdr/>
            <w:tabs>
              <w:tab w:val="right" w:leader="dot" w:pos="9062"/>
            </w:tabs>
            <w:spacing/>
            <w:ind/>
            <w:rPr>
              <w:highlight w:val="none"/>
            </w:rPr>
          </w:pPr>
          <w:r>
            <w:fldChar w:fldCharType="begin"/>
          </w:r>
          <w:r>
            <w:instrText xml:space="preserve"> TOC \o "1-3" \h \z \u </w:instrText>
          </w:r>
          <w:r>
            <w:fldChar w:fldCharType="separate"/>
          </w:r>
          <w:r/>
          <w:hyperlink w:tooltip="#_Toc1" w:anchor="_Toc1" w:history="1">
            <w:r>
              <w:rPr>
                <w:rStyle w:val="823"/>
              </w:rPr>
            </w:r>
            <w:r>
              <w:rPr>
                <w:rStyle w:val="823"/>
              </w:rPr>
              <w:t xml:space="preserve">Introduction</w:t>
            </w:r>
            <w:r>
              <w:rPr>
                <w:rStyle w:val="823"/>
              </w:rPr>
            </w:r>
            <w:r>
              <w:tab/>
            </w:r>
            <w:r>
              <w:fldChar w:fldCharType="begin"/>
              <w:instrText xml:space="preserve">PAGEREF _Toc1 \h</w:instrText>
              <w:fldChar w:fldCharType="separate"/>
              <w:t xml:space="preserve">2</w:t>
              <w:fldChar w:fldCharType="end"/>
            </w:r>
          </w:hyperlink>
          <w:r>
            <w:rPr>
              <w:highlight w:val="none"/>
            </w:rPr>
          </w:r>
        </w:p>
        <w:p w14:paraId="19AEA29D">
          <w:pPr>
            <w:pStyle w:val="822"/>
            <w:pBdr/>
            <w:tabs>
              <w:tab w:val="right" w:leader="dot" w:pos="9062"/>
            </w:tabs>
            <w:spacing/>
            <w:ind/>
            <w:rPr/>
          </w:pPr>
          <w:hyperlink w:tooltip="#_Toc2" w:anchor="_Toc2" w:history="1">
            <w:r>
              <w:rPr>
                <w:rStyle w:val="823"/>
              </w:rPr>
            </w:r>
            <w:r>
              <w:rPr>
                <w:rStyle w:val="823"/>
              </w:rPr>
              <w:t xml:space="preserve">Description </w:t>
            </w:r>
            <w:r>
              <w:rPr>
                <w:rStyle w:val="823"/>
              </w:rPr>
              <w:t xml:space="preserve">des données</w:t>
            </w:r>
            <w:r>
              <w:rPr>
                <w:rStyle w:val="823"/>
              </w:rPr>
            </w:r>
            <w:r>
              <w:tab/>
            </w:r>
            <w:r>
              <w:fldChar w:fldCharType="begin"/>
              <w:instrText xml:space="preserve">PAGEREF _Toc2 \h</w:instrText>
              <w:fldChar w:fldCharType="separate"/>
              <w:t xml:space="preserve">2</w:t>
              <w:fldChar w:fldCharType="end"/>
            </w:r>
          </w:hyperlink>
          <w:r/>
        </w:p>
        <w:p w14:paraId="7DABEA6B">
          <w:pPr>
            <w:pStyle w:val="822"/>
            <w:pBdr/>
            <w:tabs>
              <w:tab w:val="right" w:leader="dot" w:pos="9062"/>
            </w:tabs>
            <w:spacing/>
            <w:ind/>
            <w:rPr/>
          </w:pPr>
          <w:hyperlink w:tooltip="#_Toc3" w:anchor="_Toc3" w:history="1">
            <w:r>
              <w:rPr>
                <w:rStyle w:val="823"/>
              </w:rPr>
            </w:r>
            <w:r>
              <w:rPr>
                <w:rStyle w:val="823"/>
              </w:rPr>
              <w:t xml:space="preserve">Nettoyage des données</w:t>
            </w:r>
            <w:r>
              <w:rPr>
                <w:rStyle w:val="823"/>
              </w:rPr>
              <w:t xml:space="preserve"> </w:t>
            </w:r>
            <w:r>
              <w:rPr>
                <w:rStyle w:val="823"/>
              </w:rPr>
            </w:r>
            <w:r>
              <w:tab/>
            </w:r>
            <w:r>
              <w:fldChar w:fldCharType="begin"/>
              <w:instrText xml:space="preserve">PAGEREF _Toc3 \h</w:instrText>
              <w:fldChar w:fldCharType="separate"/>
              <w:t xml:space="preserve">2</w:t>
              <w:fldChar w:fldCharType="end"/>
            </w:r>
          </w:hyperlink>
          <w:r/>
        </w:p>
        <w:p w14:paraId="6B322B1E">
          <w:pPr>
            <w:pStyle w:val="822"/>
            <w:pBdr/>
            <w:tabs>
              <w:tab w:val="right" w:leader="dot" w:pos="9062"/>
            </w:tabs>
            <w:spacing/>
            <w:ind/>
            <w:rPr/>
          </w:pPr>
          <w:hyperlink w:tooltip="#_Toc4" w:anchor="_Toc4" w:history="1">
            <w:r>
              <w:rPr>
                <w:rStyle w:val="823"/>
              </w:rPr>
            </w:r>
            <w:r>
              <w:rPr>
                <w:rStyle w:val="823"/>
              </w:rPr>
              <w:t xml:space="preserve">Visu</w:t>
            </w:r>
            <w:r>
              <w:rPr>
                <w:rStyle w:val="823"/>
              </w:rPr>
              <w:t xml:space="preserve">alisation des données</w:t>
            </w:r>
            <w:r>
              <w:rPr>
                <w:rStyle w:val="823"/>
              </w:rPr>
              <w:t xml:space="preserve"> </w:t>
            </w:r>
            <w:r>
              <w:rPr>
                <w:rStyle w:val="823"/>
              </w:rPr>
            </w:r>
            <w:r>
              <w:tab/>
            </w:r>
            <w:r>
              <w:fldChar w:fldCharType="begin"/>
              <w:instrText xml:space="preserve">PAGEREF _Toc4 \h</w:instrText>
              <w:fldChar w:fldCharType="separate"/>
              <w:t xml:space="preserve">3</w:t>
              <w:fldChar w:fldCharType="end"/>
            </w:r>
          </w:hyperlink>
          <w:r/>
        </w:p>
        <w:p w14:paraId="098B523E">
          <w:pPr>
            <w:pStyle w:val="822"/>
            <w:pBdr/>
            <w:tabs>
              <w:tab w:val="right" w:leader="dot" w:pos="9062"/>
            </w:tabs>
            <w:spacing/>
            <w:ind/>
            <w:rPr/>
          </w:pPr>
          <w:hyperlink w:tooltip="#_Toc5" w:anchor="_Toc5" w:history="1">
            <w:r>
              <w:rPr>
                <w:rStyle w:val="823"/>
              </w:rPr>
            </w:r>
            <w:r>
              <w:rPr>
                <w:rStyle w:val="823"/>
              </w:rPr>
              <w:t xml:space="preserve">Etudes des corrélations entre variables</w:t>
            </w:r>
            <w:r>
              <w:rPr>
                <w:rStyle w:val="823"/>
              </w:rPr>
              <w:t xml:space="preserve"> </w:t>
            </w:r>
            <w:r>
              <w:rPr>
                <w:rStyle w:val="823"/>
              </w:rPr>
            </w:r>
            <w:r>
              <w:tab/>
            </w:r>
            <w:r>
              <w:fldChar w:fldCharType="begin"/>
              <w:instrText xml:space="preserve">PAGEREF _Toc5 \h</w:instrText>
              <w:fldChar w:fldCharType="separate"/>
              <w:t xml:space="preserve">5</w:t>
              <w:fldChar w:fldCharType="end"/>
            </w:r>
          </w:hyperlink>
          <w:r/>
        </w:p>
        <w:p w14:paraId="5F81347A">
          <w:pPr>
            <w:pStyle w:val="822"/>
            <w:pBdr/>
            <w:tabs>
              <w:tab w:val="right" w:leader="dot" w:pos="9062"/>
            </w:tabs>
            <w:spacing/>
            <w:ind/>
            <w:rPr/>
          </w:pPr>
          <w:hyperlink w:tooltip="#_Toc6" w:anchor="_Toc6" w:history="1">
            <w:r>
              <w:rPr>
                <w:rStyle w:val="823"/>
              </w:rPr>
            </w:r>
            <w:r>
              <w:rPr>
                <w:rStyle w:val="823"/>
              </w:rPr>
              <w:t xml:space="preserve">Prédiction </w:t>
            </w:r>
            <w:r>
              <w:rPr>
                <w:rStyle w:val="823"/>
              </w:rPr>
              <w:t xml:space="preserve">et régression </w:t>
            </w:r>
            <w:r>
              <w:rPr>
                <w:rStyle w:val="823"/>
              </w:rPr>
            </w:r>
            <w:r>
              <w:tab/>
            </w:r>
            <w:r>
              <w:fldChar w:fldCharType="begin"/>
              <w:instrText xml:space="preserve">PAGEREF _Toc6 \h</w:instrText>
              <w:fldChar w:fldCharType="separate"/>
              <w:t xml:space="preserve">7</w:t>
              <w:fldChar w:fldCharType="end"/>
            </w:r>
          </w:hyperlink>
          <w:r/>
        </w:p>
        <w:p w14:paraId="6008526C">
          <w:pPr>
            <w:pStyle w:val="822"/>
            <w:pBdr/>
            <w:tabs>
              <w:tab w:val="right" w:leader="dot" w:pos="9062"/>
            </w:tabs>
            <w:spacing/>
            <w:ind/>
            <w:rPr/>
          </w:pPr>
          <w:hyperlink w:tooltip="#_Toc7" w:anchor="_Toc7" w:history="1">
            <w:r>
              <w:rPr>
                <w:rStyle w:val="823"/>
              </w:rPr>
            </w:r>
            <w:r>
              <w:rPr>
                <w:rStyle w:val="823"/>
              </w:rPr>
              <w:t xml:space="preserve">Conclusion</w:t>
            </w:r>
            <w:r>
              <w:rPr>
                <w:rStyle w:val="823"/>
              </w:rPr>
            </w:r>
            <w:r>
              <w:tab/>
            </w:r>
            <w:r>
              <w:fldChar w:fldCharType="begin"/>
              <w:instrText xml:space="preserve">PAGEREF _Toc7 \h</w:instrText>
              <w:fldChar w:fldCharType="separate"/>
              <w:t xml:space="preserve">9</w:t>
              <w:fldChar w:fldCharType="end"/>
            </w:r>
          </w:hyperlink>
          <w:r/>
        </w:p>
        <w:p w14:paraId="3A5DEA0B">
          <w:pPr>
            <w:pStyle w:val="822"/>
            <w:pBdr/>
            <w:tabs>
              <w:tab w:val="right" w:leader="dot" w:pos="9062"/>
            </w:tabs>
            <w:spacing/>
            <w:ind/>
            <w:rPr>
              <w14:ligatures w14:val="none"/>
            </w:rPr>
          </w:pPr>
          <w:hyperlink w:tooltip="#_Toc8" w:anchor="_Toc8" w:history="1">
            <w:r>
              <w:rPr>
                <w:rStyle w:val="823"/>
              </w:rPr>
            </w:r>
            <w:r>
              <w:rPr>
                <w:rStyle w:val="823"/>
                <w:lang w:val="undefined"/>
              </w:rPr>
              <w:t xml:space="preserve">Annexe</w:t>
            </w:r>
            <w:r>
              <w:rPr>
                <w:rStyle w:val="823"/>
              </w:rPr>
            </w:r>
            <w:r>
              <w:tab/>
            </w:r>
            <w:r>
              <w:fldChar w:fldCharType="begin"/>
              <w:instrText xml:space="preserve">PAGEREF _Toc8 \h</w:instrText>
              <w:fldChar w:fldCharType="separate"/>
              <w:t xml:space="preserve">10</w:t>
              <w:fldChar w:fldCharType="end"/>
            </w:r>
          </w:hyperlink>
          <w:r>
            <w:rPr>
              <w14:ligatures w14:val="none"/>
            </w:rPr>
          </w:r>
        </w:p>
        <w:p w14:paraId="5CE5340D">
          <w:pPr>
            <w:pBdr/>
            <w:spacing/>
            <w:ind/>
            <w:rPr/>
          </w:pPr>
          <w:r/>
          <w:r>
            <w:rPr>
              <w:b/>
              <w:bCs/>
            </w:rPr>
            <w:fldChar w:fldCharType="end"/>
          </w:r>
          <w:r/>
          <w:r/>
        </w:p>
      </w:sdtContent>
    </w:sdt>
    <w:p w14:paraId="4297A682">
      <w:pPr>
        <w:pBdr/>
        <w:shd w:val="nil"/>
        <w:spacing/>
        <w:ind/>
        <w:rPr/>
      </w:pPr>
      <w:r>
        <w:rPr>
          <w:highlight w:val="none"/>
        </w:rPr>
        <w:br w:type="page" w:clear="all"/>
      </w:r>
      <w:r>
        <w:rPr>
          <w:highlight w:val="none"/>
        </w:rPr>
      </w:r>
      <w:r>
        <w:rPr>
          <w:highlight w:val="none"/>
        </w:rPr>
      </w:r>
    </w:p>
    <w:p w14:paraId="7ABB9295" w14:textId="1F09EA58">
      <w:pPr>
        <w:pStyle w:val="798"/>
        <w:pBdr/>
        <w:spacing/>
        <w:ind/>
        <w:rPr>
          <w:highlight w:val="none"/>
        </w:rPr>
      </w:pPr>
      <w:r/>
      <w:bookmarkStart w:id="1" w:name="_Toc1"/>
      <w:r>
        <w:t xml:space="preserve">Introduction</w:t>
      </w:r>
      <w:bookmarkEnd w:id="1"/>
      <w:r/>
      <w:r/>
    </w:p>
    <w:p w14:paraId="30EA99A8" w14:textId="30B975B6">
      <w:pPr>
        <w:pBdr/>
        <w:spacing/>
        <w:ind/>
        <w:rPr/>
      </w:pPr>
      <w:r>
        <w:t xml:space="preserve">L’objectif de ce projet de Big Data est </w:t>
      </w:r>
      <w:r>
        <w:t xml:space="preserve">de c</w:t>
      </w:r>
      <w:r>
        <w:t xml:space="preserve">oncevoir et développer une application d’étude des données IRVE</w:t>
      </w:r>
      <w:r>
        <w:t xml:space="preserve"> (</w:t>
      </w:r>
      <w:r>
        <w:t xml:space="preserve">Infrastructures de Recharge pour Véhicules Électriques).</w:t>
      </w:r>
      <w:r/>
    </w:p>
    <w:p w14:paraId="123DB287" w14:textId="3793F8FC">
      <w:pPr>
        <w:pBdr/>
        <w:spacing/>
        <w:ind/>
        <w:rPr>
          <w:highlight w:val="none"/>
        </w:rPr>
      </w:pPr>
      <w:r>
        <w:t xml:space="preserve">Dans ce rapport, </w:t>
      </w:r>
      <w:r>
        <w:t xml:space="preserve">nous allons présenter </w:t>
      </w:r>
      <w:r>
        <w:t xml:space="preserve">les choix que nous avons pris pour le nettoyage des données,</w:t>
      </w:r>
      <w:r>
        <w:t xml:space="preserve"> la stratégie utilisée,</w:t>
      </w:r>
      <w:r>
        <w:t xml:space="preserve"> </w:t>
      </w:r>
      <w:r>
        <w:t xml:space="preserve">nos résultats</w:t>
      </w:r>
      <w:r>
        <w:t xml:space="preserve"> et </w:t>
      </w:r>
      <w:r>
        <w:t xml:space="preserve">notamment les représentations graphiques</w:t>
      </w:r>
      <w:r>
        <w:t xml:space="preserve"> </w:t>
      </w:r>
      <w:r>
        <w:t xml:space="preserve">que nous </w:t>
      </w:r>
      <w:r>
        <w:t xml:space="preserve">allons analyser et interpréter</w:t>
      </w:r>
      <w:r>
        <w:t xml:space="preserve">.</w:t>
      </w:r>
      <w:r>
        <w:t xml:space="preserve"> </w:t>
      </w:r>
      <w:r>
        <w:t xml:space="preserve">Nous allons également </w:t>
      </w:r>
      <w:r>
        <w:t xml:space="preserve">présenter notre modèle de prédiction / régression.</w:t>
      </w:r>
      <w:r/>
    </w:p>
    <w:p w14:paraId="4C85EFDA">
      <w:pPr>
        <w:pBdr/>
        <w:spacing/>
        <w:ind/>
        <w:rPr/>
      </w:pPr>
      <w:r>
        <w:rPr>
          <w:highlight w:val="none"/>
        </w:rPr>
      </w:r>
      <w:r>
        <w:rPr>
          <w:highlight w:val="none"/>
        </w:rPr>
      </w:r>
      <w:r>
        <w:rPr>
          <w:highlight w:val="none"/>
        </w:rPr>
      </w:r>
    </w:p>
    <w:p w14:paraId="357BD2DE" w14:textId="05C1895D">
      <w:pPr>
        <w:pStyle w:val="798"/>
        <w:pBdr/>
        <w:spacing/>
        <w:ind/>
        <w:rPr/>
      </w:pPr>
      <w:r/>
      <w:bookmarkStart w:id="2" w:name="_Toc2"/>
      <w:r>
        <w:t xml:space="preserve">Description </w:t>
      </w:r>
      <w:r>
        <w:t xml:space="preserve">des données</w:t>
      </w:r>
      <w:r/>
      <w:bookmarkEnd w:id="2"/>
      <w:r/>
      <w:r/>
    </w:p>
    <w:p w14:paraId="040D5EBF" w14:textId="24D45217">
      <w:pPr>
        <w:pBdr/>
        <w:spacing/>
        <w:ind/>
        <w:rPr/>
      </w:pPr>
      <w:r>
        <w:t xml:space="preserve">La base de données brute présente exactement </w:t>
      </w:r>
      <w:r>
        <w:t xml:space="preserve">184 504 </w:t>
      </w:r>
      <w:r>
        <w:t xml:space="preserve">enregistrements </w:t>
      </w:r>
      <w:r>
        <w:t xml:space="preserve">et 52 </w:t>
      </w:r>
      <w:r>
        <w:t xml:space="preserve">variables.</w:t>
      </w:r>
      <w:r>
        <w:t xml:space="preserve"> Parmi 52 variables 21 d’entre elles contenai</w:t>
      </w:r>
      <w:r>
        <w:t xml:space="preserve">ent</w:t>
      </w:r>
      <w:r>
        <w:t xml:space="preserve"> au moins un enregistr</w:t>
      </w:r>
      <w:r>
        <w:t xml:space="preserve">ement vide.</w:t>
      </w:r>
      <w:r>
        <w:t xml:space="preserve"> </w:t>
      </w:r>
      <w:r/>
    </w:p>
    <w:p w14:paraId="57CFF9F6" w14:textId="77777777">
      <w:pPr>
        <w:pBdr/>
        <w:spacing/>
        <w:ind/>
        <w:rPr/>
      </w:pPr>
      <w:r/>
      <w:r/>
    </w:p>
    <w:p w14:paraId="24255FA2" w14:textId="6287189D">
      <w:pPr>
        <w:pStyle w:val="798"/>
        <w:pBdr/>
        <w:spacing/>
        <w:ind/>
        <w:rPr/>
      </w:pPr>
      <w:r/>
      <w:bookmarkStart w:id="3" w:name="_Toc3"/>
      <w:r>
        <w:t xml:space="preserve">Nettoyage des données</w:t>
      </w:r>
      <w:r>
        <w:t xml:space="preserve"> </w:t>
      </w:r>
      <w:bookmarkEnd w:id="3"/>
      <w:r/>
      <w:r/>
    </w:p>
    <w:p w14:paraId="47F9AF9D" w14:textId="0845F164">
      <w:pPr>
        <w:pBdr/>
        <w:spacing/>
        <w:ind/>
        <w:rPr/>
      </w:pPr>
      <w:r>
        <w:t xml:space="preserve">Pour le nettoyage des données nous avons opté pour la stratégie suivante </w:t>
      </w:r>
      <w:r>
        <w:t xml:space="preserve">: si la ligne possède au moins un élément qui est non exploitable pour les études qui suivront, ou s’il manque un élément considéré obligatoire, on retire la ligne. Pour faire cela nous avons suivi ces étapes :</w:t>
      </w:r>
      <w:r/>
    </w:p>
    <w:p w14:paraId="29A6A3ED" w14:textId="4353BAA5">
      <w:pPr>
        <w:pStyle w:val="816"/>
        <w:numPr>
          <w:ilvl w:val="0"/>
          <w:numId w:val="5"/>
        </w:numPr>
        <w:pBdr/>
        <w:spacing/>
        <w:ind/>
        <w:rPr/>
      </w:pPr>
      <w:r>
        <w:t xml:space="preserve">On trie d’abord chaque ligne de donnée par id de point de charge, qui doit </w:t>
      </w:r>
      <w:r>
        <w:t xml:space="preserve">être</w:t>
      </w:r>
      <w:r>
        <w:t xml:space="preserve"> un identifiant unique </w:t>
      </w:r>
      <w:r>
        <w:t xml:space="preserve">pour chaque ligne.</w:t>
      </w:r>
      <w:r>
        <w:t xml:space="preserve"> Par la suite</w:t>
      </w:r>
      <w:r>
        <w:t xml:space="preserve"> on trie par date</w:t>
      </w:r>
      <w:r>
        <w:t xml:space="preserve"> </w:t>
      </w:r>
      <w:r>
        <w:t xml:space="preserve">de </w:t>
      </w:r>
      <w:r>
        <w:t xml:space="preserve">mise </w:t>
      </w:r>
      <w:r>
        <w:t xml:space="preserve">à</w:t>
      </w:r>
      <w:r>
        <w:t xml:space="preserve"> </w:t>
      </w:r>
      <w:r>
        <w:t xml:space="preserve">jou</w:t>
      </w:r>
      <w:r>
        <w:t xml:space="preserve">r</w:t>
      </w:r>
      <w:r>
        <w:t xml:space="preserve">, de la </w:t>
      </w:r>
      <w:r>
        <w:t xml:space="preserve">plus</w:t>
      </w:r>
      <w:r>
        <w:t xml:space="preserve"> </w:t>
      </w:r>
      <w:r>
        <w:t xml:space="preserve">récente</w:t>
      </w:r>
      <w:r>
        <w:t xml:space="preserve"> a la plus </w:t>
      </w:r>
      <w:r>
        <w:t xml:space="preserve">ancienne.</w:t>
      </w:r>
      <w:r/>
    </w:p>
    <w:p w14:paraId="74E7A418" w14:textId="22A1D610">
      <w:pPr>
        <w:pStyle w:val="816"/>
        <w:numPr>
          <w:ilvl w:val="0"/>
          <w:numId w:val="5"/>
        </w:numPr>
        <w:pBdr/>
        <w:spacing/>
        <w:ind/>
        <w:rPr/>
      </w:pPr>
      <w:r>
        <w:t xml:space="preserve">On supprime en</w:t>
      </w:r>
      <w:r>
        <w:t xml:space="preserve">suite les doublons d’id de point d</w:t>
      </w:r>
      <w:r>
        <w:t xml:space="preserve">e charge, puisque ce sont des identifiants </w:t>
      </w:r>
      <w:r>
        <w:t xml:space="preserve">uniques</w:t>
      </w:r>
      <w:r>
        <w:t xml:space="preserve">. Grace au tri fait </w:t>
      </w:r>
      <w:r>
        <w:t xml:space="preserve">précédemment</w:t>
      </w:r>
      <w:r>
        <w:t xml:space="preserve"> on ne conserve que ceux qui ont été mis à jour le plus </w:t>
      </w:r>
      <w:r>
        <w:t xml:space="preserve">récemment</w:t>
      </w:r>
      <w:r>
        <w:t xml:space="preserve">. Et on supprime aussi les lignes où l'id de point de </w:t>
      </w:r>
      <w:r>
        <w:t xml:space="preserve">charge</w:t>
      </w:r>
      <w:r>
        <w:t xml:space="preserve"> vaut "Non concerné"</w:t>
      </w:r>
      <w:r/>
    </w:p>
    <w:p w14:paraId="0C0CD96E" w14:textId="11EECA88">
      <w:pPr>
        <w:pStyle w:val="816"/>
        <w:numPr>
          <w:ilvl w:val="0"/>
          <w:numId w:val="5"/>
        </w:numPr>
        <w:pBdr/>
        <w:spacing/>
        <w:ind/>
        <w:rPr/>
      </w:pPr>
      <w:r>
        <w:t xml:space="preserve">En se basant sur le site du gouvernement</w:t>
      </w:r>
      <w:r>
        <w:rPr>
          <w:rStyle w:val="183"/>
        </w:rPr>
        <w:footnoteReference w:id="2"/>
      </w:r>
      <w:r>
        <w:t xml:space="preserve"> : </w:t>
      </w:r>
      <w:r>
        <w:t xml:space="preserve">on sait que l'on peut supprimer toutes les lignes où au moins un des éléments obligatoires est absent, c'est à dire que </w:t>
      </w:r>
      <w:r>
        <w:t xml:space="preserve">l'</w:t>
      </w:r>
      <w:r>
        <w:t xml:space="preserve">élément</w:t>
      </w:r>
      <w:r>
        <w:t xml:space="preserve"> est vide ou en NA.</w:t>
      </w:r>
      <w:r/>
    </w:p>
    <w:p w14:paraId="6AA954B4" w14:textId="16BF6051">
      <w:pPr>
        <w:pStyle w:val="816"/>
        <w:numPr>
          <w:ilvl w:val="0"/>
          <w:numId w:val="5"/>
        </w:numPr>
        <w:pBdr/>
        <w:spacing/>
        <w:ind/>
        <w:rPr/>
      </w:pPr>
      <w:r>
        <w:t xml:space="preserve">On supprime ensuite les lignes où la puissance nominale est 0. C'est une valeur qu'on ne peut pas utiliser.</w:t>
      </w:r>
      <w:r/>
    </w:p>
    <w:p w14:paraId="1657FA4C" w14:textId="6F8F4C5C">
      <w:pPr>
        <w:pStyle w:val="816"/>
        <w:numPr>
          <w:ilvl w:val="0"/>
          <w:numId w:val="5"/>
        </w:numPr>
        <w:pBdr/>
        <w:spacing/>
        <w:ind/>
        <w:rPr/>
      </w:pPr>
      <w:r>
        <w:t xml:space="preserve">On s'attaque ensuite à la colonne tarification : </w:t>
      </w:r>
      <w:r/>
    </w:p>
    <w:p w14:paraId="5D664A3B" w14:textId="04AAD085">
      <w:pPr>
        <w:pStyle w:val="816"/>
        <w:numPr>
          <w:ilvl w:val="0"/>
          <w:numId w:val="6"/>
        </w:numPr>
        <w:pBdr/>
        <w:spacing/>
        <w:ind/>
        <w:rPr/>
      </w:pPr>
      <w:r>
        <w:t xml:space="preserve">on commence par normaliser les </w:t>
      </w:r>
      <w:r>
        <w:t xml:space="preserve">booléens</w:t>
      </w:r>
      <w:r>
        <w:t xml:space="preserve"> de la </w:t>
      </w:r>
      <w:r>
        <w:t xml:space="preserve">colonne</w:t>
      </w:r>
      <w:r>
        <w:t xml:space="preserve"> </w:t>
      </w:r>
      <w:r>
        <w:t xml:space="preserve">“</w:t>
      </w:r>
      <w:r>
        <w:t xml:space="preserve">gratuit</w:t>
      </w:r>
      <w:r>
        <w:t xml:space="preserve">”</w:t>
      </w:r>
      <w:r>
        <w:t xml:space="preserve">,</w:t>
      </w:r>
      <w:r>
        <w:t xml:space="preserve"> afin que si </w:t>
      </w:r>
      <w:r>
        <w:t xml:space="preserve">l'</w:t>
      </w:r>
      <w:r>
        <w:t xml:space="preserve">élément</w:t>
      </w:r>
      <w:r>
        <w:t xml:space="preserve"> de la même ligne, dans la colonne </w:t>
      </w:r>
      <w:r>
        <w:t xml:space="preserve">tarification</w:t>
      </w:r>
      <w:r>
        <w:t xml:space="preserve"> est vide ou vaut NA, on mette une tarification de "0€/kWh", permettant de conserver quelques lignes de donnés. </w:t>
      </w:r>
      <w:r/>
    </w:p>
    <w:p w14:paraId="69363E5F" w14:textId="33070365">
      <w:pPr>
        <w:pStyle w:val="816"/>
        <w:numPr>
          <w:ilvl w:val="0"/>
          <w:numId w:val="6"/>
        </w:numPr>
        <w:pBdr/>
        <w:spacing/>
        <w:ind/>
        <w:rPr/>
      </w:pPr>
      <w:r>
        <w:t xml:space="preserve">Puis on va essayer de normaliser le tarif des lignes restantes tout en </w:t>
      </w:r>
      <w:r>
        <w:t xml:space="preserve">essay</w:t>
      </w:r>
      <w:r>
        <w:t xml:space="preserve">a</w:t>
      </w:r>
      <w:r>
        <w:t xml:space="preserve">nt</w:t>
      </w:r>
      <w:r>
        <w:t xml:space="preserve"> d'en garder le plus possible. Pour cela on a </w:t>
      </w:r>
      <w:r>
        <w:t xml:space="preserve">défini</w:t>
      </w:r>
      <w:r>
        <w:t xml:space="preserve"> plusieurs groupes de </w:t>
      </w:r>
      <w:r>
        <w:t xml:space="preserve">patterns</w:t>
      </w:r>
      <w:r>
        <w:t xml:space="preserve"> : les </w:t>
      </w:r>
      <w:r>
        <w:t xml:space="preserve">pa</w:t>
      </w:r>
      <w:r>
        <w:t xml:space="preserve">t</w:t>
      </w:r>
      <w:r>
        <w:t xml:space="preserve">terns</w:t>
      </w:r>
      <w:r>
        <w:t xml:space="preserve"> NA et les </w:t>
      </w:r>
      <w:r>
        <w:t xml:space="preserve">pat</w:t>
      </w:r>
      <w:r>
        <w:t xml:space="preserve">t</w:t>
      </w:r>
      <w:r>
        <w:t xml:space="preserve">erns</w:t>
      </w:r>
      <w:r>
        <w:t xml:space="preserve"> "gratuits", pour les </w:t>
      </w:r>
      <w:r>
        <w:t xml:space="preserve">pa</w:t>
      </w:r>
      <w:r>
        <w:t xml:space="preserve">t</w:t>
      </w:r>
      <w:r>
        <w:t xml:space="preserve">terns</w:t>
      </w:r>
      <w:r>
        <w:t xml:space="preserve"> NA on supprime la ligne, puisque on ne peut pas en extraire un prix, pour les </w:t>
      </w:r>
      <w:r>
        <w:t xml:space="preserve">pat</w:t>
      </w:r>
      <w:r>
        <w:t xml:space="preserve">t</w:t>
      </w:r>
      <w:r>
        <w:t xml:space="preserve">erns</w:t>
      </w:r>
      <w:r>
        <w:t xml:space="preserve"> gratuits on met le prix à "0". </w:t>
      </w:r>
      <w:r/>
    </w:p>
    <w:p w14:paraId="1E7C25E8" w14:textId="52953B3C">
      <w:pPr>
        <w:pStyle w:val="816"/>
        <w:numPr>
          <w:ilvl w:val="0"/>
          <w:numId w:val="6"/>
        </w:numPr>
        <w:pBdr/>
        <w:spacing/>
        <w:ind/>
        <w:rPr/>
      </w:pPr>
      <w:r>
        <w:t xml:space="preserve">Pour le reste des lignes qui ne rentrent pas dans ces deux conditions, on va faire du nettoyage de texte et des erreurs d'encodage afin d'obtenir à la fin un</w:t>
      </w:r>
      <w:r>
        <w:t xml:space="preserve"> ou plusieurs prix en "€/kWh". Dans les cas où on a plusieurs prix on fait la moyenne de ces prix, on perd certes en précision, mais cela nous permet de conserver une quantité raisonnable de donnés (7930 lignes contre 1500), c'est un compromis raisonnable.</w:t>
      </w:r>
      <w:r/>
    </w:p>
    <w:p w14:paraId="6EB1E437">
      <w:pPr>
        <w:pStyle w:val="816"/>
        <w:numPr>
          <w:ilvl w:val="0"/>
          <w:numId w:val="6"/>
        </w:numPr>
        <w:pBdr/>
        <w:spacing/>
        <w:ind/>
        <w:rPr/>
      </w:pPr>
      <w:r>
        <w:rPr>
          <w:highlight w:val="none"/>
        </w:rPr>
        <w:t xml:space="preserve">Finalement on renome la colonne « tarification » en « tarification_eur_kWh » afin de n’avoir que des données numériques facilement exploitables.</w:t>
      </w:r>
      <w:r>
        <w:rPr>
          <w:highlight w:val="none"/>
        </w:rPr>
      </w:r>
      <w:r>
        <w:rPr>
          <w:highlight w:val="none"/>
        </w:rPr>
      </w:r>
    </w:p>
    <w:p w14:paraId="1439C276">
      <w:pPr>
        <w:pStyle w:val="816"/>
        <w:numPr>
          <w:ilvl w:val="0"/>
          <w:numId w:val="5"/>
        </w:numPr>
        <w:pBdr/>
        <w:spacing/>
        <w:ind/>
        <w:rPr/>
      </w:pPr>
      <w:r>
        <w:rPr>
          <w:highlight w:val="none"/>
        </w:rPr>
        <w:t xml:space="preserve">Pour les colonnes de tarification, de puissance et des dates de mise à jour nous avons supprimés celles où les valeurs étaient aberrantes comme les prix trop élevés, les puissances nulles et trop élevées, pour les dates celles dans le futur et trop anciennes.</w:t>
      </w:r>
      <w:r>
        <w:rPr>
          <w:highlight w:val="none"/>
        </w:rPr>
      </w:r>
    </w:p>
    <w:p w14:paraId="19347F86" w14:textId="0BA47898">
      <w:pPr>
        <w:pStyle w:val="816"/>
        <w:numPr>
          <w:ilvl w:val="0"/>
          <w:numId w:val="5"/>
        </w:numPr>
        <w:pBdr/>
        <w:spacing/>
        <w:ind/>
        <w:rPr/>
      </w:pPr>
      <w:r>
        <w:t xml:space="preserve">Pour le reste des co</w:t>
      </w:r>
      <w:r>
        <w:t xml:space="preserve">lonnes il ne nous reste que à faire de la normalisation de la syntaxe afin de limiter les doublons inutiles. Pour cela on normalise le format des colonnes horaires et restriction gabarit. Pour ces deux colonnes en fonction de la personne qui a remplis les </w:t>
      </w:r>
      <w:r>
        <w:t xml:space="preserve">données</w:t>
      </w:r>
      <w:r>
        <w:t xml:space="preserve"> la façon de décrire le l'information </w:t>
      </w:r>
      <w:r>
        <w:t xml:space="preserve">diffère</w:t>
      </w:r>
      <w:r>
        <w:t xml:space="preserve"> fortement.</w:t>
      </w:r>
      <w:r/>
    </w:p>
    <w:p w14:paraId="301F0A7C" w14:textId="516637BE">
      <w:pPr>
        <w:pStyle w:val="816"/>
        <w:numPr>
          <w:ilvl w:val="0"/>
          <w:numId w:val="5"/>
        </w:numPr>
        <w:pBdr/>
        <w:spacing/>
        <w:ind/>
        <w:rPr/>
      </w:pPr>
      <w:r>
        <w:t xml:space="preserve">Ensuite on normalise les colonnes contenant des </w:t>
      </w:r>
      <w:r>
        <w:t xml:space="preserve">booléens</w:t>
      </w:r>
      <w:r>
        <w:t xml:space="preserve"> afin d'avoir seulement des TRUE ou FALSE logiques et pas sous forme de chaîne de caractère.</w:t>
      </w:r>
      <w:r/>
    </w:p>
    <w:p w14:paraId="3F5ACC3E" w14:textId="6E6A7CE4">
      <w:pPr>
        <w:pStyle w:val="816"/>
        <w:numPr>
          <w:ilvl w:val="0"/>
          <w:numId w:val="5"/>
        </w:numPr>
        <w:pBdr/>
        <w:spacing/>
        <w:ind/>
        <w:rPr/>
      </w:pPr>
      <w:r>
        <w:t xml:space="preserve">Puis on met les colonnes contenant des noms : nom_operateur, nom_amenageur, nom_enseigne, nom_station, adresse_station. </w:t>
      </w:r>
      <w:r>
        <w:t xml:space="preserve">En</w:t>
      </w:r>
      <w:r>
        <w:t xml:space="preserve"> upper case pour limiter les doublons de case quand on fait de la visualisation de données.</w:t>
      </w:r>
      <w:r/>
    </w:p>
    <w:p w14:paraId="70309843" w14:textId="2D978CE8">
      <w:pPr>
        <w:pStyle w:val="816"/>
        <w:numPr>
          <w:ilvl w:val="0"/>
          <w:numId w:val="5"/>
        </w:numPr>
        <w:pBdr/>
        <w:spacing/>
        <w:ind/>
        <w:rPr/>
      </w:pPr>
      <w:r>
        <w:t xml:space="preserve">On finit ensuite par </w:t>
      </w:r>
      <w:r>
        <w:t xml:space="preserve">remplir</w:t>
      </w:r>
      <w:r>
        <w:t xml:space="preserve"> les tous les </w:t>
      </w:r>
      <w:r>
        <w:t xml:space="preserve">éléments</w:t>
      </w:r>
      <w:r>
        <w:t xml:space="preserve"> vides par "inconnu" afin d'éviter les erreurs lors de l'exploitation des donnés.</w:t>
      </w:r>
      <w:r/>
    </w:p>
    <w:p w14:paraId="5FC80B87" w14:textId="77320D44">
      <w:pPr>
        <w:pBdr/>
        <w:spacing/>
        <w:ind/>
        <w:rPr/>
      </w:pPr>
      <w:r>
        <w:t xml:space="preserve">Après avoir appliquée cette stratégie de nettoyage des données, </w:t>
      </w:r>
      <w:r>
        <w:t xml:space="preserve">la réduction est drastique : </w:t>
      </w:r>
      <w:r>
        <w:t xml:space="preserve">on passe à </w:t>
      </w:r>
      <w:r>
        <w:t xml:space="preserve">79</w:t>
      </w:r>
      <w:r>
        <w:t xml:space="preserve">28 </w:t>
      </w:r>
      <w:r>
        <w:t xml:space="preserve">lignes restantes dans la base de données</w:t>
      </w:r>
      <w:r>
        <w:t xml:space="preserve">.</w:t>
      </w:r>
      <w:r/>
    </w:p>
    <w:p w14:paraId="721563E4" w14:textId="0A0FBCFC">
      <w:pPr>
        <w:pStyle w:val="798"/>
        <w:pBdr/>
        <w:spacing/>
        <w:ind/>
        <w:rPr/>
      </w:pPr>
      <w:r/>
      <w:bookmarkStart w:id="4" w:name="_Toc4"/>
      <w:r>
        <w:t xml:space="preserve">Visu</w:t>
      </w:r>
      <w:r>
        <w:t xml:space="preserve">alisation des données</w:t>
      </w:r>
      <w:r>
        <w:t xml:space="preserve"> </w:t>
      </w:r>
      <w:bookmarkEnd w:id="4"/>
      <w:r/>
      <w:r/>
    </w:p>
    <w:p w14:paraId="5E8B7803" w14:textId="2B3F63EA">
      <w:pPr>
        <w:pBdr/>
        <w:spacing/>
        <w:ind/>
        <w:rPr>
          <w:highlight w:val="none"/>
        </w:rPr>
      </w:pPr>
      <w:r>
        <w:t xml:space="preserve">Dans un premier temps, nous avons effectué une visualisation des données brutes </w:t>
      </w:r>
      <w:r>
        <w:t xml:space="preserve">sur des graphiques</w:t>
      </w:r>
      <w:r>
        <w:t xml:space="preserve"> avec </w:t>
      </w:r>
      <w:r>
        <w:t xml:space="preserve">R, afin</w:t>
      </w:r>
      <w:r>
        <w:t xml:space="preserve"> de </w:t>
      </w:r>
      <w:r>
        <w:t xml:space="preserve">voir clairement </w:t>
      </w:r>
      <w:r>
        <w:t xml:space="preserve">les valeurs aberrantes</w:t>
      </w:r>
      <w:r>
        <w:t xml:space="preserve"> et l’étalement des distributions.</w:t>
      </w:r>
      <w:r>
        <w:t xml:space="preserve"> </w:t>
      </w:r>
      <w:r>
        <w:t xml:space="preserve">Ensuite nous avons effectué les visualisations sur les données nettoyées</w:t>
      </w:r>
      <w:r>
        <w:t xml:space="preserve">,</w:t>
      </w:r>
      <w:r>
        <w:t xml:space="preserve"> celles que nous allons présenter.</w:t>
      </w:r>
      <w:r/>
    </w:p>
    <w:p w14:paraId="6E0E43F0">
      <w:pPr>
        <w:pStyle w:val="800"/>
        <w:pBdr/>
        <w:spacing/>
        <w:ind/>
        <w:rPr>
          <w14:ligatures w14:val="none"/>
        </w:rPr>
      </w:pPr>
      <w:r>
        <w:rPr>
          <w:lang w:val="undefined"/>
        </w:rPr>
        <w:t xml:space="preserve">Répartition des puissance nominales</w:t>
      </w:r>
      <w:r>
        <w:rPr>
          <w:lang w:val="undefined"/>
        </w:rPr>
      </w:r>
    </w:p>
    <w:p w14:paraId="71FB03C5" w14:textId="5977D197">
      <w:pPr>
        <w:pBdr/>
        <w:spacing/>
        <w:ind/>
        <w:rPr/>
      </w:pPr>
      <w:r>
        <w:t xml:space="preserve">A l’aide d’un histogramme, </w:t>
      </w:r>
      <w:r>
        <w:t xml:space="preserve">on peut observer la répartition des puissances nominales</w:t>
      </w:r>
      <w:r>
        <w:t xml:space="preserve">, en ne gardant que </w:t>
      </w:r>
      <w:r>
        <w:t xml:space="preserve">les puissances nominales</w:t>
      </w:r>
      <w:r>
        <w:t xml:space="preserve"> supérieures à 0 et inférieures ou égales à 500kW, ce qui a permis d’éliminer </w:t>
      </w:r>
      <w:r>
        <w:t xml:space="preserve">respectivement </w:t>
      </w:r>
      <w:r>
        <w:t xml:space="preserve">les valeurs </w:t>
      </w:r>
      <w:r>
        <w:t xml:space="preserve">manquantes et aberrantes.</w:t>
      </w:r>
      <w:r/>
    </w:p>
    <w:p w14:paraId="3D7C34CA" w14:textId="667B0C21">
      <w:pPr>
        <w:pBdr/>
        <w:spacing/>
        <w:ind/>
        <w:rPr/>
      </w:pPr>
      <w:r/>
      <w:r/>
    </w:p>
    <w:p w14:paraId="2650A739" w14:textId="77777777">
      <w:pPr>
        <w:pBdr/>
        <w:spacing/>
        <w:ind/>
        <w:rPr/>
      </w:pPr>
      <w:r/>
      <w:r/>
    </w:p>
    <w:p w14:paraId="57BC46C6" w14:textId="77777777">
      <w:pPr>
        <w:pBdr/>
        <w:spacing/>
        <w:ind/>
        <w:rPr/>
      </w:pPr>
      <w:r/>
      <w:r/>
    </w:p>
    <w:p w14:paraId="27A9B04F" w14:textId="6B38986E">
      <w:pPr>
        <w:pBdr/>
        <w:spacing/>
        <w:ind/>
        <w:rPr>
          <w:highlight w:val="none"/>
        </w:rPr>
      </w:pPr>
      <w:r>
        <w:t xml:space="preserve">Le graphique 1 montre </w:t>
      </w:r>
      <w:r>
        <w:t xml:space="preserve">que la distribution </w:t>
      </w:r>
      <w:r>
        <w:t xml:space="preserve">est fortement asymétrique, étalée vers la droite. </w:t>
      </w:r>
      <w:r>
        <w:t xml:space="preserve">On</w:t>
      </w:r>
      <w:r>
        <w:t xml:space="preserve"> a une majorité</w:t>
      </w:r>
      <w:r>
        <w:t xml:space="preserve"> </w:t>
      </w:r>
      <w:r>
        <w:t xml:space="preserve">écrasante </w:t>
      </w:r>
      <w:r>
        <w:t xml:space="preserve">de stations </w:t>
      </w:r>
      <w:r>
        <w:t xml:space="preserve">disposant d’une puissance de 22 </w:t>
      </w:r>
      <w:r>
        <w:t xml:space="preserve">kW</w:t>
      </w:r>
      <w:r>
        <w:t xml:space="preserve">.</w:t>
      </w:r>
      <w:r>
        <w:t xml:space="preserve"> </w:t>
      </w:r>
      <w:r>
        <w:t xml:space="preserve">Ce qui semble logique car c’est le standard de la recharge publique en </w:t>
      </w:r>
      <w:r>
        <w:t xml:space="preserve">France, puisqu’il</w:t>
      </w:r>
      <w:r>
        <w:t xml:space="preserve"> </w:t>
      </w:r>
      <w:r>
        <w:t xml:space="preserve">s’agit du meilleur compromis entre prix d’installation et </w:t>
      </w:r>
      <w:r>
        <w:t xml:space="preserve">temps de charge.</w:t>
      </w:r>
      <w:r>
        <w:t xml:space="preserve"> On a un deuxième </w:t>
      </w:r>
      <w:r>
        <w:t xml:space="preserve">petit groupe </w:t>
      </w:r>
      <w:r>
        <w:t xml:space="preserve">autour des 50 kW</w:t>
      </w:r>
      <w:r>
        <w:t xml:space="preserve">, il s’agit des stations </w:t>
      </w:r>
      <w:r>
        <w:t xml:space="preserve">rapides généralement installées </w:t>
      </w:r>
      <w:r>
        <w:t xml:space="preserve">sur les parkings de supermarchés et les aires d’autoroutes. </w:t>
      </w:r>
      <w:r>
        <w:t xml:space="preserve">Puis de 150 à 400 kW il n’y a que très peu de stations</w:t>
      </w:r>
      <w:r>
        <w:t xml:space="preserve">, en effet on rentre dans le domaine </w:t>
      </w:r>
      <w:r>
        <w:t xml:space="preserve">d</w:t>
      </w:r>
      <w:r>
        <w:t xml:space="preserve">es bornes super-charge, celles ci sont très co</w:t>
      </w:r>
      <w:r>
        <w:t xml:space="preserve">ûteuses et gaspillent énormément d’énergie pour atteindre ces vitesses de charge.</w:t>
      </w:r>
      <w:r/>
      <w:r/>
    </w:p>
    <w:p w14:paraId="209F41EF">
      <w:pPr>
        <w:pStyle w:val="800"/>
        <w:pBdr/>
        <w:spacing/>
        <w:ind/>
        <w:rPr/>
      </w:pPr>
      <w:r>
        <w:rPr>
          <w:highlight w:val="none"/>
        </w:rPr>
        <w:t xml:space="preserve">Nombre annuel de stations mises en service</w:t>
      </w:r>
      <w:r>
        <w:rPr>
          <w:highlight w:val="none"/>
        </w:rPr>
      </w:r>
      <w:r>
        <w:rPr>
          <w:highlight w:val="none"/>
        </w:rPr>
      </w:r>
    </w:p>
    <w:p w14:paraId="083E6D95" w14:textId="7D064FD2">
      <w:pPr>
        <w:pBdr/>
        <w:spacing/>
        <w:ind/>
        <w:rPr>
          <w:highlight w:val="none"/>
        </w:rPr>
      </w:pPr>
      <w:r>
        <w:t xml:space="preserve">Le graphique 2 représente le nombre de points de charge mis en service chaque année</w:t>
      </w:r>
      <w:r>
        <w:t xml:space="preserve">. Sur ce graphe on observe 4 périodes distinctes</w:t>
      </w:r>
      <w:r>
        <w:t xml:space="preserve"> :</w:t>
      </w:r>
      <w:r/>
      <w:r/>
    </w:p>
    <w:p w14:paraId="11013667">
      <w:pPr>
        <w:pBdr/>
        <w:spacing/>
        <w:ind/>
        <w:rPr/>
      </w:pPr>
      <w:r>
        <w:t xml:space="preserve">2018 – 2020 Une phase d’amorçage</w:t>
      </w:r>
      <w:r>
        <w:t xml:space="preserve"> : </w:t>
      </w:r>
      <w:r>
        <w:t xml:space="preserve">durant cette période, le déploiement reste timide mais progresse de manière linéaire, passant d’une vingtaine d’unités à un peu plus de 60 nouvelles installations en 2020</w:t>
      </w:r>
      <w:r>
        <w:t xml:space="preserve"> soi</w:t>
      </w:r>
      <w:r>
        <w:t xml:space="preserve">t</w:t>
      </w:r>
      <w:r>
        <w:t xml:space="preserve"> 75 environs</w:t>
      </w:r>
      <w:r>
        <w:t xml:space="preserve">.</w:t>
      </w:r>
      <w:r/>
      <w:r/>
    </w:p>
    <w:p w14:paraId="0263BB36" w14:textId="31F05E22">
      <w:pPr>
        <w:pBdr/>
        <w:spacing/>
        <w:ind/>
        <w:rPr/>
      </w:pPr>
      <w:r>
        <w:t xml:space="preserve">2021 Le pic</w:t>
      </w:r>
      <w:r>
        <w:t xml:space="preserve"> : </w:t>
      </w:r>
      <w:r>
        <w:t xml:space="preserve">cette année marque un tournant radical avec un pic massif d’installations, culminant à près de 370 points</w:t>
      </w:r>
      <w:r>
        <w:t xml:space="preserve"> </w:t>
      </w:r>
      <w:r>
        <w:t xml:space="preserve">mis en service </w:t>
      </w:r>
      <w:r>
        <w:t xml:space="preserve">en une seule année cependant cela peut </w:t>
      </w:r>
      <w:r>
        <w:t xml:space="preserve">âtre d</w:t>
      </w:r>
      <w:r>
        <w:t xml:space="preserve">û un plus grand nombre de données pour cette période</w:t>
      </w:r>
      <w:r>
        <w:t xml:space="preserve">.</w:t>
      </w:r>
      <w:r/>
    </w:p>
    <w:p w14:paraId="2171572D" w14:textId="6EBF9173">
      <w:pPr>
        <w:pBdr/>
        <w:spacing/>
        <w:ind/>
        <w:rPr/>
      </w:pPr>
      <w:r>
        <w:t xml:space="preserve">2022-2025 Une phase de consolidation</w:t>
      </w:r>
      <w:r>
        <w:t xml:space="preserve"> : </w:t>
      </w:r>
      <w:r>
        <w:t xml:space="preserve">après le record de 2021, on observe une légère baisse suivie d’une stabilisation des ouvertures, oscillant entre 200 et 280 nouvelles installations par an.</w:t>
      </w:r>
      <w:r/>
    </w:p>
    <w:p w14:paraId="091A5AD6" w14:textId="29FAD8FE">
      <w:pPr>
        <w:pBdr/>
        <w:spacing/>
        <w:ind/>
        <w:rPr>
          <w:highlight w:val="none"/>
        </w:rPr>
      </w:pPr>
      <w:r>
        <w:t xml:space="preserve">2026 : </w:t>
      </w:r>
      <w:r>
        <w:t xml:space="preserve">Des d</w:t>
      </w:r>
      <w:r>
        <w:t xml:space="preserve">onnées </w:t>
      </w:r>
      <w:r>
        <w:t xml:space="preserve">partielles</w:t>
      </w:r>
      <w:r>
        <w:t xml:space="preserve">. </w:t>
      </w:r>
      <w:r>
        <w:t xml:space="preserve">La chute brutale observée en 2026 ne </w:t>
      </w:r>
      <w:r>
        <w:t xml:space="preserve">reflète</w:t>
      </w:r>
      <w:r>
        <w:t xml:space="preserve"> pas un arrêt des installations mais s’explique par le fait que l’année en cours est </w:t>
      </w:r>
      <w:r>
        <w:t xml:space="preserve">incomplète</w:t>
      </w:r>
      <w:r>
        <w:t xml:space="preserve"> et que les données de reporting les plus récentes </w:t>
      </w:r>
      <w:r>
        <w:t xml:space="preserve">sont encore en cours de consolidation dans le fichier.</w:t>
      </w:r>
      <w:r/>
    </w:p>
    <w:p w14:paraId="693013F1">
      <w:pPr>
        <w:pStyle w:val="800"/>
        <w:pBdr/>
        <w:spacing/>
        <w:ind/>
        <w:rPr/>
      </w:pPr>
      <w:r>
        <w:rPr>
          <w:highlight w:val="none"/>
        </w:rPr>
      </w:r>
      <w:r>
        <w:rPr>
          <w:highlight w:val="none"/>
        </w:rPr>
        <w:t xml:space="preserve">Nombre d’instalation de stations</w:t>
      </w:r>
      <w:r>
        <w:rPr>
          <w:highlight w:val="none"/>
        </w:rPr>
        <w:t xml:space="preserve"> mensuellement</w:t>
      </w:r>
      <w:r>
        <w:rPr>
          <w:highlight w:val="none"/>
        </w:rPr>
      </w:r>
    </w:p>
    <w:p w14:paraId="44D819D9" w14:textId="4BC82C8B">
      <w:pPr>
        <w:pBdr/>
        <w:spacing/>
        <w:ind/>
        <w:rPr/>
      </w:pPr>
      <w:r>
        <w:t xml:space="preserve">Le graphique 3</w:t>
      </w:r>
      <w:r>
        <w:t xml:space="preserve"> illustre l’évolution </w:t>
      </w:r>
      <w:r>
        <w:t xml:space="preserve">mensu</w:t>
      </w:r>
      <w:r>
        <w:t xml:space="preserve">elle </w:t>
      </w:r>
      <w:r>
        <w:t xml:space="preserve">des mises en </w:t>
      </w:r>
      <w:r>
        <w:t xml:space="preserve">service des points </w:t>
      </w:r>
      <w:r>
        <w:t xml:space="preserve">de recharge sur</w:t>
      </w:r>
      <w:r>
        <w:t xml:space="preserve"> l’ensemble des </w:t>
      </w:r>
      <w:r>
        <w:t xml:space="preserve">années </w:t>
      </w:r>
      <w:r>
        <w:t xml:space="preserve">permetta</w:t>
      </w:r>
      <w:r>
        <w:t xml:space="preserve">nt d’identifier les </w:t>
      </w:r>
      <w:r>
        <w:t xml:space="preserve">tendances </w:t>
      </w:r>
      <w:r>
        <w:t xml:space="preserve">saisonnières de l’activité</w:t>
      </w:r>
      <w:r>
        <w:t xml:space="preserve">. On observe notement que les instalations se font particulièrement en juillet, octobre et novembre, mais sont très peu nombreuses en mars, ao</w:t>
      </w:r>
      <w:r>
        <w:t xml:space="preserve">ût et septembre</w:t>
      </w:r>
      <w:r/>
      <w:r/>
    </w:p>
    <w:p w14:paraId="70318F77" w14:textId="76EB4CAA">
      <w:pPr>
        <w:pStyle w:val="800"/>
        <w:pBdr/>
        <w:spacing/>
        <w:ind/>
        <w:rPr>
          <w:bCs/>
        </w:rPr>
      </w:pPr>
      <w:r>
        <w:rPr>
          <w:bCs/>
        </w:rPr>
        <w:t xml:space="preserve">Parts de marché des opérateurs</w:t>
      </w:r>
      <w:r>
        <w:rPr>
          <w:bCs/>
        </w:rPr>
      </w:r>
    </w:p>
    <w:p w14:paraId="45609D85" w14:textId="3A3BCB3A">
      <w:pPr>
        <w:pBdr/>
        <w:spacing/>
        <w:ind/>
        <w:rPr/>
      </w:pPr>
      <w:r>
        <w:t xml:space="preserve">Le graphique 4 re</w:t>
      </w:r>
      <w:r>
        <w:rPr>
          <w:rFonts w:ascii="Aptos" w:hAnsi="Aptos" w:eastAsia="Aptos" w:cs="Aptos"/>
        </w:rPr>
        <w:t xml:space="preserve">présente la répartition en </w:t>
      </w:r>
      <w:r>
        <w:rPr>
          <w:rFonts w:ascii="Aptos" w:hAnsi="Aptos" w:eastAsia="Aptos" w:cs="Aptos"/>
        </w:rPr>
        <w:t xml:space="preserve">pourcentage des parts de marché des opérateurs de bornes de recharge installées. On observe une forte domination de l’opérateur SPBR1, qui possède près de 70% du marché, suivi par </w:t>
      </w:r>
      <w:r>
        <w:t xml:space="preserve">ZEPHYRE SAS à 4%. Les opérateurs présents dans la section AUTRES sont les opérateurs représentant moins de 1% des parts du marché. Il est important de noter que nous n’a</w:t>
      </w:r>
      <w:r>
        <w:t xml:space="preserve">vons pas pris en compte les installations dont l’opérateur nous est inconnu, cela fausserait les données et les conclusions seraient biaisées.</w:t>
      </w:r>
      <w:r/>
    </w:p>
    <w:p w14:paraId="61D70D12">
      <w:pPr>
        <w:pBdr/>
        <w:spacing/>
        <w:ind/>
        <w:rPr/>
      </w:pPr>
      <w:r/>
      <w:r/>
    </w:p>
    <w:p w14:paraId="3E7BC9A1" w14:textId="143C3C8A">
      <w:pPr>
        <w:pStyle w:val="798"/>
        <w:pBdr/>
        <w:spacing/>
        <w:ind/>
        <w:rPr/>
      </w:pPr>
      <w:r/>
      <w:bookmarkStart w:id="5" w:name="_Toc5"/>
      <w:r>
        <w:t xml:space="preserve">Etudes des corrélations entre variables</w:t>
      </w:r>
      <w:r>
        <w:t xml:space="preserve"> </w:t>
      </w:r>
      <w:bookmarkEnd w:id="5"/>
      <w:r/>
      <w:r/>
    </w:p>
    <w:p w14:paraId="08FF99D5" w14:textId="23219E92">
      <w:pPr>
        <w:pBdr/>
        <w:spacing/>
        <w:ind/>
        <w:rPr/>
      </w:pPr>
      <w:r>
        <w:t xml:space="preserve">L’étude des corrélations entre variables </w:t>
      </w:r>
      <w:r>
        <w:t xml:space="preserve">nous permet de faire « parler » les variables pour savoir s</w:t>
      </w:r>
      <w:r>
        <w:t xml:space="preserve">i l’une influence l’autre</w:t>
      </w:r>
      <w:r>
        <w:t xml:space="preserve">. La méthode que l’on utilise dépend du type de variable : quantitative vs quantitative, qualitative vs qualitative, quantita</w:t>
      </w:r>
      <w:r>
        <w:t xml:space="preserve">tive vs qualitative …</w:t>
      </w:r>
      <w:r/>
    </w:p>
    <w:p w14:paraId="6FB658E3" w14:textId="6CF0A693">
      <w:pPr>
        <w:pStyle w:val="800"/>
        <w:pBdr/>
        <w:spacing/>
        <w:ind/>
        <w:rPr/>
      </w:pPr>
      <w:r>
        <w:t xml:space="preserve">Corrélation entre prix et puissance</w:t>
      </w:r>
      <w:r/>
    </w:p>
    <w:p w14:paraId="664836DC" w14:textId="531D0A12">
      <w:pPr>
        <w:pBdr/>
        <w:spacing/>
        <w:ind/>
        <w:rPr/>
      </w:pPr>
      <w:r>
        <w:t xml:space="preserve">Nous avons mené l’étude de corrélation entre la tarification et la puissance, donc deux variables quantitatives</w:t>
      </w:r>
      <w:r>
        <w:t xml:space="preserve">. L’outil statistique utilisé est le coefficient de Pearson, et la visualisation est un nuage de points. </w:t>
      </w:r>
      <w:r>
        <w:t xml:space="preserve">Pour indiquer </w:t>
      </w:r>
      <w:r>
        <w:t xml:space="preserve">l’intensité</w:t>
      </w:r>
      <w:r>
        <w:t xml:space="preserve"> et la direction de connexion entre les deux variables, l</w:t>
      </w:r>
      <w:r>
        <w:t xml:space="preserve">e coefficient de Pearson varie entre -1 et 1</w:t>
      </w:r>
      <w:r>
        <w:t xml:space="preserve">. </w:t>
      </w:r>
      <w:r>
        <w:t xml:space="preserve">La direction est donnée par le signe : un signe positif indique qu</w:t>
      </w:r>
      <w:r>
        <w:t xml:space="preserve">e les variables évoluent ensemble, quand l’une augmente, l’autre aussi. Tandis qu’un signe négatif indique </w:t>
      </w:r>
      <w:r>
        <w:t xml:space="preserve">une évolution inverse (peu probable dans notre contexte). </w:t>
      </w:r>
      <w:r>
        <w:t xml:space="preserve">E</w:t>
      </w:r>
      <w:r>
        <w:t xml:space="preserve">t l’intensité est </w:t>
      </w:r>
      <w:r>
        <w:t xml:space="preserve">donnée par la valeur du coefficient directement</w:t>
      </w:r>
      <w:r>
        <w:t xml:space="preserve"> : </w:t>
      </w:r>
      <w:r>
        <w:t xml:space="preserve">Une valeur proche de </w:t>
      </w:r>
      <w:r>
        <w:t xml:space="preserve">0</w:t>
      </w:r>
      <w:r>
        <w:t xml:space="preserve"> signifie une absence de corrélation linéaire, tandis qu'une valeur proche de </w:t>
      </w:r>
      <w:r>
        <w:t xml:space="preserve">1</w:t>
      </w:r>
      <w:r>
        <w:t xml:space="preserve"> ou </w:t>
      </w:r>
      <w:r>
        <w:t xml:space="preserve">-1</w:t>
      </w:r>
      <w:r>
        <w:t xml:space="preserve"> indique une relation linéaire forte ou parfaite.</w:t>
      </w:r>
      <w:r/>
    </w:p>
    <w:p w14:paraId="3EACB0D7" w14:textId="6EBC2A57">
      <w:pPr>
        <w:pBdr/>
        <w:spacing/>
        <w:ind/>
        <w:rPr/>
      </w:pPr>
      <w:r>
        <w:t xml:space="preserve">Le calcul du coefficient de Pearson</w:t>
      </w:r>
      <w:r>
        <w:t xml:space="preserve">, effectué avec R et la f</w:t>
      </w:r>
      <w:r>
        <w:t xml:space="preserve">onction </w:t>
      </w:r>
      <w:r>
        <w:rPr>
          <w:i/>
          <w:iCs/>
        </w:rPr>
        <w:t xml:space="preserve">cor()</w:t>
      </w:r>
      <w:r>
        <w:t xml:space="preserve">, </w:t>
      </w:r>
      <w:r>
        <w:t xml:space="preserve"> </w:t>
      </w:r>
      <w:r>
        <w:t xml:space="preserve">nous donne </w:t>
      </w:r>
      <w:r>
        <w:t xml:space="preserve">environ </w:t>
      </w:r>
      <w:r>
        <w:t xml:space="preserve">0,32</w:t>
      </w:r>
      <w:r>
        <w:t xml:space="preserve">6</w:t>
      </w:r>
      <w:r>
        <w:t xml:space="preserve">.</w:t>
      </w:r>
      <w:r>
        <w:t xml:space="preserve"> Et on accompagne ce résultat d’un nuage de points sur le graphe 5.</w:t>
      </w:r>
      <w:r/>
      <w:r/>
      <w:r/>
      <w:r/>
      <w:r/>
    </w:p>
    <w:p w14:paraId="19A2AC37" w14:textId="3693CB62">
      <w:pPr>
        <w:pBdr/>
        <w:spacing/>
        <w:ind/>
        <w:rPr/>
      </w:pPr>
      <w:r>
        <w:t xml:space="preserve">Le</w:t>
      </w:r>
      <w:r>
        <w:t xml:space="preserve"> coefficient de 0,326 indique une corrélation positive mais modérée, voire faible. </w:t>
      </w:r>
      <w:r>
        <w:t xml:space="preserve">Ça</w:t>
      </w:r>
      <w:r>
        <w:t xml:space="preserve"> signifie qu’il y a bien </w:t>
      </w:r>
      <w:r>
        <w:t xml:space="preserve">une tendance générale à la hausse</w:t>
      </w:r>
      <w:r>
        <w:t xml:space="preserve"> : </w:t>
      </w:r>
      <w:r>
        <w:t xml:space="preserve">quand la puissance augmente, le prix tend à augmenter, mais la puissance n'est pas le seul facteur qui </w:t>
      </w:r>
      <w:r>
        <w:t xml:space="preserve">régit </w:t>
      </w:r>
      <w:r>
        <w:t xml:space="preserve">le prix. La relation n'est pas stricte.</w:t>
      </w:r>
      <w:r>
        <w:t xml:space="preserve"> </w:t>
      </w:r>
      <w:r/>
    </w:p>
    <w:p w14:paraId="0FE4073F" w14:textId="4EAF4DCC">
      <w:pPr>
        <w:pBdr/>
        <w:spacing/>
        <w:ind/>
        <w:rPr/>
      </w:pPr>
      <w:r>
        <w:t xml:space="preserve">Sur le nuage de points, on observe que la </w:t>
      </w:r>
      <w:r>
        <w:t xml:space="preserve">ligne de tendance en ro</w:t>
      </w:r>
      <w:r>
        <w:t xml:space="preserve">uge </w:t>
      </w:r>
      <w:r>
        <w:t xml:space="preserve">monte légèrement, ce qui </w:t>
      </w:r>
      <w:r>
        <w:t xml:space="preserve">semble logique : </w:t>
      </w:r>
      <w:r>
        <w:t xml:space="preserve">les super-chargeurs</w:t>
      </w:r>
      <w:r>
        <w:t xml:space="preserve"> (200 à 350 kW de puissance) coûtent plus chers à installer et donc </w:t>
      </w:r>
      <w:r>
        <w:t xml:space="preserve">la recharge coûte plus cher que sur des bornes </w:t>
      </w:r>
      <w:r>
        <w:t xml:space="preserve">moins puissantes qui auraient coûtées moins cher à installer. On voit qu’on </w:t>
      </w:r>
      <w:r>
        <w:t xml:space="preserve">a</w:t>
      </w:r>
      <w:r>
        <w:t xml:space="preserve"> un « mur » de points à la puissance 22 kW : pour </w:t>
      </w:r>
      <w:r>
        <w:t xml:space="preserve">une</w:t>
      </w:r>
      <w:r>
        <w:t xml:space="preserve"> même puissance de 22 kW, on a une tarific</w:t>
      </w:r>
      <w:r>
        <w:t xml:space="preserve">ation qui varie </w:t>
      </w:r>
      <w:r>
        <w:t xml:space="preserve">énormément,</w:t>
      </w:r>
      <w:r>
        <w:t xml:space="preserve"> allant de gratuite </w:t>
      </w:r>
      <w:r>
        <w:t xml:space="preserve">jusqu’à plus de 1€/kWh</w:t>
      </w:r>
      <w:r>
        <w:t xml:space="preserve">. Cette forte variabilité fragilise notre corrélation. Et on observe aussi quelques valeurs aberrantes</w:t>
      </w:r>
      <w:r>
        <w:t xml:space="preserve"> : 2</w:t>
      </w:r>
      <w:r>
        <w:t xml:space="preserve">€ et 3€ le kWh pour des petites puissances</w:t>
      </w:r>
      <w:r>
        <w:t xml:space="preserve">. C</w:t>
      </w:r>
      <w:r>
        <w:t xml:space="preserve">e sont </w:t>
      </w:r>
      <w:r>
        <w:t xml:space="preserve">des born</w:t>
      </w:r>
      <w:r>
        <w:t xml:space="preserve">es d’établissement qui surfacturent le service de recharge.</w:t>
      </w:r>
      <w:r/>
    </w:p>
    <w:p w14:paraId="61BFE738" w14:textId="0C70C7D1">
      <w:pPr>
        <w:pStyle w:val="800"/>
        <w:pBdr/>
        <w:spacing/>
        <w:ind/>
        <w:rPr/>
      </w:pPr>
      <w:r>
        <w:t xml:space="preserve">Corrélation entre</w:t>
      </w:r>
      <w:r>
        <w:t xml:space="preserve"> nombre de points de charge et type d’</w:t>
      </w:r>
      <w:r>
        <w:t xml:space="preserve">implantation</w:t>
      </w:r>
      <w:r/>
    </w:p>
    <w:p w14:paraId="678A2266" w14:textId="256973B9">
      <w:pPr>
        <w:pBdr/>
        <w:spacing/>
        <w:ind/>
        <w:rPr/>
      </w:pPr>
      <w:r>
        <w:t xml:space="preserve">On étudie maintenant le lien entre une variable quantitative (le nombre de points de charge) et une variable qualitative (le type d’implantation). L’outil statistique </w:t>
      </w:r>
      <w:r>
        <w:t xml:space="preserve">pour cela est l</w:t>
      </w:r>
      <w:r>
        <w:t xml:space="preserve">’analyse de la variance (ANOVA)</w:t>
      </w:r>
      <w:r>
        <w:t xml:space="preserve">, visualisé par le graphique 6</w:t>
      </w:r>
      <w:r>
        <w:t xml:space="preserve">.</w:t>
      </w:r>
      <w:r/>
    </w:p>
    <w:p w14:paraId="7D827DF8" w14:textId="7B216864">
      <w:pPr>
        <w:pBdr/>
        <w:spacing/>
        <w:ind/>
        <w:jc w:val="center"/>
        <w:rPr>
          <w:highlight w:val="none"/>
        </w:rPr>
      </w:pPr>
      <w:r/>
      <w:r/>
    </w:p>
    <w:p w14:paraId="3FD07551" w14:textId="2A0E038C">
      <w:pPr>
        <w:pBdr/>
        <w:spacing/>
        <w:ind/>
        <w:rPr/>
      </w:pPr>
      <w:r>
        <w:t xml:space="preserve">On observe que pour le type Voirie, la boîte est complètement écrasée. </w:t>
      </w:r>
      <w:r>
        <w:t xml:space="preserve">La médiane (ligne bleu épaisse)</w:t>
      </w:r>
      <w:r>
        <w:t xml:space="preserve">, le 1</w:t>
      </w:r>
      <w:r>
        <w:rPr>
          <w:vertAlign w:val="superscript"/>
        </w:rPr>
        <w:t xml:space="preserve">er</w:t>
      </w:r>
      <w:r>
        <w:t xml:space="preserve"> quartile et le 3</w:t>
      </w:r>
      <w:r>
        <w:rPr>
          <w:vertAlign w:val="superscript"/>
        </w:rPr>
        <w:t xml:space="preserve">ème</w:t>
      </w:r>
      <w:r>
        <w:t xml:space="preserve"> quartile sont</w:t>
      </w:r>
      <w:r>
        <w:t xml:space="preserve"> quasiment tous confondus sur la valeur de 2. </w:t>
      </w:r>
      <w:r>
        <w:t xml:space="preserve">Cela signifi</w:t>
      </w:r>
      <w:r>
        <w:t xml:space="preserve">e que la majorité des installations en voirie </w:t>
      </w:r>
      <w:r>
        <w:t xml:space="preserve">sont des bornes standardisées à 2 points de charge</w:t>
      </w:r>
      <w:r>
        <w:t xml:space="preserve">, typiquement un pote</w:t>
      </w:r>
      <w:r>
        <w:t xml:space="preserve">let avec une prise de chaque côté d’une place de parking</w:t>
      </w:r>
      <w:r>
        <w:t xml:space="preserve">. La colonne de points rouge au-dessus montre qu’il y a des exceptions </w:t>
      </w:r>
      <w:r>
        <w:t xml:space="preserve">mais qui restent rare par rapport à la masse globale.</w:t>
      </w:r>
      <w:r/>
    </w:p>
    <w:p w14:paraId="2C840E78" w14:textId="032A4470">
      <w:pPr>
        <w:pBdr/>
        <w:spacing/>
        <w:ind/>
        <w:rPr/>
      </w:pPr>
      <w:r>
        <w:t xml:space="preserve">Pour le</w:t>
      </w:r>
      <w:r>
        <w:t xml:space="preserve">s</w:t>
      </w:r>
      <w:r>
        <w:t xml:space="preserve"> type</w:t>
      </w:r>
      <w:r>
        <w:t xml:space="preserve">s</w:t>
      </w:r>
      <w:r>
        <w:t xml:space="preserve"> parking </w:t>
      </w:r>
      <w:r>
        <w:t xml:space="preserve">public et parking privé à usage public, ce sont les deux boîtes les plus hautes et étalées. La médiane se situe autour de 3 ou 4, et les boîtes s’étirent de 1 à 10 points de charge.</w:t>
      </w:r>
      <w:r>
        <w:t xml:space="preserve"> C</w:t>
      </w:r>
      <w:r>
        <w:t xml:space="preserve">es résultats </w:t>
      </w:r>
      <w:r>
        <w:t xml:space="preserve">semblent</w:t>
      </w:r>
      <w:r>
        <w:t xml:space="preserve"> </w:t>
      </w:r>
      <w:r>
        <w:t xml:space="preserve">cohérents</w:t>
      </w:r>
      <w:r>
        <w:t xml:space="preserve"> : un parking offre l’espace pour </w:t>
      </w:r>
      <w:r>
        <w:t xml:space="preserve">avoir plusieurs bornes</w:t>
      </w:r>
      <w:r>
        <w:t xml:space="preserve">, c’est dans ces espaces qu’on va retrouver </w:t>
      </w:r>
      <w:r>
        <w:t xml:space="preserve">les vraies stations de recharge, </w:t>
      </w:r>
      <w:r>
        <w:t xml:space="preserve">d’où une variabilité plus forte qu’en voirie. </w:t>
      </w:r>
      <w:r/>
    </w:p>
    <w:p w14:paraId="4B5372AF" w14:textId="3FFE8D9B">
      <w:pPr>
        <w:pBdr/>
        <w:spacing/>
        <w:ind/>
        <w:rPr/>
      </w:pPr>
      <w:r>
        <w:t xml:space="preserve">Enfin pour le type </w:t>
      </w:r>
      <w:r>
        <w:t xml:space="preserve">parking privé réservé à la clientèle, </w:t>
      </w:r>
      <w:r>
        <w:t xml:space="preserve">la boîte est minuscule et basse, coincée entre </w:t>
      </w:r>
      <w:r>
        <w:t xml:space="preserve">1 et 2 points de charge. </w:t>
      </w:r>
      <w:r>
        <w:t xml:space="preserve">Il s’agit </w:t>
      </w:r>
      <w:r>
        <w:t xml:space="preserve">sûrement</w:t>
      </w:r>
      <w:r>
        <w:t xml:space="preserve"> </w:t>
      </w:r>
      <w:r>
        <w:t xml:space="preserve">de commerces</w:t>
      </w:r>
      <w:r>
        <w:t xml:space="preserve">, d’hôtels </w:t>
      </w:r>
      <w:r>
        <w:t xml:space="preserve">ou autres établissements qui </w:t>
      </w:r>
      <w:r>
        <w:t xml:space="preserve">installent une borne unique</w:t>
      </w:r>
      <w:r>
        <w:t xml:space="preserve"> à titre de service client</w:t>
      </w:r>
      <w:r>
        <w:t xml:space="preserve">.</w:t>
      </w:r>
      <w:r/>
    </w:p>
    <w:p w14:paraId="4BC9485D" w14:textId="73F05034">
      <w:pPr>
        <w:pBdr/>
        <w:spacing/>
        <w:ind/>
        <w:rPr/>
      </w:pPr>
      <w:r>
        <w:t xml:space="preserve">L’analyse de la variance (ANOVA)</w:t>
      </w:r>
      <w:r>
        <w:t xml:space="preserve"> </w:t>
      </w:r>
      <w:r>
        <w:t xml:space="preserve">permet de confirmer ce que le boxplot a montré</w:t>
      </w:r>
      <w:r>
        <w:t xml:space="preserve">. On considère l’hypothèse nulle </w:t>
      </w:r>
      <w:r>
        <w:t xml:space="preserve">« toutes les im</w:t>
      </w:r>
      <w:r>
        <w:t xml:space="preserve">plantations ont en moyenne le même nombre de points de charge »</w:t>
      </w:r>
      <w:r>
        <w:t xml:space="preserve">. A</w:t>
      </w:r>
      <w:r>
        <w:t xml:space="preserve">vec R, </w:t>
      </w:r>
      <w:r>
        <w:t xml:space="preserve">en</w:t>
      </w:r>
      <w:r>
        <w:t xml:space="preserve"> utilis</w:t>
      </w:r>
      <w:r>
        <w:t xml:space="preserve">ant</w:t>
      </w:r>
      <w:r>
        <w:t xml:space="preserve"> la fonction </w:t>
      </w:r>
      <w:r>
        <w:rPr>
          <w:i/>
          <w:iCs/>
        </w:rPr>
        <w:t xml:space="preserve">aov()</w:t>
      </w:r>
      <w:r>
        <w:rPr>
          <w:i/>
          <w:iCs/>
        </w:rPr>
        <w:t xml:space="preserve">, </w:t>
      </w:r>
      <w:r>
        <w:t xml:space="preserve">on obtient une p-value </w:t>
      </w:r>
      <w:r>
        <w:t xml:space="preserve">inférieure </w:t>
      </w:r>
      <w:r>
        <w:t xml:space="preserve">à 0,05 (&lt;</w:t>
      </w:r>
      <w:r>
        <w:t xml:space="preserve">2e-16)</w:t>
      </w:r>
      <w:r>
        <w:t xml:space="preserve">, ce qui signifie qu’on rejette l’hypothèse nulle. </w:t>
      </w:r>
      <w:r>
        <w:t xml:space="preserve">On a donc, grâce à ce test statistique, la preuve mathématique </w:t>
      </w:r>
      <w:r>
        <w:t xml:space="preserve">que l’implantation influence bien </w:t>
      </w:r>
      <w:r>
        <w:t xml:space="preserve">le nombre de points de charge, et donc la taille de la station. </w:t>
      </w:r>
      <w:r/>
    </w:p>
    <w:p w14:paraId="3073AE3B" w14:textId="2BED15F8">
      <w:pPr>
        <w:pStyle w:val="800"/>
        <w:pBdr/>
        <w:spacing/>
        <w:ind/>
        <w:rPr/>
      </w:pPr>
      <w:r>
        <w:t xml:space="preserve">Corrélation entre </w:t>
      </w:r>
      <w:r>
        <w:t xml:space="preserve">prix et type d’implantation </w:t>
      </w:r>
      <w:r/>
    </w:p>
    <w:p w14:paraId="14DF6B44" w14:textId="3FDEDE84">
      <w:pPr>
        <w:pBdr/>
        <w:spacing/>
        <w:ind/>
        <w:rPr>
          <w:rFonts w:eastAsiaTheme="minorEastAsia"/>
        </w:rPr>
      </w:pPr>
      <w:r>
        <w:t xml:space="preserve">Enfin, on étudie</w:t>
      </w:r>
      <w:r>
        <w:t xml:space="preserve"> le lien entre deux variables quant</w:t>
      </w:r>
      <w:r>
        <w:t xml:space="preserve">itatives : le prix et le type d’implantation. A priori le prix (la tarification) est une variable quantitative, comme nous l’avons vu précé</w:t>
      </w:r>
      <w:r>
        <w:t xml:space="preserve">demment. Donc on procède </w:t>
      </w:r>
      <w:r>
        <w:t xml:space="preserve">à une di</w:t>
      </w:r>
      <w:r>
        <w:t xml:space="preserve">scrétisation</w:t>
      </w:r>
      <w:r>
        <w:t xml:space="preserve">, c’est-à-dire qu’</w:t>
      </w:r>
      <w:r>
        <w:t xml:space="preserve">on va transformer une variable quantitative</w:t>
      </w:r>
      <w:r>
        <w:t xml:space="preserve"> </w:t>
      </w:r>
      <w:r>
        <w:t xml:space="preserve">en qualitative</w:t>
      </w:r>
      <w:r>
        <w:t xml:space="preserve">. D</w:t>
      </w:r>
      <w:r>
        <w:t xml:space="preserve">e manière </w:t>
      </w:r>
      <w:r>
        <w:t xml:space="preserve">évidente</w:t>
      </w:r>
      <w:r>
        <w:t xml:space="preserve">, </w:t>
      </w:r>
      <w:r>
        <w:t xml:space="preserve">on va dire que si la tarification est à 0</w:t>
      </w:r>
      <w:r>
        <w:t xml:space="preserve">€</w:t>
      </w:r>
      <w:r>
        <w:t xml:space="preserve">/kWh, alors c’est gratuit, sinon c’est payant</w:t>
      </w:r>
      <w:r>
        <w:t xml:space="preserve">. </w:t>
      </w:r>
      <w:r>
        <w:t xml:space="preserve">Le test statistique pour étudier la corrélation entre deux variables quantitatives est le test du </w:t>
      </w:r>
      <w:r>
        <w:t xml:space="preserve">Khi-deux</w:t>
      </w:r>
      <w:r/>
      <m:oMath>
        <m:sSup>
          <m:sSupPr>
            <m:ctrlPr>
              <w:rPr>
                <w:rFonts w:ascii="Cambria Math" w:hAnsi="Cambria Math"/>
                <w:i/>
              </w:rPr>
            </m:ctrlPr>
          </m:sSupPr>
          <m:e>
            <m:r>
              <w:rPr>
                <w:rFonts w:ascii="Cambria Math" w:hAnsi="Cambria Math"/>
              </w:rPr>
              <m:rPr/>
              <m:t>χ</m:t>
            </m:r>
          </m:e>
          <m:sup>
            <m:r>
              <w:rPr>
                <w:rFonts w:ascii="Cambria Math" w:hAnsi="Cambria Math"/>
              </w:rPr>
              <m:rPr/>
              <m:t>2</m:t>
            </m:r>
          </m:sup>
        </m:sSup>
      </m:oMath>
      <w:r/>
      <w:r/>
      <w:r>
        <w:rPr>
          <w:rFonts w:eastAsiaTheme="minorEastAsia"/>
        </w:rPr>
        <w:t xml:space="preserve">.</w:t>
      </w:r>
      <w:r>
        <w:rPr>
          <w:rFonts w:eastAsiaTheme="minorEastAsia"/>
        </w:rPr>
      </w:r>
    </w:p>
    <w:p w14:paraId="6EC49A3F" w14:textId="663B8222">
      <w:pPr>
        <w:pBdr/>
        <w:spacing/>
        <w:ind/>
        <w:rPr>
          <w:rFonts w:eastAsiaTheme="minorEastAsia"/>
        </w:rPr>
      </w:pPr>
      <w:r>
        <w:rPr>
          <w:rFonts w:eastAsiaTheme="minorEastAsia"/>
        </w:rPr>
        <w:t xml:space="preserve">Et pour visualiser </w:t>
      </w:r>
      <w:r>
        <w:rPr>
          <w:rFonts w:eastAsiaTheme="minorEastAsia"/>
        </w:rPr>
        <w:t xml:space="preserve">les relations entre nos deux variables quantitatives, </w:t>
      </w:r>
      <w:r>
        <w:rPr>
          <w:rFonts w:eastAsiaTheme="minorEastAsia"/>
        </w:rPr>
        <w:t xml:space="preserve">on </w:t>
      </w:r>
      <w:r>
        <w:rPr>
          <w:rFonts w:eastAsiaTheme="minorEastAsia"/>
        </w:rPr>
        <w:t xml:space="preserve">utilise un mosaic plot (graphique 7). </w:t>
      </w:r>
      <w:r>
        <w:rPr>
          <w:rFonts w:eastAsiaTheme="minorEastAsia"/>
        </w:rPr>
      </w:r>
    </w:p>
    <w:p w14:paraId="1E63CEC8" w14:textId="7F6E8574">
      <w:pPr>
        <w:pBdr/>
        <w:spacing/>
        <w:ind/>
        <w:rPr>
          <w:rFonts w:eastAsiaTheme="minorEastAsia"/>
        </w:rPr>
      </w:pPr>
      <w:r/>
      <w:r>
        <w:rPr>
          <w:rFonts w:eastAsiaTheme="minorEastAsia"/>
        </w:rPr>
        <w:t xml:space="preserve">Le test du </w:t>
      </w:r>
      <m:oMath>
        <m:sSup>
          <m:sSupPr>
            <m:ctrlPr>
              <w:rPr>
                <w:rFonts w:ascii="Cambria Math" w:hAnsi="Cambria Math"/>
                <w:i/>
              </w:rPr>
            </m:ctrlPr>
          </m:sSupPr>
          <m:e>
            <m:r>
              <w:rPr>
                <w:rFonts w:ascii="Cambria Math" w:hAnsi="Cambria Math"/>
              </w:rPr>
              <m:rPr/>
              <m:t>χ</m:t>
            </m:r>
          </m:e>
          <m:sup>
            <m:r>
              <w:rPr>
                <w:rFonts w:ascii="Cambria Math" w:hAnsi="Cambria Math"/>
              </w:rPr>
              <m:rPr/>
              <m:t>2</m:t>
            </m:r>
          </m:sup>
        </m:sSup>
      </m:oMath>
      <w:r>
        <w:rPr>
          <w:rFonts w:eastAsiaTheme="minorEastAsia"/>
        </w:rPr>
        <w:t xml:space="preserve"> </w:t>
      </w:r>
      <w:r>
        <w:rPr>
          <w:rFonts w:eastAsiaTheme="minorEastAsia"/>
        </w:rPr>
        <w:t xml:space="preserve">effectué avec R nous renvoie une p-value &lt; 2e-16. </w:t>
      </w:r>
      <w:r>
        <w:rPr>
          <w:rFonts w:eastAsiaTheme="minorEastAsia"/>
        </w:rPr>
        <w:t xml:space="preserve">Ainsi, </w:t>
      </w:r>
      <w:r>
        <w:rPr>
          <w:rFonts w:eastAsiaTheme="minorEastAsia"/>
        </w:rPr>
        <w:t xml:space="preserve">on peut affirmer avec certitude que </w:t>
      </w:r>
      <w:r>
        <w:rPr>
          <w:rFonts w:eastAsiaTheme="minorEastAsia"/>
        </w:rPr>
        <w:t xml:space="preserve">prix et type d’implantation </w:t>
      </w:r>
      <w:r>
        <w:rPr>
          <w:rFonts w:eastAsiaTheme="minorEastAsia"/>
        </w:rPr>
        <w:t xml:space="preserve">ne sont pas indépendants : </w:t>
      </w:r>
      <w:r>
        <w:rPr>
          <w:rFonts w:eastAsiaTheme="minorEastAsia"/>
        </w:rPr>
        <w:t xml:space="preserve">l</w:t>
      </w:r>
      <w:r>
        <w:rPr>
          <w:rFonts w:eastAsiaTheme="minorEastAsia"/>
        </w:rPr>
        <w:t xml:space="preserve">e lieu où on installe une borne dicte fortement </w:t>
      </w:r>
      <w:r>
        <w:rPr>
          <w:rFonts w:eastAsiaTheme="minorEastAsia"/>
        </w:rPr>
        <w:t xml:space="preserve">son prix</w:t>
      </w:r>
      <w:r>
        <w:rPr>
          <w:rFonts w:eastAsiaTheme="minorEastAsia"/>
        </w:rPr>
        <w:t xml:space="preserve">.</w:t>
      </w:r>
      <w:r>
        <w:rPr>
          <w:rFonts w:eastAsiaTheme="minorEastAsia"/>
        </w:rPr>
        <w:t xml:space="preserve"> </w:t>
      </w:r>
      <w:r>
        <w:rPr>
          <w:rFonts w:eastAsiaTheme="minorEastAsia"/>
        </w:rPr>
        <w:t xml:space="preserve"> </w:t>
      </w:r>
      <w:r>
        <w:rPr>
          <w:rFonts w:eastAsiaTheme="minorEastAsia"/>
        </w:rPr>
        <w:t xml:space="preserve">Le mosaic plot confirme </w:t>
      </w:r>
      <w:r>
        <w:rPr>
          <w:rFonts w:eastAsiaTheme="minorEastAsia"/>
        </w:rPr>
        <w:t xml:space="preserve">cela : </w:t>
      </w:r>
      <w:r>
        <w:rPr>
          <w:rFonts w:eastAsiaTheme="minorEastAsia"/>
        </w:rPr>
      </w:r>
    </w:p>
    <w:p w14:paraId="57A27C0D" w14:textId="22422CC1">
      <w:pPr>
        <w:pBdr/>
        <w:spacing/>
        <w:ind/>
        <w:rPr>
          <w:rFonts w:eastAsiaTheme="minorEastAsia"/>
        </w:rPr>
      </w:pPr>
      <w:r>
        <w:t xml:space="preserve">Pour lire ce type de graphique</w:t>
      </w:r>
      <w:r>
        <w:t xml:space="preserve">, on doit croiser 3 informations : la largeur des </w:t>
      </w:r>
      <w:r>
        <w:t xml:space="preserve">colonnes qui représente le volume de stations, </w:t>
      </w:r>
      <w:r>
        <w:t xml:space="preserve">la position verticale (en haut </w:t>
      </w:r>
      <w:r>
        <w:t xml:space="preserve">Gratuit, en bas Payant) et les couleurs </w:t>
      </w:r>
      <w:r>
        <w:t xml:space="preserve">(</w:t>
      </w:r>
      <w:r>
        <w:t xml:space="preserve">bleu foncé : il y a beaucoup plus de bornes </w:t>
      </w:r>
      <w:r>
        <w:t xml:space="preserve">dans cette case que ce que la moyenne globale prédit</w:t>
      </w:r>
      <w:r>
        <w:t xml:space="preserve">, et rouge /rose : il y en a beaucoup mois)</w:t>
      </w:r>
      <w:r>
        <w:t xml:space="preserve">.</w:t>
      </w:r>
      <w:r>
        <w:rPr>
          <w:rFonts w:eastAsiaTheme="minorEastAsia"/>
        </w:rPr>
      </w:r>
    </w:p>
    <w:p w14:paraId="635B863A" w14:textId="20B268A7">
      <w:pPr>
        <w:pBdr/>
        <w:spacing/>
        <w:ind/>
        <w:rPr/>
      </w:pPr>
      <w:r>
        <w:t xml:space="preserve">On voit directement que </w:t>
      </w:r>
      <w:r>
        <w:t xml:space="preserve">la colonne « Voirie » occupe </w:t>
      </w:r>
      <w:r>
        <w:t xml:space="preserve">une grande partie de la lar</w:t>
      </w:r>
      <w:r>
        <w:t xml:space="preserve">geur</w:t>
      </w:r>
      <w:r>
        <w:t xml:space="preserve"> du graphique. Le bloc </w:t>
      </w:r>
      <w:r>
        <w:t xml:space="preserve">bleu </w:t>
      </w:r>
      <w:r>
        <w:t xml:space="preserve">foncé est </w:t>
      </w:r>
      <w:r>
        <w:t xml:space="preserve">situé en bas (Payant), et on voit le bloc </w:t>
      </w:r>
      <w:r>
        <w:t xml:space="preserve">« Gratuit » en haut, représenté </w:t>
      </w:r>
      <w:r>
        <w:t xml:space="preserve">par la </w:t>
      </w:r>
      <w:r>
        <w:t xml:space="preserve">ligne en pointill</w:t>
      </w:r>
      <w:r>
        <w:t xml:space="preserve">és juste au-dessus du bloc bleu « Voirie »</w:t>
      </w:r>
      <w:r>
        <w:t xml:space="preserve">. Concrètement, cela signifie que dans notre jeu de données, </w:t>
      </w:r>
      <w:r>
        <w:t xml:space="preserve">l’écrasante majorité des types d’implantation sont </w:t>
      </w:r>
      <w:r>
        <w:t xml:space="preserve">de la voirie</w:t>
      </w:r>
      <w:r>
        <w:t xml:space="preserve"> </w:t>
      </w:r>
      <w:r>
        <w:t xml:space="preserve">(dans la rue)</w:t>
      </w:r>
      <w:r>
        <w:t xml:space="preserve">, </w:t>
      </w:r>
      <w:r>
        <w:t xml:space="preserve">et ce</w:t>
      </w:r>
      <w:r>
        <w:t xml:space="preserve">tte majorité d’implantation est payante</w:t>
      </w:r>
      <w:r>
        <w:t xml:space="preserve">. </w:t>
      </w:r>
      <w:r/>
    </w:p>
    <w:p w14:paraId="1099E4F0" w14:textId="1D4962FA">
      <w:pPr>
        <w:pBdr/>
        <w:spacing/>
        <w:ind/>
        <w:rPr/>
      </w:pPr>
      <w:r>
        <w:t xml:space="preserve">Et si on regarde les colonnes restantes</w:t>
      </w:r>
      <w:r>
        <w:t xml:space="preserve"> : P.privé(client), P.privé(public) et P.public</w:t>
      </w:r>
      <w:r>
        <w:t xml:space="preserve">, </w:t>
      </w:r>
      <w:r>
        <w:t xml:space="preserve">on voit </w:t>
      </w:r>
      <w:r>
        <w:t xml:space="preserve">que leur bloc aligné avec </w:t>
      </w:r>
      <w:r>
        <w:t xml:space="preserve">« Gratuit » sont tous bleu</w:t>
      </w:r>
      <w:r>
        <w:t xml:space="preserve">s</w:t>
      </w:r>
      <w:r>
        <w:t xml:space="preserve"> foncé. </w:t>
      </w:r>
      <w:r>
        <w:t xml:space="preserve">De plus, pour les P.privé(public), </w:t>
      </w:r>
      <w:r>
        <w:t xml:space="preserve">on observe </w:t>
      </w:r>
      <w:r>
        <w:t xml:space="preserve">une majorité </w:t>
      </w:r>
      <w:r>
        <w:t xml:space="preserve">de </w:t>
      </w:r>
      <w:r>
        <w:t xml:space="preserve">bornes</w:t>
      </w:r>
      <w:r>
        <w:t xml:space="preserve"> </w:t>
      </w:r>
      <w:r>
        <w:t xml:space="preserve">payantes (grand bloc rose)</w:t>
      </w:r>
      <w:r>
        <w:t xml:space="preserve"> contre une petite partie (en</w:t>
      </w:r>
      <w:r>
        <w:t xml:space="preserve"> bleu foncé</w:t>
      </w:r>
      <w:r>
        <w:t xml:space="preserve">) de </w:t>
      </w:r>
      <w:r>
        <w:t xml:space="preserve">bornes </w:t>
      </w:r>
      <w:r>
        <w:t xml:space="preserve">gratuite</w:t>
      </w:r>
      <w:r>
        <w:t xml:space="preserve">s</w:t>
      </w:r>
      <w:r>
        <w:t xml:space="preserve">. </w:t>
      </w:r>
      <w:r>
        <w:t xml:space="preserve">Cette </w:t>
      </w:r>
      <w:r>
        <w:t xml:space="preserve">petite </w:t>
      </w:r>
      <w:r>
        <w:t xml:space="preserve">proportion de bornes gratuites</w:t>
      </w:r>
      <w:r>
        <w:t xml:space="preserve"> </w:t>
      </w:r>
      <w:r>
        <w:t xml:space="preserve">reste statistiquement </w:t>
      </w:r>
      <w:r>
        <w:t xml:space="preserve">anormalement élevée par rapport à ce qu’on a observé pour la voirie. </w:t>
      </w:r>
      <w:r>
        <w:t xml:space="preserve">C’est l’illustration</w:t>
      </w:r>
      <w:r>
        <w:t xml:space="preserve"> parfaite du produit d’appel : on offre la recharge pour attirer les clients qui roulent en électrique dans le magasin. Pour les P.privé(client) et les P.pub</w:t>
      </w:r>
      <w:r>
        <w:t xml:space="preserve">lic, </w:t>
      </w:r>
      <w:r>
        <w:t xml:space="preserve">la dynamique s’inverse : </w:t>
      </w:r>
      <w:r>
        <w:t xml:space="preserve">on a une majorité de bornes gratuites</w:t>
      </w:r>
      <w:r>
        <w:t xml:space="preserve">.</w:t>
      </w:r>
      <w:r>
        <w:t xml:space="preserve"> </w:t>
      </w:r>
      <w:r/>
    </w:p>
    <w:p w14:paraId="3CACF96E" w14:textId="6A19154C">
      <w:pPr>
        <w:pBdr/>
        <w:spacing/>
        <w:ind/>
        <w:rPr/>
      </w:pPr>
      <w:r>
        <w:t xml:space="preserve">En conclusion de ce test statistique, </w:t>
      </w:r>
      <w:r>
        <w:t xml:space="preserve">on peut affirmer </w:t>
      </w:r>
      <w:r>
        <w:t xml:space="preserve">que le modèle tarifaire d’une borne IRVE</w:t>
      </w:r>
      <w:r>
        <w:t xml:space="preserve"> dépend de son type d’implantation : la voirie facture l’énergie tandis que les parkings utilisent encore largement </w:t>
      </w:r>
      <w:r>
        <w:t xml:space="preserve">la recharge comme un service attractif ou inclus.</w:t>
      </w:r>
      <w:r/>
    </w:p>
    <w:p w14:paraId="7DBF4993" w14:textId="79D1E905">
      <w:pPr>
        <w:pBdr/>
        <w:spacing/>
        <w:ind/>
        <w:rPr/>
      </w:pPr>
      <w:r/>
      <w:r/>
    </w:p>
    <w:p w14:paraId="65BEEAB4" w14:textId="0B05AA84">
      <w:pPr>
        <w:pStyle w:val="798"/>
        <w:pBdr/>
        <w:spacing/>
        <w:ind/>
        <w:rPr/>
      </w:pPr>
      <w:r/>
      <w:bookmarkStart w:id="6" w:name="_Toc6"/>
      <w:r>
        <w:t xml:space="preserve">Prédiction </w:t>
      </w:r>
      <w:r>
        <w:t xml:space="preserve">et régression </w:t>
      </w:r>
      <w:bookmarkEnd w:id="6"/>
      <w:r/>
      <w:r/>
    </w:p>
    <w:p w14:paraId="016482CB" w14:textId="2C9DB095">
      <w:pPr>
        <w:pBdr/>
        <w:spacing/>
        <w:ind/>
        <w:rPr>
          <w:highlight w:val="none"/>
        </w:rPr>
      </w:pPr>
      <w:r>
        <w:t xml:space="preserve">Dans cette dernière partie on cherche </w:t>
      </w:r>
      <w:r>
        <w:t xml:space="preserve">à prédire la variable tarification, qu’on a regroupé</w:t>
      </w:r>
      <w:r>
        <w:t xml:space="preserve"> en trois groupes : bas, modéré et élevé,</w:t>
      </w:r>
      <w:r>
        <w:t xml:space="preserve"> et prédire la puissance nominale d’une station.</w:t>
      </w:r>
      <w:r/>
      <w:r/>
    </w:p>
    <w:p w14:paraId="32B9D3F5">
      <w:pPr>
        <w:pStyle w:val="800"/>
        <w:pBdr/>
        <w:spacing/>
        <w:ind/>
        <w:rPr/>
      </w:pPr>
      <w:r>
        <w:rPr>
          <w:highlight w:val="none"/>
        </w:rPr>
        <w:t xml:space="preserve">Matrice d’indépendance</w:t>
      </w:r>
      <w:r>
        <w:rPr>
          <w:highlight w:val="none"/>
        </w:rPr>
      </w:r>
      <w:r>
        <w:rPr>
          <w:highlight w:val="none"/>
        </w:rPr>
      </w:r>
    </w:p>
    <w:p w14:paraId="6554E513" w14:textId="05221D93">
      <w:pPr>
        <w:pBdr/>
        <w:spacing/>
        <w:ind/>
        <w:rPr/>
      </w:pPr>
      <w:r>
        <w:t xml:space="preserve">La première chose que nous avons fait est une matrice du </w:t>
      </w:r>
      <w:r/>
      <m:oMath>
        <m:sSup>
          <m:sSupPr>
            <m:ctrlPr>
              <w:rPr>
                <w:rFonts w:ascii="Cambria Math" w:hAnsi="Cambria Math"/>
                <w:i/>
              </w:rPr>
            </m:ctrlPr>
          </m:sSupPr>
          <m:e>
            <m:r>
              <w:rPr>
                <w:rFonts w:ascii="Cambria Math" w:hAnsi="Cambria Math"/>
              </w:rPr>
              <m:rPr/>
              <m:t>χ</m:t>
            </m:r>
          </m:e>
          <m:sup>
            <m:r>
              <w:rPr>
                <w:rFonts w:ascii="Cambria Math" w:hAnsi="Cambria Math"/>
              </w:rPr>
              <m:rPr/>
              <m:t>2</m:t>
            </m:r>
          </m:sup>
        </m:sSup>
      </m:oMath>
      <w:r>
        <w:t xml:space="preserve"> cependant lorsque l’on a regardé les valeurs dans la matrice des scores (graphique 8) ou même celle des p-valeurs (graphique 9) il nous était impossible d'en </w:t>
      </w:r>
      <w:r>
        <w:t xml:space="preserve">tirer</w:t>
      </w:r>
      <w:r>
        <w:t xml:space="preserve"> des conclusions claires. Les scores allaient de 0 à plus de 13 000, et les p-valeur valent soit 1 soit 0 sans vraiment d’entre deux.</w:t>
      </w:r>
      <w:r/>
    </w:p>
    <w:p w14:paraId="0D817A55" w14:textId="6EDB5D6D">
      <w:pPr>
        <w:pBdr/>
        <w:spacing/>
        <w:ind/>
        <w:rPr/>
      </w:pPr>
      <w:r>
        <w:t xml:space="preserve">Afin de remédier à ce problème nous avons</w:t>
      </w:r>
      <w:r>
        <w:t xml:space="preserve"> appliqué le V de Cramer sur chaque p-valeur de la matrice de </w:t>
      </w:r>
      <w:r/>
      <m:oMath>
        <m:sSup>
          <m:sSupPr>
            <m:ctrlPr>
              <w:rPr>
                <w:rFonts w:ascii="Cambria Math" w:hAnsi="Cambria Math"/>
                <w:i/>
              </w:rPr>
            </m:ctrlPr>
          </m:sSupPr>
          <m:e>
            <m:r>
              <w:rPr>
                <w:rFonts w:ascii="Cambria Math" w:hAnsi="Cambria Math"/>
              </w:rPr>
              <m:rPr/>
              <m:t>χ</m:t>
            </m:r>
          </m:e>
          <m:sup>
            <m:r>
              <w:rPr>
                <w:rFonts w:ascii="Cambria Math" w:hAnsi="Cambria Math"/>
              </w:rPr>
              <m:rPr/>
              <m:t>2</m:t>
            </m:r>
          </m:sup>
        </m:sSup>
      </m:oMath>
      <w:r>
        <w:t xml:space="preserve">. Cette fois ci la visualisation est beaucoup plus simple, toutes les valeurs sont comprises en 0 et 1 inclus et on a bien un dégradé (graphique 10),  plus on est proche de 1 plus l’association entre les deux variables est forte. </w:t>
      </w:r>
      <w:r/>
    </w:p>
    <w:p w14:paraId="1FC92156" w14:textId="0A85159D">
      <w:pPr>
        <w:pBdr/>
        <w:spacing/>
        <w:ind/>
        <w:rPr/>
      </w:pPr>
      <w:r>
        <w:t xml:space="preserve">Pour donner un ordre d'idée voici les niveaux d'association du V de Cramer :</w:t>
      </w:r>
      <w:r/>
    </w:p>
    <w:p w14:paraId="04D497BA" w14:textId="6EA8DEE7">
      <w:pPr>
        <w:pBdr/>
        <w:spacing/>
        <w:ind/>
        <w:rPr/>
      </w:pPr>
      <w:r>
        <w:t xml:space="preserve">0 -&gt; aucune association</w:t>
      </w:r>
      <w:r/>
    </w:p>
    <w:p w14:paraId="0633A491" w14:textId="7F64D42A">
      <w:pPr>
        <w:pBdr/>
        <w:spacing/>
        <w:ind/>
        <w:rPr/>
      </w:pPr>
      <w:r>
        <w:t xml:space="preserve">0.1 - 0.3 -&gt; association faible</w:t>
      </w:r>
      <w:r/>
    </w:p>
    <w:p w14:paraId="4817007F" w14:textId="32F8088A">
      <w:pPr>
        <w:pBdr/>
        <w:spacing/>
        <w:ind/>
        <w:rPr/>
      </w:pPr>
      <w:r>
        <w:t xml:space="preserve">0.3 - 0.5 -&gt; association modérée</w:t>
      </w:r>
      <w:r/>
    </w:p>
    <w:p w14:paraId="41517E34" w14:textId="039E0723">
      <w:pPr>
        <w:pBdr/>
        <w:spacing/>
        <w:ind/>
        <w:rPr/>
      </w:pPr>
      <w:r>
        <w:t xml:space="preserve">&gt; 0.5 -&gt; association forte</w:t>
      </w:r>
      <w:r/>
    </w:p>
    <w:p w14:paraId="42ED1C65" w14:textId="11084561">
      <w:pPr>
        <w:pBdr/>
        <w:spacing/>
        <w:ind/>
        <w:jc w:val="center"/>
        <w:rPr>
          <w:u w:val="single"/>
          <w:lang w:val="en-US"/>
        </w:rPr>
      </w:pPr>
      <w:r>
        <w:rPr>
          <w:lang w:val="en-US"/>
        </w:rPr>
        <w:t xml:space="preserve"> </w:t>
      </w:r>
      <w:r/>
      <w:r>
        <w:rPr>
          <w:u w:val="single"/>
          <w:lang w:val="en-US"/>
        </w:rPr>
      </w:r>
      <w:r>
        <w:rPr>
          <w:u w:val="single"/>
          <w:lang w:val="en-US"/>
        </w:rPr>
      </w:r>
    </w:p>
    <w:p w14:paraId="7E7464BE" w14:textId="6D0F1878">
      <w:pPr>
        <w:pBdr/>
        <w:spacing/>
        <w:ind/>
        <w:rPr/>
      </w:pPr>
      <w:r/>
      <w:r/>
    </w:p>
    <w:p w14:paraId="23368F73" w14:textId="57DD382B">
      <w:pPr>
        <w:pStyle w:val="800"/>
        <w:pBdr/>
        <w:spacing/>
        <w:ind/>
        <w:rPr/>
      </w:pPr>
      <w:r>
        <w:t xml:space="preserve">Prédiction de la tarification</w:t>
      </w:r>
      <w:r/>
    </w:p>
    <w:p w14:paraId="5CB43977" w14:textId="5789071C">
      <w:pPr>
        <w:pBdr/>
        <w:spacing/>
        <w:ind/>
        <w:rPr/>
      </w:pPr>
      <w:r>
        <w:t xml:space="preserve">Dans notre cas pour la tarification les valeurs </w:t>
      </w:r>
      <w:r>
        <w:t xml:space="preserve">du V de Cramer sont comprises entre 0 et 0.21 (cf graphique 11), donc il n'y a que de très faibles associations entre le tarif et les autres variables. Pour la puissance les valeurs vont de 0 à 0.52, donc une meilleure association entre la puissance et les autres variables.</w:t>
      </w:r>
      <w:r/>
    </w:p>
    <w:p w14:paraId="36C6B3B3" w14:textId="5FD26693">
      <w:pPr>
        <w:pBdr/>
        <w:spacing/>
        <w:ind/>
        <w:rPr/>
      </w:pPr>
      <w:r>
        <w:t xml:space="preserve">On va donc devoir utiliser les variables ayant l'association la plus forte pour ces deux éléments.</w:t>
      </w:r>
      <w:r/>
    </w:p>
    <w:p w14:paraId="44BA1B30" w14:textId="427D9DF1">
      <w:pPr>
        <w:pBdr/>
        <w:spacing/>
        <w:ind/>
        <w:rPr/>
      </w:pPr>
      <w:r>
        <w:t xml:space="preserve">Pour la tarification les variables avec lesquelles l'association est la plus forte sont : nom_operateur, paiement_autre, accessibilite_pmr, restriction_gabarit, reservation, paiement_acte.</w:t>
      </w:r>
      <w:r/>
    </w:p>
    <w:p w14:paraId="1B2A4ED9" w14:textId="7E1CF728">
      <w:pPr>
        <w:pBdr/>
        <w:spacing/>
        <w:ind/>
        <w:rPr/>
      </w:pPr>
      <w:r>
        <w:t xml:space="preserve">Afin de pouvoir faire une régression logistique</w:t>
      </w:r>
      <w:r>
        <w:rPr>
          <w:rStyle w:val="183"/>
        </w:rPr>
        <w:footnoteReference w:id="3"/>
      </w:r>
      <w:r>
        <w:t xml:space="preserve"> nous allons entraîner un modèle logit sur 80% de nos données et le tester sur les 20% restants. </w:t>
      </w:r>
      <w:r>
        <w:t xml:space="preserve">Une</w:t>
      </w:r>
      <w:r>
        <w:t xml:space="preserve"> fois ce test fait on peut voir comment il a performé. On obtient un taux de bonne classification de 86.55% ce qui est acceptable, </w:t>
      </w:r>
      <w:r>
        <w:t xml:space="preserve">cependant</w:t>
      </w:r>
      <w:r>
        <w:t xml:space="preserve"> lorsque l'on regarde dans les détails (graphique 12) on se rend compte que le modèle prédit très mal les prix élevés et sur prédit en prix modéré. Notre modèle est biaisé, et plusieurs éléments peuvent expliquer cela : </w:t>
      </w:r>
      <w:r/>
    </w:p>
    <w:p w14:paraId="436FA77B" w14:textId="1450E579">
      <w:pPr>
        <w:pStyle w:val="816"/>
        <w:numPr>
          <w:ilvl w:val="0"/>
          <w:numId w:val="1"/>
        </w:numPr>
        <w:pBdr/>
        <w:spacing/>
        <w:ind/>
        <w:rPr/>
      </w:pPr>
      <w:r>
        <w:t xml:space="preserve">Il</w:t>
      </w:r>
      <w:r>
        <w:t xml:space="preserve"> y a trop peu de données pour les prix élevés, et trop de données pour les prix modérés. </w:t>
      </w:r>
      <w:r/>
    </w:p>
    <w:p w14:paraId="37898A87" w14:textId="17395F4E">
      <w:pPr>
        <w:pStyle w:val="816"/>
        <w:numPr>
          <w:ilvl w:val="0"/>
          <w:numId w:val="1"/>
        </w:numPr>
        <w:pBdr/>
        <w:spacing/>
        <w:ind/>
        <w:rPr/>
      </w:pPr>
      <w:r>
        <w:t xml:space="preserve">Mais</w:t>
      </w:r>
      <w:r>
        <w:t xml:space="preserve"> aussi le fait que les variables choisies n'avaient </w:t>
      </w:r>
      <w:r>
        <w:t xml:space="preserve">qu'une faible association</w:t>
      </w:r>
      <w:r>
        <w:t xml:space="preserve"> avec la </w:t>
      </w:r>
      <w:r>
        <w:t xml:space="preserve">tarification</w:t>
      </w:r>
      <w:r>
        <w:t xml:space="preserve"> bien qu'il </w:t>
      </w:r>
      <w:r>
        <w:t xml:space="preserve">s'agisse</w:t>
      </w:r>
      <w:r>
        <w:t xml:space="preserve"> de celle</w:t>
      </w:r>
      <w:r>
        <w:t xml:space="preserve">s</w:t>
      </w:r>
      <w:r>
        <w:t xml:space="preserve"> qui </w:t>
      </w:r>
      <w:r>
        <w:t xml:space="preserve">avaient l'association</w:t>
      </w:r>
      <w:r>
        <w:t xml:space="preserve"> la plus élevée de toutes.</w:t>
      </w:r>
      <w:r/>
    </w:p>
    <w:p w14:paraId="7FAB01D7" w14:textId="63AD712E">
      <w:pPr>
        <w:pStyle w:val="800"/>
        <w:pBdr/>
        <w:spacing/>
        <w:ind/>
        <w:rPr/>
      </w:pPr>
      <w:r>
        <w:t xml:space="preserve">Prédiction de la puissance</w:t>
      </w:r>
      <w:r/>
    </w:p>
    <w:p w14:paraId="791B2E71" w14:textId="01E8931A">
      <w:pPr>
        <w:pBdr/>
        <w:spacing/>
        <w:ind/>
        <w:rPr/>
      </w:pPr>
      <w:r>
        <w:t xml:space="preserve">Pour la puissance les </w:t>
      </w:r>
      <w:r>
        <w:t xml:space="preserve">variables</w:t>
      </w:r>
      <w:r>
        <w:t xml:space="preserve"> choisies ont une association bien plus forte que pour la tarficiation, et sont : prise_type_combo_ccs, prise_type_2, paiement_acte, reservation, condition_acces, paiement_autre.</w:t>
      </w:r>
      <w:r/>
    </w:p>
    <w:p w14:paraId="140D5870" w14:textId="3841B593">
      <w:pPr>
        <w:pBdr/>
        <w:spacing/>
        <w:ind/>
        <w:rPr/>
      </w:pPr>
      <w:r>
        <w:t xml:space="preserve">Cette fois ci on nous demande de simplement faire une </w:t>
      </w:r>
      <w:r>
        <w:t xml:space="preserve">régression</w:t>
      </w:r>
      <w:r>
        <w:t xml:space="preserve"> linéaire, pour cela on utilise la méthode des moindres carrés. Contrairement à la régression logistique il n'est pas nécessaire de séparer les données en deux groupes entraînement et test, puisque c'est une </w:t>
      </w:r>
      <w:r>
        <w:t xml:space="preserve">régression</w:t>
      </w:r>
      <w:r>
        <w:t xml:space="preserve"> linéaire, même avec les données d’entraînement </w:t>
      </w:r>
      <w:r>
        <w:t xml:space="preserve">on aura jamais</w:t>
      </w:r>
      <w:r>
        <w:t xml:space="preserve"> un score de 100%. On obtiens finalement le graphique 13 sur le quel on peut voir que de peu de points sont proche de la ligne rouge, qui correspond à une prédiction juste, mais on peut noter que autour des 22 kW un a un nuage de points assez concentré, mais comme c’est aussi pour cette puissance nominale que l’on a le plus de données ce n’est pas très surprenant. On peut aussi obtenir le graphe 14 qui nous dit de combien notre modèle s’est trompé dans sa prédiction, plus on est proche de la ligne rouge pointillée moins on s’est trompé, encore une fois autour des 22 kW on voit que notre modèle fait un écart plus faible mais dès que l’on monte en puissance l’écart est énorme.</w:t>
      </w:r>
      <w:r/>
    </w:p>
    <w:p w14:paraId="286CA742">
      <w:pPr>
        <w:pBdr/>
        <w:spacing/>
        <w:ind/>
        <w:rPr/>
      </w:pPr>
      <w:r>
        <w:t xml:space="preserve">Le résultat est assez décevant, on a une erreur de prédiction moyenne de 17.58 kW alors que la puissance moyenne est de 30 kW, et on explique 47,19% de la variance ce qui veut dire que 53% reste inexpliquée par nos variables.</w:t>
      </w:r>
      <w:r/>
      <w:r/>
    </w:p>
    <w:p w14:paraId="7914501A" w14:textId="77777777">
      <w:pPr>
        <w:pBdr/>
        <w:spacing/>
        <w:ind/>
        <w:rPr/>
      </w:pPr>
      <w:r/>
      <w:r/>
    </w:p>
    <w:p w14:paraId="2E785F06" w14:textId="77777777">
      <w:pPr>
        <w:pBdr/>
        <w:spacing/>
        <w:ind/>
        <w:rPr/>
      </w:pPr>
      <w:r/>
      <w:r/>
    </w:p>
    <w:p w14:paraId="336E9CCB" w14:textId="246C3069">
      <w:pPr>
        <w:pStyle w:val="798"/>
        <w:pBdr/>
        <w:spacing/>
        <w:ind/>
        <w:rPr/>
      </w:pPr>
      <w:r/>
      <w:bookmarkStart w:id="7" w:name="_Toc7"/>
      <w:r>
        <w:t xml:space="preserve">Conclusion</w:t>
      </w:r>
      <w:bookmarkEnd w:id="7"/>
      <w:r/>
      <w:r/>
    </w:p>
    <w:p w14:paraId="7928DC55" w14:textId="7B4E2733">
      <w:pPr>
        <w:pBdr/>
        <w:spacing/>
        <w:ind/>
        <w:rPr>
          <w:highlight w:val="none"/>
        </w:rPr>
      </w:pPr>
      <w:r>
        <w:t xml:space="preserve">Ce projet </w:t>
      </w:r>
      <w:r>
        <w:t xml:space="preserve">a </w:t>
      </w:r>
      <w:r>
        <w:t xml:space="preserve">permis</w:t>
      </w:r>
      <w:r>
        <w:t xml:space="preserve"> d</w:t>
      </w:r>
      <w:r>
        <w:t xml:space="preserve">’approfondir les connaissances et les compétences acquises </w:t>
      </w:r>
      <w:r>
        <w:t xml:space="preserve">dans le module Big Data, ainsi qu</w:t>
      </w:r>
      <w:r>
        <w:t xml:space="preserve">’en langage R. </w:t>
      </w:r>
      <w:r>
        <w:t xml:space="preserve">N</w:t>
      </w:r>
      <w:r>
        <w:t xml:space="preserve">ous avons vu</w:t>
      </w:r>
      <w:r>
        <w:t xml:space="preserve"> l’importance </w:t>
      </w:r>
      <w:r>
        <w:t xml:space="preserve">d’aborder une démarche rigoureuse pour nettoyer les données brutes </w:t>
      </w:r>
      <w:r>
        <w:t xml:space="preserve">afin d’</w:t>
      </w:r>
      <w:r>
        <w:t xml:space="preserve">obtenir les meilleurs résultats possibles. </w:t>
      </w:r>
      <w:r>
        <w:t xml:space="preserve">Aussi</w:t>
      </w:r>
      <w:r>
        <w:t xml:space="preserve"> nous avons compris que la première étape pour faire parler les données est de les représenter avec différents types de graphiques, et d’étudier la corrélatio</w:t>
      </w:r>
      <w:r>
        <w:t xml:space="preserve">n. </w:t>
      </w:r>
      <w:r>
        <w:t xml:space="preserve">Enfin, l</w:t>
      </w:r>
      <w:r>
        <w:t xml:space="preserve">a </w:t>
      </w:r>
      <w:r>
        <w:t xml:space="preserve">r</w:t>
      </w:r>
      <w:r>
        <w:t xml:space="preserve">égression </w:t>
      </w:r>
      <w:r>
        <w:t xml:space="preserve">linéaire et logis</w:t>
      </w:r>
      <w:r>
        <w:t xml:space="preserve">tique </w:t>
      </w:r>
      <w:r>
        <w:t xml:space="preserve">a démontré qu’il est possible d’anticiper l</w:t>
      </w:r>
      <w:r>
        <w:t xml:space="preserve">a tarification et la puissance d’une station, </w:t>
      </w:r>
      <w:r>
        <w:t xml:space="preserve">et ce</w:t>
      </w:r>
      <w:r>
        <w:t xml:space="preserve">tte modélisation prédictive est un </w:t>
      </w:r>
      <w:r>
        <w:t xml:space="preserve">premier pas vers la </w:t>
      </w:r>
      <w:r>
        <w:t xml:space="preserve">partie IA qui fera la continuité de ce projet de Big Data.</w:t>
      </w:r>
      <w:r>
        <w:t xml:space="preserve"> En plus des résultats techniques, ce projet a été l’opportunité de se confronter à la réalité </w:t>
      </w:r>
      <w:r>
        <w:t xml:space="preserve">de l’Open Data</w:t>
      </w:r>
      <w:r>
        <w:t xml:space="preserve">, avec une base de données nationale </w:t>
      </w:r>
      <w:r>
        <w:t xml:space="preserve">qu</w:t>
      </w:r>
      <w:r>
        <w:t xml:space="preserve">i nous a </w:t>
      </w:r>
      <w:r>
        <w:t xml:space="preserve">permis de relever les défis concrets de la Data Science : valeurs manquantes, incohérentes</w:t>
      </w:r>
      <w:r>
        <w:t xml:space="preserve"> et</w:t>
      </w:r>
      <w:r>
        <w:t xml:space="preserve"> hétérogénéité des formats</w:t>
      </w:r>
      <w:r>
        <w:t xml:space="preserve">.</w:t>
      </w:r>
      <w:r/>
    </w:p>
    <w:p w14:paraId="77585374">
      <w:pPr>
        <w:pBdr/>
        <w:shd w:val="nil"/>
        <w:spacing/>
        <w:ind/>
        <w:rPr/>
      </w:pPr>
      <w:r>
        <w:br w:type="page" w:clear="all"/>
      </w:r>
      <w:r/>
      <w:r/>
    </w:p>
    <w:p w14:paraId="3458CE36">
      <w:pPr>
        <w:pStyle w:val="798"/>
        <w:pBdr/>
        <w:spacing/>
        <w:ind/>
        <w:rPr>
          <w14:ligatures w14:val="none"/>
        </w:rPr>
      </w:pPr>
      <w:r/>
      <w:bookmarkStart w:id="8" w:name="_Toc8"/>
      <w:r>
        <w:rPr>
          <w:lang w:val="undefined"/>
        </w:rPr>
        <w:t xml:space="preserve">Annexe</w:t>
      </w:r>
      <w:r>
        <w:rPr>
          <w:lang w:val="undefined" w:bidi="undefined"/>
        </w:rPr>
      </w:r>
      <w:bookmarkEnd w:id="8"/>
      <w:r/>
      <w:r/>
    </w:p>
    <w:p w14:paraId="6DBA1238">
      <w:pPr>
        <w:pBdr/>
        <w:spacing/>
        <w:ind/>
        <w:jc w:val="center"/>
        <w:rPr>
          <w:highlight w:val="none"/>
          <w:u w:val="single"/>
        </w:rPr>
      </w:pPr>
      <w:r>
        <w:rPr>
          <w:u w:val="single"/>
        </w:rPr>
        <w:t xml:space="preserve">Graphique 1: Histograme du nombre de stations en fonction de la puissance</w:t>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left</wp:align>
                </wp:positionH>
                <wp:positionV relativeFrom="paragraph">
                  <wp:posOffset>423</wp:posOffset>
                </wp:positionV>
                <wp:extent cx="5760720" cy="3609975"/>
                <wp:effectExtent l="0" t="0" r="0" b="9525"/>
                <wp:wrapTopAndBottom/>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4155" name=""/>
                        <pic:cNvPicPr>
                          <a:picLocks noChangeAspect="1"/>
                        </pic:cNvPicPr>
                        <pic:nvPr/>
                      </pic:nvPicPr>
                      <pic:blipFill rotWithShape="1">
                        <a:blip r:embed="rId14"/>
                        <a:stretch/>
                      </pic:blipFill>
                      <pic:spPr bwMode="auto">
                        <a:xfrm>
                          <a:off x="0" y="0"/>
                          <a:ext cx="5760720" cy="36099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margin;mso-position-horizontal:left;mso-position-vertical-relative:text;margin-top:0.03pt;mso-position-vertical:absolute;width:453.60pt;height:284.25pt;mso-wrap-distance-left:9.00pt;mso-wrap-distance-top:0.00pt;mso-wrap-distance-right:9.00pt;mso-wrap-distance-bottom:0.00pt;z-index:1;" stroked="false">
                <w10:wrap type="topAndBottom"/>
                <v:imagedata r:id="rId14" o:title=""/>
                <o:lock v:ext="edit" rotation="t"/>
              </v:shape>
            </w:pict>
          </mc:Fallback>
        </mc:AlternateContent>
        <w:t xml:space="preserve"> délivrée</w:t>
      </w:r>
      <w:r>
        <w:rPr>
          <w:u w:val="single"/>
        </w:rPr>
      </w:r>
      <w:r>
        <w:rPr>
          <w:u w:val="single"/>
        </w:rPr>
      </w:r>
    </w:p>
    <w:p w14:paraId="657C14A4">
      <w:pPr>
        <w:pBdr/>
        <w:spacing/>
        <w:ind/>
        <w:jc w:val="center"/>
        <w:rPr>
          <w:u w:val="single"/>
        </w:rPr>
      </w:pPr>
      <w:r>
        <w:rPr>
          <w:highlight w:val="none"/>
          <w:u w:val="single"/>
        </w:rPr>
      </w:r>
      <w:r>
        <w:rPr>
          <w:highlight w:val="none"/>
          <w:u w:val="single"/>
        </w:rPr>
      </w:r>
      <w:r>
        <w:rPr>
          <w:highlight w:val="none"/>
          <w:u w:val="single"/>
        </w:rPr>
      </w:r>
    </w:p>
    <w:p w14:paraId="61EE8178">
      <w:pPr>
        <w:pBdr/>
        <w:spacing/>
        <w:ind/>
        <w:jc w:val="center"/>
        <w:rPr/>
      </w:pPr>
      <w:r>
        <mc:AlternateContent>
          <mc:Choice Requires="wpg">
            <w:drawing>
              <wp:inline xmlns:wp="http://schemas.openxmlformats.org/drawingml/2006/wordprocessingDrawing" distT="0" distB="0" distL="0" distR="0">
                <wp:extent cx="5762625" cy="3618208"/>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79299" name="Picture 81489998"/>
                        <pic:cNvPicPr>
                          <a:picLocks noChangeAspect="1"/>
                        </pic:cNvPicPr>
                        <pic:nvPr/>
                      </pic:nvPicPr>
                      <pic:blipFill rotWithShape="1">
                        <a:blip r:embed="rId15"/>
                        <a:srcRect l="0" t="6667" r="0" b="0"/>
                        <a:stretch/>
                      </pic:blipFill>
                      <pic:spPr bwMode="auto">
                        <a:xfrm flipH="0" flipV="0">
                          <a:off x="0" y="0"/>
                          <a:ext cx="5762624" cy="36182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75pt;height:284.90pt;mso-wrap-distance-left:0.00pt;mso-wrap-distance-top:0.00pt;mso-wrap-distance-right:0.00pt;mso-wrap-distance-bottom:0.00pt;z-index:1;" stroked="false">
                <v:imagedata r:id="rId15" o:title="" croptop="4369f" cropleft="0f" cropbottom="0f" cropright="0f"/>
                <o:lock v:ext="edit" rotation="t"/>
              </v:shape>
            </w:pict>
          </mc:Fallback>
        </mc:AlternateContent>
      </w:r>
      <w:r/>
      <w:r/>
    </w:p>
    <w:p w14:paraId="0E337831">
      <w:pPr>
        <w:pBdr/>
        <w:spacing/>
        <w:ind/>
        <w:jc w:val="center"/>
        <w:rPr>
          <w:u w:val="single"/>
        </w:rPr>
      </w:pPr>
      <w:r>
        <w:rPr>
          <w:highlight w:val="none"/>
          <w:u w:val="single"/>
        </w:rPr>
        <w:t xml:space="preserve">Graphique 2 : Nombre de stations mises en service en fonction de l’année</w:t>
      </w:r>
      <w:r>
        <w:rPr>
          <w:u w:val="single"/>
        </w:rPr>
      </w:r>
      <w:r>
        <w:rPr>
          <w:u w:val="single"/>
        </w:rPr>
      </w:r>
    </w:p>
    <w:p w14:paraId="2EF5B515">
      <w:pPr>
        <w:pBdr/>
        <w:spacing/>
        <w:ind/>
        <w:jc w:val="center"/>
        <w:rPr>
          <w:u w:val="single"/>
        </w:rPr>
      </w:pPr>
      <w:r>
        <w:rPr>
          <w:u w:val="single"/>
        </w:rPr>
        <w:t xml:space="preserve">Graphique 3 : Nombre de stations installés par moi, toutes années confondues.</w:t>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margin">
                  <wp:posOffset>258444</wp:posOffset>
                </wp:positionH>
                <wp:positionV relativeFrom="paragraph">
                  <wp:posOffset>475892</wp:posOffset>
                </wp:positionV>
                <wp:extent cx="5762625" cy="3000732"/>
                <wp:effectExtent l="0" t="0" r="0" b="0"/>
                <wp:wrapTopAndBottom/>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03634" name="Picture 1481132299"/>
                        <pic:cNvPicPr>
                          <a:picLocks noChangeAspect="1"/>
                        </pic:cNvPicPr>
                        <pic:nvPr/>
                      </pic:nvPicPr>
                      <pic:blipFill rotWithShape="1">
                        <a:blip r:embed="rId16"/>
                        <a:srcRect l="0" t="13688" r="0" b="0"/>
                        <a:stretch/>
                      </pic:blipFill>
                      <pic:spPr bwMode="auto">
                        <a:xfrm flipH="0" flipV="0">
                          <a:off x="0" y="0"/>
                          <a:ext cx="5762624" cy="30007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243;o:allowoverlap:true;o:allowincell:true;mso-position-horizontal-relative:margin;margin-left:20.35pt;mso-position-horizontal:absolute;mso-position-vertical-relative:text;margin-top:37.47pt;mso-position-vertical:absolute;width:453.75pt;height:236.28pt;mso-wrap-distance-left:9.00pt;mso-wrap-distance-top:0.00pt;mso-wrap-distance-right:9.00pt;mso-wrap-distance-bottom:0.00pt;z-index:1;" stroked="false">
                <w10:wrap type="topAndBottom"/>
                <v:imagedata r:id="rId16" o:title="" croptop="8971f" cropleft="0f" cropbottom="0f" cropright="0f"/>
                <o:lock v:ext="edit" rotation="t"/>
              </v:shape>
            </w:pict>
          </mc:Fallback>
        </mc:AlternateContent>
      </w:r>
      <w:r>
        <w:rPr>
          <w:u w:val="single"/>
        </w:rPr>
      </w:r>
      <w:r>
        <w:rPr>
          <w:u w:val="single"/>
        </w:rPr>
      </w:r>
    </w:p>
    <w:p w14:paraId="2310574E">
      <w:pPr>
        <w:pBdr/>
        <w:spacing/>
        <w:ind/>
        <w:jc w:val="center"/>
        <w:rPr>
          <w:highlight w:val="none"/>
        </w:rPr>
      </w:pPr>
      <w:r/>
      <w:r>
        <mc:AlternateContent>
          <mc:Choice Requires="wpg">
            <w:drawing>
              <wp:inline xmlns:wp="http://schemas.openxmlformats.org/drawingml/2006/wordprocessingDrawing" distT="0" distB="0" distL="0" distR="0">
                <wp:extent cx="5607230" cy="42972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67421" name=""/>
                        <pic:cNvPicPr>
                          <a:picLocks noChangeAspect="1"/>
                        </pic:cNvPicPr>
                        <pic:nvPr/>
                      </pic:nvPicPr>
                      <pic:blipFill rotWithShape="1">
                        <a:blip r:embed="rId17"/>
                        <a:srcRect l="0" t="8034" r="0" b="0"/>
                        <a:stretch/>
                      </pic:blipFill>
                      <pic:spPr bwMode="auto">
                        <a:xfrm flipH="0" flipV="0">
                          <a:off x="0" y="0"/>
                          <a:ext cx="5607230" cy="4297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51pt;height:338.37pt;mso-wrap-distance-left:0.00pt;mso-wrap-distance-top:0.00pt;mso-wrap-distance-right:0.00pt;mso-wrap-distance-bottom:0.00pt;z-index:1;" stroked="false">
                <v:imagedata r:id="rId17" o:title="" croptop="5265f" cropleft="0f" cropbottom="0f" cropright="0f"/>
                <o:lock v:ext="edit" rotation="t"/>
              </v:shape>
            </w:pict>
          </mc:Fallback>
        </mc:AlternateContent>
      </w:r>
      <w:r>
        <w:rPr>
          <w:highlight w:val="none"/>
        </w:rPr>
      </w:r>
      <w:r>
        <w:rPr>
          <w:highlight w:val="none"/>
        </w:rPr>
      </w:r>
    </w:p>
    <w:p w14:paraId="24063951">
      <w:pPr>
        <w:pBdr/>
        <w:spacing/>
        <w:ind/>
        <w:jc w:val="center"/>
        <w:rPr/>
      </w:pPr>
      <w:r>
        <w:rPr>
          <w:highlight w:val="none"/>
        </w:rPr>
        <w:t xml:space="preserve">Graphique 4 : Répartition des parts de marché par opérateur</w:t>
      </w:r>
      <w:r/>
      <w:r/>
    </w:p>
    <w:p w14:paraId="27D7FFB8">
      <w:pPr>
        <w:pBdr/>
        <w:spacing/>
        <w:ind/>
        <w:jc w:val="center"/>
        <w:rPr>
          <w:highlight w:val="none"/>
        </w:rPr>
      </w:pPr>
      <w:r>
        <mc:AlternateContent>
          <mc:Choice Requires="wpg">
            <w:drawing>
              <wp:inline xmlns:wp="http://schemas.openxmlformats.org/drawingml/2006/wordprocessingDrawing" distT="0" distB="0" distL="0" distR="0">
                <wp:extent cx="5760720" cy="3343156"/>
                <wp:effectExtent l="0" t="0" r="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665" name=""/>
                        <pic:cNvPicPr>
                          <a:picLocks noChangeAspect="1"/>
                        </pic:cNvPicPr>
                        <pic:nvPr/>
                      </pic:nvPicPr>
                      <pic:blipFill rotWithShape="1">
                        <a:blip r:embed="rId18"/>
                        <a:srcRect l="0" t="6949" r="0" b="0"/>
                        <a:stretch/>
                      </pic:blipFill>
                      <pic:spPr bwMode="auto">
                        <a:xfrm rot="0" flipH="0" flipV="0">
                          <a:off x="0" y="0"/>
                          <a:ext cx="5760720" cy="3343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263.24pt;mso-wrap-distance-left:0.00pt;mso-wrap-distance-top:0.00pt;mso-wrap-distance-right:0.00pt;mso-wrap-distance-bottom:0.00pt;rotation:0;z-index:1;" stroked="false">
                <v:imagedata r:id="rId18" o:title="" croptop="4554f" cropleft="0f" cropbottom="0f" cropright="0f"/>
                <o:lock v:ext="edit" rotation="t"/>
              </v:shape>
            </w:pict>
          </mc:Fallback>
        </mc:AlternateContent>
      </w:r>
      <w:r/>
      <w:r/>
      <w:r/>
      <w:r/>
      <w:r/>
      <w:r/>
      <w:r/>
      <w:r>
        <w:rPr>
          <w:u w:val="single"/>
        </w:rPr>
        <w:t xml:space="preserve">Graphique 5 : Régression linéaire entre le prix en €/kWh etet la puissance nominale de la borne en kW</w:t>
      </w:r>
      <w:r/>
      <w:r/>
      <w:r/>
      <w:r/>
    </w:p>
    <w:p w14:paraId="437EC069">
      <w:pPr>
        <w:pBdr/>
        <w:spacing/>
        <w:ind/>
        <w:jc w:val="center"/>
        <w:rPr/>
      </w:pPr>
      <w:r/>
      <w:r/>
      <w:r>
        <mc:AlternateContent>
          <mc:Choice Requires="wpg">
            <w:drawing>
              <wp:inline xmlns:wp="http://schemas.openxmlformats.org/drawingml/2006/wordprocessingDrawing" distT="0" distB="0" distL="0" distR="0">
                <wp:extent cx="5760720" cy="3357504"/>
                <wp:effectExtent l="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33932" name=""/>
                        <pic:cNvPicPr>
                          <a:picLocks noChangeAspect="1"/>
                        </pic:cNvPicPr>
                        <pic:nvPr/>
                      </pic:nvPicPr>
                      <pic:blipFill rotWithShape="1">
                        <a:blip r:embed="rId19"/>
                        <a:srcRect l="0" t="5867" r="0" b="0"/>
                        <a:stretch/>
                      </pic:blipFill>
                      <pic:spPr bwMode="auto">
                        <a:xfrm rot="0" flipH="0" flipV="0">
                          <a:off x="0" y="0"/>
                          <a:ext cx="5760719" cy="3357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264.37pt;mso-wrap-distance-left:0.00pt;mso-wrap-distance-top:0.00pt;mso-wrap-distance-right:0.00pt;mso-wrap-distance-bottom:0.00pt;rotation:0;z-index:1;" stroked="false">
                <v:imagedata r:id="rId19" o:title="" croptop="3845f" cropleft="0f" cropbottom="0f" cropright="0f"/>
                <o:lock v:ext="edit" rotation="t"/>
              </v:shape>
            </w:pict>
          </mc:Fallback>
        </mc:AlternateContent>
      </w:r>
      <w:r/>
      <w:r/>
      <w:r/>
    </w:p>
    <w:p w14:paraId="180D95C8">
      <w:pPr>
        <w:pBdr/>
        <w:spacing/>
        <w:ind/>
        <w:jc w:val="center"/>
        <w:rPr>
          <w:u w:val="single"/>
        </w:rPr>
      </w:pPr>
      <w:r>
        <w:rPr>
          <w:highlight w:val="none"/>
          <w:u w:val="single"/>
        </w:rPr>
        <w:t xml:space="preserve">Graphique 6 : Représentation de la quantité de points de recharge en fonction du type d’implémentation</w:t>
      </w:r>
      <w:r>
        <w:rPr>
          <w:u w:val="single"/>
        </w:rPr>
      </w:r>
      <w:r>
        <w:rPr>
          <w:u w:val="single"/>
        </w:rPr>
      </w:r>
    </w:p>
    <w:p w14:paraId="6632D1CD">
      <w:pPr>
        <w:pBdr/>
        <w:spacing/>
        <w:ind w:right="0" w:firstLine="0" w:left="-283"/>
        <w:jc w:val="center"/>
        <w:rPr/>
      </w:pPr>
      <w:r/>
      <w:r>
        <mc:AlternateContent>
          <mc:Choice Requires="wpg">
            <w:drawing>
              <wp:inline xmlns:wp="http://schemas.openxmlformats.org/drawingml/2006/wordprocessingDrawing" distT="0" distB="0" distL="0" distR="0">
                <wp:extent cx="6626905" cy="3239423"/>
                <wp:effectExtent l="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96352" name=""/>
                        <pic:cNvPicPr>
                          <a:picLocks noChangeAspect="1"/>
                        </pic:cNvPicPr>
                        <pic:nvPr/>
                      </pic:nvPicPr>
                      <pic:blipFill rotWithShape="1">
                        <a:blip r:embed="rId20"/>
                        <a:srcRect l="3355" t="5852" r="4436" b="5531"/>
                        <a:stretch/>
                      </pic:blipFill>
                      <pic:spPr bwMode="auto">
                        <a:xfrm rot="0" flipH="0" flipV="0">
                          <a:off x="0" y="0"/>
                          <a:ext cx="6626904" cy="323942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21.80pt;height:255.07pt;mso-wrap-distance-left:0.00pt;mso-wrap-distance-top:0.00pt;mso-wrap-distance-right:0.00pt;mso-wrap-distance-bottom:0.00pt;rotation:0;z-index:1;" stroked="f">
                <v:imagedata r:id="rId20" o:title="" croptop="3835f" cropleft="2199f" cropbottom="3625f" cropright="2907f"/>
                <o:lock v:ext="edit" rotation="t"/>
              </v:shape>
            </w:pict>
          </mc:Fallback>
        </mc:AlternateContent>
      </w:r>
      <w:r/>
      <w:r/>
      <w:r/>
      <w:r/>
      <w:r/>
      <w:r/>
      <w:r/>
      <w:r/>
      <w:r/>
      <w:r/>
      <w:r/>
    </w:p>
    <w:p w14:paraId="1096E347">
      <w:pPr>
        <w:pBdr/>
        <w:spacing/>
        <w:ind/>
        <w:jc w:val="center"/>
        <w:rPr>
          <w:u w:val="single"/>
        </w:rPr>
      </w:pPr>
      <w:r>
        <w:rPr>
          <w:u w:val="single"/>
        </w:rPr>
        <w:t xml:space="preserve">Graphique 7 : Relation entre le type d’implantation et la prix en €/kWh</w:t>
      </w:r>
      <w:r>
        <w:rPr>
          <w:u w:val="single"/>
        </w:rPr>
      </w:r>
      <w:r>
        <w:rPr>
          <w:u w:val="single"/>
        </w:rPr>
      </w:r>
    </w:p>
    <w:p w14:paraId="0B9BA407">
      <w:pPr>
        <w:pBdr/>
        <w:spacing/>
        <w:ind/>
        <w:jc w:val="center"/>
        <w:rPr/>
      </w:pPr>
      <w:r>
        <mc:AlternateContent>
          <mc:Choice Requires="wpg">
            <w:drawing>
              <wp:inline xmlns:wp="http://schemas.openxmlformats.org/drawingml/2006/wordprocessingDrawing" distT="0" distB="0" distL="0" distR="0">
                <wp:extent cx="4553320" cy="3998496"/>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0620" name="Picture 312668728"/>
                        <pic:cNvPicPr>
                          <a:picLocks noChangeAspect="1"/>
                        </pic:cNvPicPr>
                        <pic:nvPr/>
                      </pic:nvPicPr>
                      <pic:blipFill rotWithShape="1">
                        <a:blip r:embed="rId21"/>
                        <a:srcRect l="3103" t="2744" r="4635" b="0"/>
                        <a:stretch/>
                      </pic:blipFill>
                      <pic:spPr bwMode="auto">
                        <a:xfrm flipH="0" flipV="0">
                          <a:off x="0" y="0"/>
                          <a:ext cx="4553320" cy="3998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58.53pt;height:314.84pt;mso-wrap-distance-left:0.00pt;mso-wrap-distance-top:0.00pt;mso-wrap-distance-right:0.00pt;mso-wrap-distance-bottom:0.00pt;z-index:1;" stroked="false">
                <v:imagedata r:id="rId21" o:title="" croptop="1798f" cropleft="2034f" cropbottom="0f" cropright="3038f"/>
                <o:lock v:ext="edit" rotation="t"/>
              </v:shape>
            </w:pict>
          </mc:Fallback>
        </mc:AlternateContent>
      </w:r>
      <w:r/>
      <w:r/>
    </w:p>
    <w:p w14:paraId="132EA0AC">
      <w:pPr>
        <w:pBdr/>
        <w:spacing/>
        <w:ind/>
        <w:jc w:val="center"/>
        <w:rPr>
          <w:highlight w:val="none"/>
          <w:u w:val="single"/>
        </w:rPr>
      </w:pPr>
      <w:r>
        <w:rPr>
          <w:u w:val="single"/>
        </w:rPr>
        <w:t xml:space="preserve">Graphique 8 : Matrice des scores du qi2 en heatmap</w:t>
      </w:r>
      <w:r>
        <w:rPr>
          <w:u w:val="single"/>
        </w:rPr>
      </w:r>
      <w:r>
        <w:rPr>
          <w:u w:val="single"/>
        </w:rPr>
      </w:r>
    </w:p>
    <w:p w14:paraId="5EBA5099">
      <w:pPr>
        <w:pBdr/>
        <w:spacing/>
        <w:ind/>
        <w:jc w:val="center"/>
        <w:rPr>
          <w:highlight w:val="none"/>
          <w:u w:val="none"/>
        </w:rPr>
      </w:pPr>
      <w:r>
        <w:rPr>
          <w:highlight w:val="none"/>
          <w:u w:val="none"/>
        </w:rPr>
      </w:r>
      <w:r>
        <w:rPr>
          <w:highlight w:val="none"/>
          <w:u w:val="none"/>
        </w:rPr>
      </w:r>
      <w:r>
        <w:rPr>
          <w:highlight w:val="none"/>
          <w:u w:val="none"/>
        </w:rPr>
        <mc:AlternateContent>
          <mc:Choice Requires="wpg">
            <w:drawing>
              <wp:inline xmlns:wp="http://schemas.openxmlformats.org/drawingml/2006/wordprocessingDrawing" distT="0" distB="0" distL="0" distR="0">
                <wp:extent cx="4913373" cy="438849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8322" name=""/>
                        <pic:cNvPicPr>
                          <a:picLocks noChangeAspect="1"/>
                        </pic:cNvPicPr>
                        <pic:nvPr/>
                      </pic:nvPicPr>
                      <pic:blipFill rotWithShape="1">
                        <a:blip r:embed="rId22"/>
                        <a:srcRect l="3368" t="2890" r="6027" b="0"/>
                        <a:stretch/>
                      </pic:blipFill>
                      <pic:spPr bwMode="auto">
                        <a:xfrm flipH="0" flipV="0">
                          <a:off x="0" y="0"/>
                          <a:ext cx="4913372" cy="4388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6.88pt;height:345.55pt;mso-wrap-distance-left:0.00pt;mso-wrap-distance-top:0.00pt;mso-wrap-distance-right:0.00pt;mso-wrap-distance-bottom:0.00pt;z-index:1;" stroked="false">
                <v:imagedata r:id="rId22" o:title="" croptop="1894f" cropleft="2207f" cropbottom="0f" cropright="3950f"/>
                <o:lock v:ext="edit" rotation="t"/>
              </v:shape>
            </w:pict>
          </mc:Fallback>
        </mc:AlternateContent>
      </w:r>
      <w:r>
        <w:rPr>
          <w:highlight w:val="none"/>
          <w:u w:val="none"/>
        </w:rPr>
      </w:r>
      <w:r>
        <w:rPr>
          <w:highlight w:val="none"/>
          <w:u w:val="none"/>
        </w:rPr>
      </w:r>
      <w:r>
        <w:rPr>
          <w:highlight w:val="none"/>
          <w:u w:val="none"/>
        </w:rPr>
      </w:r>
    </w:p>
    <w:p w14:paraId="390C860D">
      <w:pPr>
        <w:pBdr/>
        <w:spacing/>
        <w:ind/>
        <w:jc w:val="center"/>
        <w:rPr>
          <w:highlight w:val="none"/>
          <w:u w:val="single"/>
        </w:rPr>
      </w:pPr>
      <w:r>
        <w:rPr>
          <w:highlight w:val="none"/>
          <w:u w:val="single"/>
        </w:rPr>
        <w:t xml:space="preserve">Graphique 9 : Matrice des p-valeurs du qi2 en heatmap</w:t>
      </w:r>
      <w:r>
        <w:rPr>
          <w:highlight w:val="none"/>
          <w:u w:val="single"/>
        </w:rPr>
      </w:r>
      <w:r>
        <w:rPr>
          <w:highlight w:val="none"/>
          <w:u w:val="single"/>
        </w:rPr>
      </w:r>
    </w:p>
    <w:p w14:paraId="1382533F">
      <w:pPr>
        <w:pBdr/>
        <w:spacing/>
        <w:ind/>
        <w:jc w:val="center"/>
        <w:rPr/>
      </w:pPr>
      <w:r>
        <w:rPr>
          <w:highlight w:val="none"/>
        </w:rPr>
      </w:r>
      <w:r>
        <mc:AlternateContent>
          <mc:Choice Requires="wpg">
            <w:drawing>
              <wp:inline xmlns:wp="http://schemas.openxmlformats.org/drawingml/2006/wordprocessingDrawing" distT="0" distB="0" distL="0" distR="0">
                <wp:extent cx="4931556" cy="4447592"/>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10165" name="Picture 2011411587"/>
                        <pic:cNvPicPr>
                          <a:picLocks noChangeAspect="1"/>
                        </pic:cNvPicPr>
                        <pic:nvPr/>
                      </pic:nvPicPr>
                      <pic:blipFill rotWithShape="1">
                        <a:blip r:embed="rId23"/>
                        <a:srcRect l="4419" t="2852" r="5845" b="0"/>
                        <a:stretch/>
                      </pic:blipFill>
                      <pic:spPr bwMode="auto">
                        <a:xfrm flipH="0" flipV="0">
                          <a:off x="0" y="0"/>
                          <a:ext cx="4931556" cy="4447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88.31pt;height:350.20pt;mso-wrap-distance-left:0.00pt;mso-wrap-distance-top:0.00pt;mso-wrap-distance-right:0.00pt;mso-wrap-distance-bottom:0.00pt;z-index:1;" stroked="false">
                <v:imagedata r:id="rId23" o:title="" croptop="1869f" cropleft="2896f" cropbottom="0f" cropright="3831f"/>
                <o:lock v:ext="edit" rotation="t"/>
              </v:shape>
            </w:pict>
          </mc:Fallback>
        </mc:AlternateContent>
      </w:r>
      <w:r/>
    </w:p>
    <w:p w14:paraId="5CDF1C4D">
      <w:pPr>
        <w:pBdr/>
        <w:spacing/>
        <w:ind/>
        <w:jc w:val="center"/>
        <w:rPr>
          <w:highlight w:val="none"/>
        </w:rPr>
      </w:pPr>
      <w:r/>
      <w:r>
        <w:rPr>
          <w:u w:val="single"/>
          <w:lang w:val="fr-FR"/>
        </w:rPr>
        <w:t xml:space="preserve">Graphique 10 : </w:t>
      </w:r>
      <w:r>
        <w:rPr>
          <w:u w:val="single"/>
          <w:lang w:val="en-US"/>
        </w:rPr>
        <w:t xml:space="preserve">Matrice du V de Cramer en Heatmap</w:t>
      </w:r>
      <w:r>
        <w:rPr>
          <w:highlight w:val="none"/>
        </w:rPr>
      </w:r>
      <w:r/>
    </w:p>
    <w:p w14:paraId="7B7FE753">
      <w:pPr>
        <w:pBdr/>
        <w:spacing/>
        <w:ind/>
        <w:jc w:val="center"/>
        <w:rPr>
          <w:highlight w:val="none"/>
        </w:rPr>
      </w:pPr>
      <w:r>
        <w:rPr>
          <w:highlight w:val="none"/>
        </w:rPr>
        <mc:AlternateContent>
          <mc:Choice Requires="wpg">
            <w:drawing>
              <wp:inline xmlns:wp="http://schemas.openxmlformats.org/drawingml/2006/wordprocessingDrawing" distT="0" distB="0" distL="0" distR="0">
                <wp:extent cx="5181070" cy="466998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0563" name=""/>
                        <pic:cNvPicPr>
                          <a:picLocks noChangeAspect="1"/>
                        </pic:cNvPicPr>
                        <pic:nvPr/>
                      </pic:nvPicPr>
                      <pic:blipFill rotWithShape="1">
                        <a:blip r:embed="rId24"/>
                        <a:srcRect l="4210" t="2720" r="5851" b="0"/>
                        <a:stretch/>
                      </pic:blipFill>
                      <pic:spPr bwMode="auto">
                        <a:xfrm flipH="0" flipV="0">
                          <a:off x="0" y="0"/>
                          <a:ext cx="5181069" cy="46699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07.96pt;height:367.72pt;mso-wrap-distance-left:0.00pt;mso-wrap-distance-top:0.00pt;mso-wrap-distance-right:0.00pt;mso-wrap-distance-bottom:0.00pt;z-index:1;" stroked="false">
                <v:imagedata r:id="rId24" o:title="" croptop="1783f" cropleft="2759f" cropbottom="0f" cropright="3835f"/>
                <o:lock v:ext="edit" rotation="t"/>
              </v:shape>
            </w:pict>
          </mc:Fallback>
        </mc:AlternateContent>
      </w:r>
      <w:r>
        <w:rPr>
          <w:highlight w:val="none"/>
        </w:rPr>
      </w:r>
      <w:r>
        <w:rPr>
          <w:highlight w:val="none"/>
        </w:rPr>
      </w:r>
      <w:r/>
    </w:p>
    <w:p w14:paraId="50F6FEE4">
      <w:pPr>
        <w:pBdr/>
        <w:spacing/>
        <w:ind/>
        <w:jc w:val="center"/>
        <w:rPr>
          <w:highlight w:val="none"/>
          <w:u w:val="single"/>
        </w:rPr>
      </w:pPr>
      <w:r>
        <w:rPr>
          <w:highlight w:val="none"/>
          <w:u w:val="single"/>
        </w:rPr>
        <w:t xml:space="preserve">Graphique 11 : Matrice du V de Cramer en valeurs</w:t>
      </w:r>
      <w:r>
        <w:rPr>
          <w:u w:val="single"/>
        </w:rPr>
      </w:r>
    </w:p>
    <w:p w14:paraId="5CBD6C15">
      <w:pPr>
        <w:pBdr/>
        <w:spacing/>
        <w:ind/>
        <w:jc w:val="center"/>
        <w:rPr>
          <w:highlight w:val="none"/>
          <w:u w:val="none"/>
        </w:rPr>
      </w:pPr>
      <w:r>
        <w:rPr>
          <w:highlight w:val="none"/>
          <w:u w:val="none"/>
        </w:rPr>
        <mc:AlternateContent>
          <mc:Choice Requires="wpg">
            <w:drawing>
              <wp:inline xmlns:wp="http://schemas.openxmlformats.org/drawingml/2006/wordprocessingDrawing" distT="0" distB="0" distL="0" distR="0">
                <wp:extent cx="2873032" cy="446245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0715" name=""/>
                        <pic:cNvPicPr>
                          <a:picLocks noChangeAspect="1"/>
                        </pic:cNvPicPr>
                        <pic:nvPr/>
                      </pic:nvPicPr>
                      <pic:blipFill rotWithShape="1">
                        <a:blip r:embed="rId25"/>
                        <a:srcRect l="25126" t="6300" r="24601" b="0"/>
                        <a:stretch/>
                      </pic:blipFill>
                      <pic:spPr bwMode="auto">
                        <a:xfrm flipH="0" flipV="0">
                          <a:off x="0" y="0"/>
                          <a:ext cx="2873031" cy="44624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26.22pt;height:351.37pt;mso-wrap-distance-left:0.00pt;mso-wrap-distance-top:0.00pt;mso-wrap-distance-right:0.00pt;mso-wrap-distance-bottom:0.00pt;z-index:1;" stroked="false">
                <v:imagedata r:id="rId25" o:title="" croptop="4129f" cropleft="16467f" cropbottom="0f" cropright="16123f"/>
                <o:lock v:ext="edit" rotation="t"/>
              </v:shape>
            </w:pict>
          </mc:Fallback>
        </mc:AlternateContent>
      </w:r>
      <w:r>
        <w:rPr>
          <w:u w:val="none"/>
        </w:rPr>
      </w:r>
    </w:p>
    <w:p w14:paraId="629556D7">
      <w:pPr>
        <w:pBdr/>
        <w:spacing/>
        <w:ind/>
        <w:jc w:val="center"/>
        <w:rPr>
          <w:highlight w:val="none"/>
          <w:u w:val="single"/>
        </w:rPr>
      </w:pPr>
      <w:r>
        <w:rPr>
          <w:highlight w:val="none"/>
          <w:u w:val="single"/>
        </w:rPr>
        <w:t xml:space="preserve">Graphique 12 : Matrice de confusion de la prédiction de la tarification</w:t>
      </w:r>
      <w:r>
        <w:rPr>
          <w:u w:val="single"/>
        </w:rPr>
      </w:r>
      <w:r>
        <w:rPr>
          <w:u w:val="single"/>
        </w:rPr>
      </w:r>
    </w:p>
    <w:p w14:paraId="548105C7">
      <w:pPr>
        <w:pBdr/>
        <w:spacing/>
        <w:ind/>
        <w:jc w:val="center"/>
        <w:rPr>
          <w:highlight w:val="none"/>
          <w:u w:val="none"/>
        </w:rPr>
      </w:pPr>
      <w:r>
        <w:rPr>
          <w:highlight w:val="none"/>
          <w:u w:val="none"/>
        </w:rPr>
        <mc:AlternateContent>
          <mc:Choice Requires="wpg">
            <w:drawing>
              <wp:inline xmlns:wp="http://schemas.openxmlformats.org/drawingml/2006/wordprocessingDrawing" distT="0" distB="0" distL="0" distR="0">
                <wp:extent cx="5760720" cy="465533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20102" name=""/>
                        <pic:cNvPicPr>
                          <a:picLocks noChangeAspect="1"/>
                        </pic:cNvPicPr>
                        <pic:nvPr/>
                      </pic:nvPicPr>
                      <pic:blipFill rotWithShape="1">
                        <a:blip r:embed="rId26"/>
                        <a:srcRect l="0" t="3025" r="0" b="0"/>
                        <a:stretch/>
                      </pic:blipFill>
                      <pic:spPr bwMode="auto">
                        <a:xfrm flipH="0" flipV="0">
                          <a:off x="0" y="0"/>
                          <a:ext cx="5760719" cy="4655334"/>
                        </a:xfrm>
                        <a:prstGeom prst="rect">
                          <a:avLst/>
                        </a:prstGeom>
                        <a:ln w="6350">
                          <a:solidFill>
                            <a:schemeClr val="accent1">
                              <a:lumMod val="50196"/>
                            </a:schemeClr>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60pt;height:366.56pt;mso-wrap-distance-left:0.00pt;mso-wrap-distance-top:0.00pt;mso-wrap-distance-right:0.00pt;mso-wrap-distance-bottom:0.00pt;z-index:1;" strokecolor="#0A2F3F" strokeweight="0.50pt">
                <v:imagedata r:id="rId26" o:title="" croptop="1982f" cropleft="0f" cropbottom="0f" cropright="0f"/>
                <o:lock v:ext="edit" rotation="t"/>
              </v:shape>
            </w:pict>
          </mc:Fallback>
        </mc:AlternateContent>
      </w:r>
      <w:r>
        <w:rPr>
          <w:u w:val="none"/>
        </w:rPr>
      </w:r>
    </w:p>
    <w:p w14:paraId="3E0C3125">
      <w:pPr>
        <w:pBdr/>
        <w:spacing/>
        <w:ind/>
        <w:jc w:val="center"/>
        <w:rPr>
          <w:highlight w:val="none"/>
          <w:u w:val="single"/>
        </w:rPr>
      </w:pPr>
      <w:r>
        <w:rPr>
          <w:highlight w:val="none"/>
          <w:u w:val="single"/>
        </w:rPr>
        <w:t xml:space="preserve">Graphique 13 : Puissance prédite en fonction de la puissance réelle</w:t>
      </w:r>
      <w:r>
        <w:rPr>
          <w:u w:val="single"/>
        </w:rPr>
      </w:r>
    </w:p>
    <w:p w14:paraId="7E985935">
      <w:pPr>
        <w:pBdr/>
        <w:spacing/>
        <w:ind/>
        <w:jc w:val="center"/>
        <w:rPr>
          <w:highlight w:val="none"/>
          <w:u w:val="none"/>
        </w:rPr>
      </w:pPr>
      <w:r>
        <w:rPr>
          <w:highlight w:val="none"/>
          <w:u w:val="none"/>
        </w:rPr>
        <mc:AlternateContent>
          <mc:Choice Requires="wpg">
            <w:drawing>
              <wp:inline xmlns:wp="http://schemas.openxmlformats.org/drawingml/2006/wordprocessingDrawing" distT="0" distB="0" distL="0" distR="0">
                <wp:extent cx="5760720" cy="465533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70558" name=""/>
                        <pic:cNvPicPr>
                          <a:picLocks noChangeAspect="1"/>
                        </pic:cNvPicPr>
                        <pic:nvPr/>
                      </pic:nvPicPr>
                      <pic:blipFill rotWithShape="1">
                        <a:blip r:embed="rId27"/>
                        <a:srcRect l="0" t="3025" r="0" b="0"/>
                        <a:stretch/>
                      </pic:blipFill>
                      <pic:spPr bwMode="auto">
                        <a:xfrm flipH="0" flipV="0">
                          <a:off x="0" y="0"/>
                          <a:ext cx="5760719" cy="4655334"/>
                        </a:xfrm>
                        <a:prstGeom prst="rect">
                          <a:avLst/>
                        </a:prstGeom>
                        <a:ln w="6350">
                          <a:solidFill>
                            <a:schemeClr val="accent1">
                              <a:lumMod val="50196"/>
                            </a:schemeClr>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60pt;height:366.56pt;mso-wrap-distance-left:0.00pt;mso-wrap-distance-top:0.00pt;mso-wrap-distance-right:0.00pt;mso-wrap-distance-bottom:0.00pt;z-index:1;" strokecolor="#0A2F3F" strokeweight="0.50pt">
                <v:imagedata r:id="rId27" o:title="" croptop="1982f" cropleft="0f" cropbottom="0f" cropright="0f"/>
                <o:lock v:ext="edit" rotation="t"/>
              </v:shape>
            </w:pict>
          </mc:Fallback>
        </mc:AlternateContent>
      </w:r>
      <w:r>
        <w:rPr>
          <w:u w:val="none"/>
        </w:rPr>
      </w:r>
    </w:p>
    <w:p w14:paraId="69ECE3F0">
      <w:pPr>
        <w:pBdr/>
        <w:spacing/>
        <w:ind/>
        <w:jc w:val="center"/>
        <w:rPr>
          <w:u w:val="single"/>
        </w:rPr>
      </w:pPr>
      <w:r>
        <w:rPr>
          <w:highlight w:val="none"/>
          <w:u w:val="single"/>
        </w:rPr>
        <w:t xml:space="preserve">Graphique 14 : Résidu de la puissance prédite en en fonction  de la puissance réelle</w:t>
      </w:r>
      <w:r>
        <w:rPr>
          <w:highlight w:val="none"/>
          <w:u w:val="none"/>
        </w:rPr>
      </w:r>
      <w:r>
        <w:rPr>
          <w:u w:val="single"/>
        </w:rPr>
      </w:r>
    </w:p>
    <w:sectPr>
      <w:headerReference w:type="default" r:id="rId9"/>
      <w:headerReference w:type="first" r:id="rId10"/>
      <w:footerReference w:type="default" r:id="rId11"/>
      <w:footerReference w:type="first" r:id="rId12"/>
      <w:footnotePr/>
      <w:endnotePr/>
      <w:type w:val="nextPage"/>
      <w:pgSz w:h="16838" w:orient="portrait" w:w="11906"/>
      <w:pgMar w:top="1134" w:right="1417" w:bottom="1417" w:left="1417"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1824C43" w14:textId="77777777">
      <w:pPr>
        <w:pBdr/>
        <w:spacing w:after="0" w:line="240" w:lineRule="auto"/>
        <w:ind/>
        <w:rPr/>
      </w:pPr>
      <w:r>
        <w:separator/>
      </w:r>
      <w:r/>
    </w:p>
  </w:endnote>
  <w:endnote w:type="continuationSeparator" w:id="0">
    <w:p w14:paraId="697326C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LM Roman 12">
    <w:panose1 w:val="05040102010807070707"/>
  </w:font>
  <w:font w:name="Symbol">
    <w:panose1 w:val="05010000000000000000"/>
  </w:font>
  <w:font w:name="Wingdings">
    <w:panose1 w:val="05010000000000000000"/>
  </w:font>
  <w:font w:name="Courier New">
    <w:panose1 w:val="02070409020205020404"/>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87614786"/>
      <w:docPartObj>
        <w:docPartGallery w:val="Page Numbers (Bottom of Page)"/>
        <w:docPartUnique w:val="true"/>
      </w:docPartObj>
      <w:rPr/>
    </w:sdtPr>
    <w:sdtContent>
      <w:p w14:paraId="5388D1C6" w14:textId="38731101">
        <w:pPr>
          <w:pStyle w:val="811"/>
          <w:pBdr/>
          <w:spacing/>
          <w:ind/>
          <w:jc w:val="center"/>
          <w:rPr/>
        </w:pPr>
        <w:r>
          <w:fldChar w:fldCharType="begin"/>
        </w:r>
        <w:r>
          <w:instrText xml:space="preserve">PAGE   \* MERGEFORMAT</w:instrText>
        </w:r>
        <w:r>
          <w:fldChar w:fldCharType="separate"/>
        </w:r>
        <w:r>
          <w:t xml:space="preserve">2</w:t>
        </w:r>
        <w:r>
          <w:fldChar w:fldCharType="end"/>
        </w:r>
        <w:r/>
      </w:p>
    </w:sdtContent>
  </w:sdt>
  <w:p w14:paraId="104C197E" w14:textId="09BB4019">
    <w:pPr>
      <w:pStyle w:val="81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0A1C12">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page">
                <wp:posOffset>5144770</wp:posOffset>
              </wp:positionH>
              <wp:positionV relativeFrom="paragraph">
                <wp:posOffset>-735965</wp:posOffset>
              </wp:positionV>
              <wp:extent cx="2425700" cy="1691640"/>
              <wp:effectExtent l="0" t="0" r="0" b="0"/>
              <wp:wrapNone/>
              <wp:docPr id="2" name="Picture 8" descr="A black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3317" name="Picture 8" descr="A black and blue background&#10;&#10;Description automatically generated"/>
                      <pic:cNvPicPr>
                        <a:picLocks noChangeAspect="1"/>
                      </pic:cNvPicPr>
                      <pic:nvPr/>
                    </pic:nvPicPr>
                    <pic:blipFill rotWithShape="1">
                      <a:blip r:embed="rId1"/>
                      <a:stretch/>
                    </pic:blipFill>
                    <pic:spPr bwMode="auto">
                      <a:xfrm rot="10800000" flipH="1" flipV="0">
                        <a:off x="0" y="0"/>
                        <a:ext cx="2425699" cy="169164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page;margin-left:405.10pt;mso-position-horizontal:absolute;mso-position-vertical-relative:text;margin-top:-57.95pt;mso-position-vertical:absolute;width:191.00pt;height:133.20pt;mso-wrap-distance-left:9.00pt;mso-wrap-distance-top:0.00pt;mso-wrap-distance-right:9.00pt;mso-wrap-distance-bottom:0.00pt;rotation:180;flip:x;z-index:1;" stroked="f">
              <v:imagedata r:id="rId1" o:title=""/>
              <o:lock v:ext="edit" rotation="t"/>
            </v:shape>
          </w:pict>
        </mc:Fallback>
      </mc:AlternateContent>
    </w:r>
    <w:r/>
    <w:r/>
  </w:p>
  <w:p w14:paraId="49642236">
    <w:pPr>
      <w:pStyle w:val="81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158D36E" w14:textId="77777777">
      <w:pPr>
        <w:pBdr/>
        <w:spacing w:after="0" w:line="240" w:lineRule="auto"/>
        <w:ind/>
        <w:rPr/>
      </w:pPr>
      <w:r>
        <w:separator/>
      </w:r>
      <w:r/>
    </w:p>
  </w:footnote>
  <w:footnote w:type="continuationSeparator" w:id="0">
    <w:p w14:paraId="5972B5A5" w14:textId="77777777">
      <w:pPr>
        <w:pBdr/>
        <w:spacing w:after="0" w:line="240" w:lineRule="auto"/>
        <w:ind/>
        <w:rPr/>
      </w:pPr>
      <w:r>
        <w:continuationSeparator/>
      </w:r>
      <w:r/>
    </w:p>
  </w:footnote>
  <w:footnote w:id="2">
    <w:p w14:paraId="0A30D1D5">
      <w:pPr>
        <w:pStyle w:val="181"/>
        <w:pBdr/>
        <w:spacing/>
        <w:ind/>
        <w:rPr/>
      </w:pPr>
      <w:r>
        <w:rPr>
          <w:rStyle w:val="183"/>
        </w:rPr>
        <w:footnoteRef/>
      </w:r>
      <w:r>
        <w:t xml:space="preserve"> </w:t>
      </w:r>
      <w:r/>
      <w:hyperlink r:id="rId1" w:tooltip="https://schema.data.gouv.fr/etalab/schema-irve-statique/2.3.1/documentation.html" w:history="1">
        <w:r>
          <w:rPr>
            <w:rStyle w:val="823"/>
          </w:rPr>
          <w:t xml:space="preserve">https://schema.data.gouv.fr/etalab/schema-irve-statique/2.3.1/documentation.html</w:t>
        </w:r>
      </w:hyperlink>
      <w:r/>
      <w:r/>
      <w:r/>
      <w:r/>
    </w:p>
  </w:footnote>
  <w:footnote w:id="3">
    <w:p w14:paraId="29B6C4D8">
      <w:pPr>
        <w:pStyle w:val="181"/>
        <w:pBdr/>
        <w:spacing/>
        <w:ind/>
        <w:rPr/>
      </w:pPr>
      <w:r>
        <w:rPr>
          <w:rStyle w:val="183"/>
        </w:rPr>
        <w:footnoteRef/>
      </w:r>
      <w:r/>
      <w:hyperlink r:id="rId2" w:tooltip="https://fr.wikipedia.org/wiki/R%C3%A9gression_logistique" w:history="1">
        <w:r>
          <w:t xml:space="preserve">https://fr.wikipedia.org/wiki/R%C3%A9gression_logistique</w:t>
        </w:r>
      </w:hyperlink>
      <w:r/>
      <w:r/>
      <w:r>
        <w:t xml:space="preserve"> </w:t>
      </w: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DBA104">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9ACF8B">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posOffset>635</wp:posOffset>
              </wp:positionH>
              <wp:positionV relativeFrom="paragraph">
                <wp:posOffset>-452120</wp:posOffset>
              </wp:positionV>
              <wp:extent cx="2425700" cy="1691640"/>
              <wp:effectExtent l="0" t="0" r="0" b="0"/>
              <wp:wrapNone/>
              <wp:docPr id="1" name="Picture 8" descr="A black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23439" name="Picture 8" descr="A black and blue background&#10;&#10;Description automatically generated"/>
                      <pic:cNvPicPr>
                        <a:picLocks noChangeAspect="1"/>
                      </pic:cNvPicPr>
                      <pic:nvPr/>
                    </pic:nvPicPr>
                    <pic:blipFill rotWithShape="1">
                      <a:blip r:embed="rId1"/>
                      <a:stretch/>
                    </pic:blipFill>
                    <pic:spPr bwMode="auto">
                      <a:xfrm rot="0" flipH="1" flipV="0">
                        <a:off x="0" y="0"/>
                        <a:ext cx="2425699" cy="169164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0.05pt;mso-position-horizontal:absolute;mso-position-vertical-relative:text;margin-top:-35.60pt;mso-position-vertical:absolute;width:191.00pt;height:133.20pt;mso-wrap-distance-left:9.00pt;mso-wrap-distance-top:0.00pt;mso-wrap-distance-right:9.00pt;mso-wrap-distance-bottom:0.00pt;rotation:0;flip:x;z-index:1;" stroked="f">
              <v:imagedata r:id="rId1" o:title=""/>
              <o:lock v:ext="edit" rotation="t"/>
            </v:shape>
          </w:pict>
        </mc:Fallback>
      </mc:AlternateContent>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829E0"/>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8A4D753"/>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C315D7D"/>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508"/>
      </w:pPr>
      <w:rPr>
        <w:rFonts w:hint="default" w:ascii="Courier New" w:hAnsi="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Symbol" w:hAnsi="Symbol"/>
      </w:rPr>
      <w:start w:val="1"/>
      <w:suff w:val="tab"/>
    </w:lvl>
    <w:lvl w:ilvl="4">
      <w:isLgl w:val="false"/>
      <w:lvlJc w:val="left"/>
      <w:lvlText w:val="o"/>
      <w:numFmt w:val="bullet"/>
      <w:pPr>
        <w:pBdr/>
        <w:spacing/>
        <w:ind w:hanging="360" w:left="4668"/>
      </w:pPr>
      <w:rPr>
        <w:rFonts w:hint="default" w:ascii="Courier New" w:hAnsi="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3">
    <w:nsid w:val="5268B9B5"/>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D0E0BFA"/>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75122224"/>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8A4D753"/>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4"/>
  </w:num>
  <w:num w:numId="3">
    <w:abstractNumId w:val="3"/>
  </w:num>
  <w:num w:numId="4">
    <w:abstractNumId w:val="5"/>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06"/>
    <w:link w:val="797"/>
    <w:uiPriority w:val="9"/>
    <w:pPr>
      <w:pBdr/>
      <w:spacing/>
      <w:ind/>
    </w:pPr>
    <w:rPr>
      <w:rFonts w:ascii="Arial" w:hAnsi="Arial" w:eastAsia="Arial" w:cs="Arial"/>
      <w:color w:val="0f4761" w:themeColor="accent1" w:themeShade="BF"/>
      <w:sz w:val="40"/>
      <w:szCs w:val="40"/>
    </w:rPr>
  </w:style>
  <w:style w:type="character" w:styleId="151">
    <w:name w:val="Heading 2 Char"/>
    <w:basedOn w:val="806"/>
    <w:link w:val="798"/>
    <w:uiPriority w:val="9"/>
    <w:pPr>
      <w:pBdr/>
      <w:spacing/>
      <w:ind/>
    </w:pPr>
    <w:rPr>
      <w:rFonts w:ascii="Arial" w:hAnsi="Arial" w:eastAsia="Arial" w:cs="Arial"/>
      <w:color w:val="0f4761" w:themeColor="accent1" w:themeShade="BF"/>
      <w:sz w:val="32"/>
      <w:szCs w:val="32"/>
    </w:rPr>
  </w:style>
  <w:style w:type="character" w:styleId="152">
    <w:name w:val="Heading 3 Char"/>
    <w:basedOn w:val="806"/>
    <w:link w:val="799"/>
    <w:uiPriority w:val="9"/>
    <w:pPr>
      <w:pBdr/>
      <w:spacing/>
      <w:ind/>
    </w:pPr>
    <w:rPr>
      <w:rFonts w:ascii="Arial" w:hAnsi="Arial" w:eastAsia="Arial" w:cs="Arial"/>
      <w:color w:val="0f4761" w:themeColor="accent1" w:themeShade="BF"/>
      <w:sz w:val="28"/>
      <w:szCs w:val="28"/>
    </w:rPr>
  </w:style>
  <w:style w:type="character" w:styleId="153">
    <w:name w:val="Heading 4 Char"/>
    <w:basedOn w:val="806"/>
    <w:link w:val="800"/>
    <w:uiPriority w:val="9"/>
    <w:pPr>
      <w:pBdr/>
      <w:spacing/>
      <w:ind/>
    </w:pPr>
    <w:rPr>
      <w:rFonts w:ascii="Arial" w:hAnsi="Arial" w:eastAsia="Arial" w:cs="Arial"/>
      <w:i/>
      <w:iCs/>
      <w:color w:val="0f4761" w:themeColor="accent1" w:themeShade="BF"/>
    </w:rPr>
  </w:style>
  <w:style w:type="character" w:styleId="154">
    <w:name w:val="Heading 5 Char"/>
    <w:basedOn w:val="806"/>
    <w:link w:val="801"/>
    <w:uiPriority w:val="9"/>
    <w:pPr>
      <w:pBdr/>
      <w:spacing/>
      <w:ind/>
    </w:pPr>
    <w:rPr>
      <w:rFonts w:ascii="Arial" w:hAnsi="Arial" w:eastAsia="Arial" w:cs="Arial"/>
      <w:color w:val="0f4761" w:themeColor="accent1" w:themeShade="BF"/>
    </w:rPr>
  </w:style>
  <w:style w:type="character" w:styleId="155">
    <w:name w:val="Heading 6 Char"/>
    <w:basedOn w:val="806"/>
    <w:link w:val="802"/>
    <w:uiPriority w:val="9"/>
    <w:pPr>
      <w:pBdr/>
      <w:spacing/>
      <w:ind/>
    </w:pPr>
    <w:rPr>
      <w:rFonts w:ascii="Arial" w:hAnsi="Arial" w:eastAsia="Arial" w:cs="Arial"/>
      <w:i/>
      <w:iCs/>
      <w:color w:val="595959" w:themeColor="text1" w:themeTint="A6"/>
    </w:rPr>
  </w:style>
  <w:style w:type="character" w:styleId="156">
    <w:name w:val="Heading 7 Char"/>
    <w:basedOn w:val="806"/>
    <w:link w:val="803"/>
    <w:uiPriority w:val="9"/>
    <w:pPr>
      <w:pBdr/>
      <w:spacing/>
      <w:ind/>
    </w:pPr>
    <w:rPr>
      <w:rFonts w:ascii="Arial" w:hAnsi="Arial" w:eastAsia="Arial" w:cs="Arial"/>
      <w:color w:val="595959" w:themeColor="text1" w:themeTint="A6"/>
    </w:rPr>
  </w:style>
  <w:style w:type="character" w:styleId="157">
    <w:name w:val="Heading 8 Char"/>
    <w:basedOn w:val="806"/>
    <w:link w:val="804"/>
    <w:uiPriority w:val="9"/>
    <w:pPr>
      <w:pBdr/>
      <w:spacing/>
      <w:ind/>
    </w:pPr>
    <w:rPr>
      <w:rFonts w:ascii="Arial" w:hAnsi="Arial" w:eastAsia="Arial" w:cs="Arial"/>
      <w:i/>
      <w:iCs/>
      <w:color w:val="272727" w:themeColor="text1" w:themeTint="D8"/>
    </w:rPr>
  </w:style>
  <w:style w:type="character" w:styleId="158">
    <w:name w:val="Heading 9 Char"/>
    <w:basedOn w:val="806"/>
    <w:link w:val="805"/>
    <w:uiPriority w:val="9"/>
    <w:pPr>
      <w:pBdr/>
      <w:spacing/>
      <w:ind/>
    </w:pPr>
    <w:rPr>
      <w:rFonts w:ascii="Arial" w:hAnsi="Arial" w:eastAsia="Arial" w:cs="Arial"/>
      <w:i/>
      <w:iCs/>
      <w:color w:val="272727" w:themeColor="text1" w:themeTint="D8"/>
    </w:rPr>
  </w:style>
  <w:style w:type="paragraph" w:styleId="159">
    <w:name w:val="Title"/>
    <w:basedOn w:val="796"/>
    <w:next w:val="79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06"/>
    <w:link w:val="159"/>
    <w:uiPriority w:val="10"/>
    <w:pPr>
      <w:pBdr/>
      <w:spacing/>
      <w:ind/>
    </w:pPr>
    <w:rPr>
      <w:rFonts w:ascii="Arial" w:hAnsi="Arial" w:eastAsia="Arial" w:cs="Arial"/>
      <w:spacing w:val="-10"/>
      <w:sz w:val="56"/>
      <w:szCs w:val="56"/>
    </w:rPr>
  </w:style>
  <w:style w:type="paragraph" w:styleId="163">
    <w:name w:val="Quote"/>
    <w:basedOn w:val="796"/>
    <w:next w:val="796"/>
    <w:link w:val="164"/>
    <w:uiPriority w:val="29"/>
    <w:qFormat/>
    <w:pPr>
      <w:pBdr/>
      <w:spacing w:before="160"/>
      <w:ind/>
      <w:jc w:val="center"/>
    </w:pPr>
    <w:rPr>
      <w:i/>
      <w:iCs/>
      <w:color w:val="404040" w:themeColor="text1" w:themeTint="BF"/>
    </w:rPr>
  </w:style>
  <w:style w:type="character" w:styleId="164">
    <w:name w:val="Quote Char"/>
    <w:basedOn w:val="806"/>
    <w:link w:val="163"/>
    <w:uiPriority w:val="29"/>
    <w:pPr>
      <w:pBdr/>
      <w:spacing/>
      <w:ind/>
    </w:pPr>
    <w:rPr>
      <w:i/>
      <w:iCs/>
      <w:color w:val="404040" w:themeColor="text1" w:themeTint="BF"/>
    </w:rPr>
  </w:style>
  <w:style w:type="paragraph" w:styleId="167">
    <w:name w:val="Intense Quote"/>
    <w:basedOn w:val="796"/>
    <w:next w:val="79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6"/>
    <w:link w:val="167"/>
    <w:uiPriority w:val="30"/>
    <w:pPr>
      <w:pBdr/>
      <w:spacing/>
      <w:ind/>
    </w:pPr>
    <w:rPr>
      <w:i/>
      <w:iCs/>
      <w:color w:val="0f4761" w:themeColor="accent1" w:themeShade="BF"/>
    </w:rPr>
  </w:style>
  <w:style w:type="paragraph" w:styleId="170">
    <w:name w:val="No Spacing"/>
    <w:basedOn w:val="796"/>
    <w:uiPriority w:val="1"/>
    <w:qFormat/>
    <w:pPr>
      <w:pBdr/>
      <w:spacing w:after="0" w:line="240" w:lineRule="auto"/>
      <w:ind/>
    </w:pPr>
  </w:style>
  <w:style w:type="character" w:styleId="171">
    <w:name w:val="Subtle Emphasis"/>
    <w:basedOn w:val="806"/>
    <w:uiPriority w:val="19"/>
    <w:qFormat/>
    <w:pPr>
      <w:pBdr/>
      <w:spacing/>
      <w:ind/>
    </w:pPr>
    <w:rPr>
      <w:i/>
      <w:iCs/>
      <w:color w:val="404040" w:themeColor="text1" w:themeTint="BF"/>
    </w:rPr>
  </w:style>
  <w:style w:type="character" w:styleId="172">
    <w:name w:val="Emphasis"/>
    <w:basedOn w:val="806"/>
    <w:uiPriority w:val="20"/>
    <w:qFormat/>
    <w:pPr>
      <w:pBdr/>
      <w:spacing/>
      <w:ind/>
    </w:pPr>
    <w:rPr>
      <w:i/>
      <w:iCs/>
    </w:rPr>
  </w:style>
  <w:style w:type="character" w:styleId="173">
    <w:name w:val="Strong"/>
    <w:basedOn w:val="806"/>
    <w:uiPriority w:val="22"/>
    <w:qFormat/>
    <w:pPr>
      <w:pBdr/>
      <w:spacing/>
      <w:ind/>
    </w:pPr>
    <w:rPr>
      <w:b/>
      <w:bCs/>
    </w:rPr>
  </w:style>
  <w:style w:type="character" w:styleId="174">
    <w:name w:val="Subtle Reference"/>
    <w:basedOn w:val="806"/>
    <w:uiPriority w:val="31"/>
    <w:qFormat/>
    <w:pPr>
      <w:pBdr/>
      <w:spacing/>
      <w:ind/>
    </w:pPr>
    <w:rPr>
      <w:smallCaps/>
      <w:color w:val="5a5a5a" w:themeColor="text1" w:themeTint="A5"/>
    </w:rPr>
  </w:style>
  <w:style w:type="character" w:styleId="175">
    <w:name w:val="Book Title"/>
    <w:basedOn w:val="806"/>
    <w:uiPriority w:val="33"/>
    <w:qFormat/>
    <w:pPr>
      <w:pBdr/>
      <w:spacing/>
      <w:ind/>
    </w:pPr>
    <w:rPr>
      <w:b/>
      <w:bCs/>
      <w:i/>
      <w:iCs/>
      <w:spacing w:val="5"/>
    </w:rPr>
  </w:style>
  <w:style w:type="paragraph" w:styleId="181">
    <w:name w:val="footnote text"/>
    <w:basedOn w:val="796"/>
    <w:link w:val="182"/>
    <w:uiPriority w:val="99"/>
    <w:semiHidden/>
    <w:unhideWhenUsed/>
    <w:pPr>
      <w:pBdr/>
      <w:spacing w:after="0" w:line="240" w:lineRule="auto"/>
      <w:ind/>
    </w:pPr>
    <w:rPr>
      <w:sz w:val="20"/>
      <w:szCs w:val="20"/>
    </w:rPr>
  </w:style>
  <w:style w:type="character" w:styleId="182">
    <w:name w:val="Footnote Text Char"/>
    <w:basedOn w:val="806"/>
    <w:link w:val="181"/>
    <w:uiPriority w:val="99"/>
    <w:semiHidden/>
    <w:pPr>
      <w:pBdr/>
      <w:spacing/>
      <w:ind/>
    </w:pPr>
    <w:rPr>
      <w:sz w:val="20"/>
      <w:szCs w:val="20"/>
    </w:rPr>
  </w:style>
  <w:style w:type="character" w:styleId="183">
    <w:name w:val="footnote reference"/>
    <w:basedOn w:val="806"/>
    <w:uiPriority w:val="99"/>
    <w:semiHidden/>
    <w:unhideWhenUsed/>
    <w:pPr>
      <w:pBdr/>
      <w:spacing/>
      <w:ind/>
    </w:pPr>
    <w:rPr>
      <w:vertAlign w:val="superscript"/>
    </w:rPr>
  </w:style>
  <w:style w:type="paragraph" w:styleId="184">
    <w:name w:val="endnote text"/>
    <w:basedOn w:val="796"/>
    <w:link w:val="185"/>
    <w:uiPriority w:val="99"/>
    <w:semiHidden/>
    <w:unhideWhenUsed/>
    <w:pPr>
      <w:pBdr/>
      <w:spacing w:after="0" w:line="240" w:lineRule="auto"/>
      <w:ind/>
    </w:pPr>
    <w:rPr>
      <w:sz w:val="20"/>
      <w:szCs w:val="20"/>
    </w:rPr>
  </w:style>
  <w:style w:type="character" w:styleId="185">
    <w:name w:val="Endnote Text Char"/>
    <w:basedOn w:val="806"/>
    <w:link w:val="184"/>
    <w:uiPriority w:val="99"/>
    <w:semiHidden/>
    <w:pPr>
      <w:pBdr/>
      <w:spacing/>
      <w:ind/>
    </w:pPr>
    <w:rPr>
      <w:sz w:val="20"/>
      <w:szCs w:val="20"/>
    </w:rPr>
  </w:style>
  <w:style w:type="character" w:styleId="186">
    <w:name w:val="endnote reference"/>
    <w:basedOn w:val="806"/>
    <w:uiPriority w:val="99"/>
    <w:semiHidden/>
    <w:unhideWhenUsed/>
    <w:pPr>
      <w:pBdr/>
      <w:spacing/>
      <w:ind/>
    </w:pPr>
    <w:rPr>
      <w:vertAlign w:val="superscript"/>
    </w:rPr>
  </w:style>
  <w:style w:type="character" w:styleId="188">
    <w:name w:val="FollowedHyperlink"/>
    <w:basedOn w:val="806"/>
    <w:uiPriority w:val="99"/>
    <w:semiHidden/>
    <w:unhideWhenUsed/>
    <w:pPr>
      <w:pBdr/>
      <w:spacing/>
      <w:ind/>
    </w:pPr>
    <w:rPr>
      <w:color w:val="954f72" w:themeColor="followedHyperlink"/>
      <w:u w:val="single"/>
    </w:rPr>
  </w:style>
  <w:style w:type="paragraph" w:styleId="189">
    <w:name w:val="toc 1"/>
    <w:basedOn w:val="796"/>
    <w:next w:val="796"/>
    <w:uiPriority w:val="39"/>
    <w:unhideWhenUsed/>
    <w:pPr>
      <w:pBdr/>
      <w:spacing w:after="100"/>
      <w:ind/>
    </w:pPr>
  </w:style>
  <w:style w:type="paragraph" w:styleId="191">
    <w:name w:val="toc 3"/>
    <w:basedOn w:val="796"/>
    <w:next w:val="796"/>
    <w:uiPriority w:val="39"/>
    <w:unhideWhenUsed/>
    <w:pPr>
      <w:pBdr/>
      <w:spacing w:after="100"/>
      <w:ind w:left="440"/>
    </w:pPr>
  </w:style>
  <w:style w:type="paragraph" w:styleId="192">
    <w:name w:val="toc 4"/>
    <w:basedOn w:val="796"/>
    <w:next w:val="796"/>
    <w:uiPriority w:val="39"/>
    <w:unhideWhenUsed/>
    <w:pPr>
      <w:pBdr/>
      <w:spacing w:after="100"/>
      <w:ind w:left="660"/>
    </w:pPr>
  </w:style>
  <w:style w:type="paragraph" w:styleId="193">
    <w:name w:val="toc 5"/>
    <w:basedOn w:val="796"/>
    <w:next w:val="796"/>
    <w:uiPriority w:val="39"/>
    <w:unhideWhenUsed/>
    <w:pPr>
      <w:pBdr/>
      <w:spacing w:after="100"/>
      <w:ind w:left="880"/>
    </w:pPr>
  </w:style>
  <w:style w:type="paragraph" w:styleId="194">
    <w:name w:val="toc 6"/>
    <w:basedOn w:val="796"/>
    <w:next w:val="796"/>
    <w:uiPriority w:val="39"/>
    <w:unhideWhenUsed/>
    <w:pPr>
      <w:pBdr/>
      <w:spacing w:after="100"/>
      <w:ind w:left="1100"/>
    </w:pPr>
  </w:style>
  <w:style w:type="paragraph" w:styleId="195">
    <w:name w:val="toc 7"/>
    <w:basedOn w:val="796"/>
    <w:next w:val="796"/>
    <w:uiPriority w:val="39"/>
    <w:unhideWhenUsed/>
    <w:pPr>
      <w:pBdr/>
      <w:spacing w:after="100"/>
      <w:ind w:left="1320"/>
    </w:pPr>
  </w:style>
  <w:style w:type="paragraph" w:styleId="196">
    <w:name w:val="toc 8"/>
    <w:basedOn w:val="796"/>
    <w:next w:val="796"/>
    <w:uiPriority w:val="39"/>
    <w:unhideWhenUsed/>
    <w:pPr>
      <w:pBdr/>
      <w:spacing w:after="100"/>
      <w:ind w:left="1540"/>
    </w:pPr>
  </w:style>
  <w:style w:type="paragraph" w:styleId="197">
    <w:name w:val="toc 9"/>
    <w:basedOn w:val="796"/>
    <w:next w:val="796"/>
    <w:uiPriority w:val="39"/>
    <w:unhideWhenUsed/>
    <w:pPr>
      <w:pBdr/>
      <w:spacing w:after="100"/>
      <w:ind w:left="1760"/>
    </w:pPr>
  </w:style>
  <w:style w:type="paragraph" w:styleId="209">
    <w:name w:val="table of figures"/>
    <w:basedOn w:val="796"/>
    <w:next w:val="796"/>
    <w:uiPriority w:val="99"/>
    <w:unhideWhenUsed/>
    <w:pPr>
      <w:pBdr/>
      <w:spacing w:after="0" w:afterAutospacing="0"/>
      <w:ind/>
    </w:pPr>
  </w:style>
  <w:style w:type="paragraph" w:styleId="796" w:default="1">
    <w:name w:val="Normal"/>
    <w:qFormat/>
    <w:pPr>
      <w:pBdr/>
      <w:spacing/>
      <w:ind/>
      <w:jc w:val="both"/>
    </w:pPr>
  </w:style>
  <w:style w:type="paragraph" w:styleId="797">
    <w:name w:val="Heading 1"/>
    <w:basedOn w:val="796"/>
    <w:next w:val="79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98">
    <w:name w:val="Heading 2"/>
    <w:basedOn w:val="796"/>
    <w:next w:val="79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99">
    <w:name w:val="Heading 3"/>
    <w:basedOn w:val="796"/>
    <w:next w:val="79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00">
    <w:name w:val="Heading 4"/>
    <w:basedOn w:val="796"/>
    <w:next w:val="796"/>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01">
    <w:name w:val="Heading 5"/>
    <w:basedOn w:val="796"/>
    <w:next w:val="79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02">
    <w:name w:val="Heading 6"/>
    <w:basedOn w:val="796"/>
    <w:next w:val="79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03">
    <w:name w:val="Heading 7"/>
    <w:basedOn w:val="796"/>
    <w:next w:val="79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04">
    <w:name w:val="Heading 8"/>
    <w:basedOn w:val="796"/>
    <w:next w:val="79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05">
    <w:name w:val="Heading 9"/>
    <w:basedOn w:val="796"/>
    <w:next w:val="79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06" w:default="1">
    <w:name w:val="Default Paragraph Font"/>
    <w:uiPriority w:val="1"/>
    <w:semiHidden/>
    <w:unhideWhenUsed/>
    <w:pPr>
      <w:pBdr/>
      <w:spacing/>
      <w:ind/>
    </w:pPr>
  </w:style>
  <w:style w:type="table" w:styleId="8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8" w:default="1">
    <w:name w:val="No List"/>
    <w:uiPriority w:val="99"/>
    <w:semiHidden/>
    <w:unhideWhenUsed/>
    <w:pPr>
      <w:pBdr/>
      <w:spacing/>
      <w:ind/>
    </w:pPr>
  </w:style>
  <w:style w:type="paragraph" w:styleId="809">
    <w:name w:val="Header"/>
    <w:basedOn w:val="796"/>
    <w:link w:val="810"/>
    <w:uiPriority w:val="99"/>
    <w:unhideWhenUsed/>
    <w:pPr>
      <w:pBdr/>
      <w:tabs>
        <w:tab w:val="center" w:leader="none" w:pos="4536"/>
        <w:tab w:val="right" w:leader="none" w:pos="9072"/>
      </w:tabs>
      <w:spacing w:after="0" w:line="240" w:lineRule="auto"/>
      <w:ind/>
    </w:pPr>
  </w:style>
  <w:style w:type="character" w:styleId="810" w:customStyle="1">
    <w:name w:val="Header Char"/>
    <w:basedOn w:val="806"/>
    <w:link w:val="809"/>
    <w:uiPriority w:val="99"/>
    <w:pPr>
      <w:pBdr/>
      <w:spacing/>
      <w:ind/>
    </w:pPr>
  </w:style>
  <w:style w:type="paragraph" w:styleId="811">
    <w:name w:val="Footer"/>
    <w:basedOn w:val="796"/>
    <w:link w:val="812"/>
    <w:uiPriority w:val="99"/>
    <w:unhideWhenUsed/>
    <w:pPr>
      <w:pBdr/>
      <w:tabs>
        <w:tab w:val="center" w:leader="none" w:pos="4536"/>
        <w:tab w:val="right" w:leader="none" w:pos="9072"/>
      </w:tabs>
      <w:spacing w:after="0" w:line="240" w:lineRule="auto"/>
      <w:ind/>
    </w:pPr>
  </w:style>
  <w:style w:type="character" w:styleId="812" w:customStyle="1">
    <w:name w:val="Footer Char"/>
    <w:basedOn w:val="806"/>
    <w:link w:val="811"/>
    <w:uiPriority w:val="99"/>
    <w:pPr>
      <w:pBdr/>
      <w:spacing/>
      <w:ind/>
    </w:pPr>
  </w:style>
  <w:style w:type="character" w:styleId="813">
    <w:name w:val="Placeholder Text"/>
    <w:basedOn w:val="806"/>
    <w:uiPriority w:val="99"/>
    <w:semiHidden/>
    <w:pPr>
      <w:pBdr/>
      <w:spacing/>
      <w:ind/>
    </w:pPr>
    <w:rPr>
      <w:color w:val="666666"/>
    </w:rPr>
  </w:style>
  <w:style w:type="paragraph" w:styleId="814">
    <w:name w:val="Subtitle"/>
    <w:basedOn w:val="796"/>
    <w:next w:val="796"/>
    <w:link w:val="815"/>
    <w:uiPriority w:val="11"/>
    <w:qFormat/>
    <w:pPr>
      <w:numPr>
        <w:ilvl w:val="1"/>
      </w:numPr>
      <w:pBdr/>
      <w:spacing/>
      <w:ind/>
    </w:pPr>
    <w:rPr>
      <w:rFonts w:eastAsiaTheme="minorEastAsia"/>
      <w:color w:val="5a5a5a" w:themeColor="text1" w:themeTint="A5"/>
      <w:spacing w:val="15"/>
      <w:sz w:val="22"/>
      <w:szCs w:val="22"/>
    </w:rPr>
  </w:style>
  <w:style w:type="character" w:styleId="815" w:customStyle="1">
    <w:name w:val="Subtitle Char"/>
    <w:basedOn w:val="806"/>
    <w:link w:val="814"/>
    <w:uiPriority w:val="11"/>
    <w:pPr>
      <w:pBdr/>
      <w:spacing/>
      <w:ind/>
    </w:pPr>
    <w:rPr>
      <w:rFonts w:eastAsiaTheme="minorEastAsia"/>
      <w:color w:val="5a5a5a" w:themeColor="text1" w:themeTint="A5"/>
      <w:spacing w:val="15"/>
      <w:sz w:val="22"/>
      <w:szCs w:val="22"/>
    </w:rPr>
  </w:style>
  <w:style w:type="paragraph" w:styleId="816">
    <w:name w:val="List Paragraph"/>
    <w:basedOn w:val="796"/>
    <w:uiPriority w:val="34"/>
    <w:qFormat/>
    <w:pPr>
      <w:pBdr/>
      <w:spacing/>
      <w:ind w:left="720"/>
      <w:contextualSpacing w:val="true"/>
    </w:pPr>
  </w:style>
  <w:style w:type="character" w:styleId="817">
    <w:name w:val="Intense Emphasis"/>
    <w:basedOn w:val="806"/>
    <w:uiPriority w:val="21"/>
    <w:qFormat/>
    <w:pPr>
      <w:pBdr/>
      <w:spacing/>
      <w:ind/>
    </w:pPr>
    <w:rPr>
      <w:i/>
      <w:iCs/>
      <w:color w:val="0f4761" w:themeColor="accent1" w:themeShade="BF"/>
    </w:rPr>
  </w:style>
  <w:style w:type="character" w:styleId="818">
    <w:name w:val="Intense Reference"/>
    <w:basedOn w:val="806"/>
    <w:uiPriority w:val="32"/>
    <w:qFormat/>
    <w:pPr>
      <w:pBdr/>
      <w:spacing/>
      <w:ind/>
    </w:pPr>
    <w:rPr>
      <w:b/>
      <w:bCs/>
      <w:smallCaps/>
      <w:color w:val="0f4761" w:themeColor="accent1" w:themeShade="BF"/>
      <w:spacing w:val="5"/>
    </w:rPr>
  </w:style>
  <w:style w:type="paragraph" w:styleId="819">
    <w:name w:val="Caption"/>
    <w:basedOn w:val="796"/>
    <w:next w:val="796"/>
    <w:uiPriority w:val="35"/>
    <w:unhideWhenUsed/>
    <w:qFormat/>
    <w:pPr>
      <w:pBdr/>
      <w:spacing w:after="200" w:line="240" w:lineRule="auto"/>
      <w:ind/>
    </w:pPr>
    <w:rPr>
      <w:i/>
      <w:iCs/>
      <w:color w:val="0e2841" w:themeColor="text2"/>
      <w:sz w:val="18"/>
      <w:szCs w:val="18"/>
    </w:rPr>
  </w:style>
  <w:style w:type="table" w:styleId="820">
    <w:name w:val="Table Grid"/>
    <w:basedOn w:val="807"/>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1">
    <w:name w:val="TOC Heading"/>
    <w:basedOn w:val="797"/>
    <w:next w:val="796"/>
    <w:uiPriority w:val="39"/>
    <w:unhideWhenUsed/>
    <w:qFormat/>
    <w:pPr>
      <w:pBdr/>
      <w:spacing w:after="0" w:before="240" w:line="259" w:lineRule="auto"/>
      <w:ind/>
      <w:outlineLvl w:val="9"/>
    </w:pPr>
    <w:rPr>
      <w:sz w:val="32"/>
      <w:szCs w:val="32"/>
      <w:lang w:eastAsia="fr-FR"/>
      <w14:ligatures w14:val="none"/>
    </w:rPr>
  </w:style>
  <w:style w:type="paragraph" w:styleId="822">
    <w:name w:val="toc 2"/>
    <w:basedOn w:val="796"/>
    <w:next w:val="796"/>
    <w:uiPriority w:val="39"/>
    <w:unhideWhenUsed/>
    <w:pPr>
      <w:pBdr/>
      <w:spacing w:after="100"/>
      <w:ind w:left="240"/>
    </w:pPr>
  </w:style>
  <w:style w:type="character" w:styleId="823">
    <w:name w:val="Hyperlink"/>
    <w:basedOn w:val="806"/>
    <w:uiPriority w:val="99"/>
    <w:unhideWhenUsed/>
    <w:pPr>
      <w:pBdr/>
      <w:spacing/>
      <w:ind/>
    </w:pPr>
    <w:rPr>
      <w:color w:val="467886" w:themeColor="hyperlink"/>
      <w:u w:val="single"/>
    </w:rPr>
  </w:style>
  <w:style w:type="character" w:styleId="824" w:customStyle="1">
    <w:name w:val="Titre 1 Car"/>
    <w:basedOn w:val="806"/>
    <w:uiPriority w:val="9"/>
    <w:pPr>
      <w:pBdr/>
      <w:spacing/>
      <w:ind/>
    </w:pPr>
    <w:rPr>
      <w:rFonts w:asciiTheme="majorHAnsi" w:hAnsiTheme="majorHAnsi" w:eastAsiaTheme="majorEastAsia" w:cstheme="majorBidi"/>
      <w:color w:val="0f4761" w:themeColor="accent1" w:themeShade="BF"/>
      <w:sz w:val="40"/>
      <w:szCs w:val="40"/>
    </w:rPr>
  </w:style>
  <w:style w:type="character" w:styleId="825" w:customStyle="1">
    <w:name w:val="Titre 2 Car"/>
    <w:basedOn w:val="806"/>
    <w:uiPriority w:val="9"/>
    <w:pPr>
      <w:pBdr/>
      <w:spacing/>
      <w:ind/>
    </w:pPr>
    <w:rPr>
      <w:rFonts w:asciiTheme="majorHAnsi" w:hAnsiTheme="majorHAnsi" w:eastAsiaTheme="majorEastAsia" w:cstheme="majorBidi"/>
      <w:color w:val="0f4761" w:themeColor="accent1" w:themeShade="BF"/>
      <w:sz w:val="32"/>
      <w:szCs w:val="32"/>
    </w:rPr>
  </w:style>
  <w:style w:type="character" w:styleId="826" w:customStyle="1">
    <w:name w:val="Titre 3 Car"/>
    <w:basedOn w:val="806"/>
    <w:uiPriority w:val="9"/>
    <w:pPr>
      <w:pBdr/>
      <w:spacing/>
      <w:ind/>
    </w:pPr>
    <w:rPr>
      <w:rFonts w:eastAsiaTheme="majorEastAsia" w:cstheme="majorBidi"/>
      <w:color w:val="0f4761" w:themeColor="accent1" w:themeShade="BF"/>
      <w:sz w:val="28"/>
      <w:szCs w:val="28"/>
    </w:rPr>
  </w:style>
  <w:style w:type="character" w:styleId="827" w:customStyle="1">
    <w:name w:val="Titre 4 Car"/>
    <w:basedOn w:val="806"/>
    <w:uiPriority w:val="9"/>
    <w:pPr>
      <w:pBdr/>
      <w:spacing/>
      <w:ind/>
    </w:pPr>
    <w:rPr>
      <w:rFonts w:eastAsiaTheme="majorEastAsia" w:cstheme="majorBidi"/>
      <w:i/>
      <w:iCs/>
      <w:color w:val="0f4761" w:themeColor="accent1" w:themeShade="BF"/>
    </w:rPr>
  </w:style>
  <w:style w:type="character" w:styleId="828" w:customStyle="1">
    <w:name w:val="Titre 5 Car"/>
    <w:basedOn w:val="806"/>
    <w:uiPriority w:val="9"/>
    <w:semiHidden/>
    <w:pPr>
      <w:pBdr/>
      <w:spacing/>
      <w:ind/>
    </w:pPr>
    <w:rPr>
      <w:rFonts w:eastAsiaTheme="majorEastAsia" w:cstheme="majorBidi"/>
      <w:color w:val="0f4761" w:themeColor="accent1" w:themeShade="BF"/>
    </w:rPr>
  </w:style>
  <w:style w:type="character" w:styleId="829" w:customStyle="1">
    <w:name w:val="Titre 6 Car"/>
    <w:basedOn w:val="806"/>
    <w:uiPriority w:val="9"/>
    <w:semiHidden/>
    <w:pPr>
      <w:pBdr/>
      <w:spacing/>
      <w:ind/>
    </w:pPr>
    <w:rPr>
      <w:rFonts w:eastAsiaTheme="majorEastAsia" w:cstheme="majorBidi"/>
      <w:i/>
      <w:iCs/>
      <w:color w:val="595959" w:themeColor="text1" w:themeTint="A6"/>
    </w:rPr>
  </w:style>
  <w:style w:type="character" w:styleId="830" w:customStyle="1">
    <w:name w:val="Titre 7 Car"/>
    <w:basedOn w:val="806"/>
    <w:uiPriority w:val="9"/>
    <w:semiHidden/>
    <w:pPr>
      <w:pBdr/>
      <w:spacing/>
      <w:ind/>
    </w:pPr>
    <w:rPr>
      <w:rFonts w:eastAsiaTheme="majorEastAsia" w:cstheme="majorBidi"/>
      <w:color w:val="595959" w:themeColor="text1" w:themeTint="A6"/>
    </w:rPr>
  </w:style>
  <w:style w:type="character" w:styleId="831" w:customStyle="1">
    <w:name w:val="Titre 8 Car"/>
    <w:basedOn w:val="806"/>
    <w:uiPriority w:val="9"/>
    <w:semiHidden/>
    <w:pPr>
      <w:pBdr/>
      <w:spacing/>
      <w:ind/>
    </w:pPr>
    <w:rPr>
      <w:rFonts w:eastAsiaTheme="majorEastAsia" w:cstheme="majorBidi"/>
      <w:i/>
      <w:iCs/>
      <w:color w:val="272727" w:themeColor="text1" w:themeTint="D8"/>
    </w:rPr>
  </w:style>
  <w:style w:type="character" w:styleId="832" w:customStyle="1">
    <w:name w:val="Titre 9 Car"/>
    <w:basedOn w:val="806"/>
    <w:uiPriority w:val="9"/>
    <w:semiHidden/>
    <w:pPr>
      <w:pBdr/>
      <w:spacing/>
      <w:ind/>
    </w:pPr>
    <w:rPr>
      <w:rFonts w:eastAsiaTheme="majorEastAsia" w:cstheme="majorBidi"/>
      <w:color w:val="272727" w:themeColor="text1" w:themeTint="D8"/>
    </w:rPr>
  </w:style>
  <w:style w:type="character" w:styleId="833" w:customStyle="1">
    <w:name w:val="Titre Car"/>
    <w:basedOn w:val="806"/>
    <w:uiPriority w:val="10"/>
    <w:pPr>
      <w:pBdr/>
      <w:spacing/>
      <w:ind/>
    </w:pPr>
    <w:rPr>
      <w:rFonts w:asciiTheme="majorHAnsi" w:hAnsiTheme="majorHAnsi" w:eastAsiaTheme="majorEastAsia" w:cstheme="majorBidi"/>
      <w:spacing w:val="-10"/>
      <w:sz w:val="56"/>
      <w:szCs w:val="56"/>
    </w:rPr>
  </w:style>
  <w:style w:type="character" w:styleId="834" w:customStyle="1">
    <w:name w:val="Sous-titre Car"/>
    <w:basedOn w:val="806"/>
    <w:uiPriority w:val="11"/>
    <w:pPr>
      <w:pBdr/>
      <w:spacing/>
      <w:ind/>
    </w:pPr>
    <w:rPr>
      <w:rFonts w:eastAsiaTheme="majorEastAsia" w:cstheme="majorBidi"/>
      <w:color w:val="595959" w:themeColor="text1" w:themeTint="A6"/>
      <w:spacing w:val="15"/>
      <w:sz w:val="28"/>
      <w:szCs w:val="28"/>
    </w:rPr>
  </w:style>
  <w:style w:type="character" w:styleId="835" w:customStyle="1">
    <w:name w:val="Citation Car"/>
    <w:basedOn w:val="806"/>
    <w:uiPriority w:val="29"/>
    <w:pPr>
      <w:pBdr/>
      <w:spacing/>
      <w:ind/>
    </w:pPr>
    <w:rPr>
      <w:i/>
      <w:iCs/>
      <w:color w:val="404040" w:themeColor="text1" w:themeTint="BF"/>
    </w:rPr>
  </w:style>
  <w:style w:type="character" w:styleId="836" w:customStyle="1">
    <w:name w:val="Citation intense Car"/>
    <w:basedOn w:val="806"/>
    <w:uiPriority w:val="30"/>
    <w:pPr>
      <w:pBdr/>
      <w:spacing/>
      <w:ind/>
    </w:pPr>
    <w:rPr>
      <w:i/>
      <w:iCs/>
      <w:color w:val="0f4761" w:themeColor="accent1" w:themeShade="BF"/>
    </w:rPr>
  </w:style>
  <w:style w:type="character" w:styleId="837" w:customStyle="1">
    <w:name w:val="Sans interligne Car"/>
    <w:basedOn w:val="806"/>
    <w:uiPriority w:val="1"/>
    <w:pPr>
      <w:pBdr/>
      <w:spacing/>
      <w:ind/>
    </w:pPr>
    <w:rPr>
      <w:rFonts w:eastAsiaTheme="minorEastAsia"/>
      <w:sz w:val="22"/>
      <w:szCs w:val="22"/>
      <w:lang w:eastAsia="fr-FR"/>
      <w14:ligatures w14:val="none"/>
    </w:rPr>
  </w:style>
  <w:style w:type="character" w:styleId="838" w:customStyle="1">
    <w:name w:val="En-tête Car"/>
    <w:basedOn w:val="806"/>
    <w:uiPriority w:val="99"/>
    <w:semiHidden/>
    <w:pPr>
      <w:pBdr/>
      <w:spacing/>
      <w:ind/>
    </w:pPr>
  </w:style>
  <w:style w:type="character" w:styleId="839" w:customStyle="1">
    <w:name w:val="Pied de page Car"/>
    <w:basedOn w:val="80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 Id="rId1" Type="http://schemas.openxmlformats.org/officeDocument/2006/relationships/image" Target="media/image1.png"/></Relationships>
</file>

<file path=word/_rels/footnotes.xml.rels><?xml version="1.0" encoding="UTF-8" standalone="yes"?><Relationships xmlns="http://schemas.openxmlformats.org/package/2006/relationships"><Relationship Id="rId1" Type="http://schemas.openxmlformats.org/officeDocument/2006/relationships/hyperlink" Target="https://schema.data.gouv.fr/etalab/schema-irve-statique/2.3.1/documentation.html" TargetMode="External"/><Relationship Id="rId2" Type="http://schemas.openxmlformats.org/officeDocument/2006/relationships/hyperlink" Target="https://fr.wikipedia.org/wiki/R%C3%A9gression_logistique" TargetMode="External"/></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D861E-0BC2-4095-ABF4-9230323DF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c:title>
  <dc:subject/>
  <dc:creator>François ALLIE (A3_NANTES)</dc:creator>
  <cp:keywords/>
  <dc:description/>
  <cp:revision>919</cp:revision>
  <dcterms:created xsi:type="dcterms:W3CDTF">2026-06-09T19:48:00Z</dcterms:created>
  <dcterms:modified xsi:type="dcterms:W3CDTF">2026-06-12T11:04:29Z</dcterms:modified>
</cp:coreProperties>
</file>