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057"/>
          <w:sz w:val="56"/>
          <w:szCs w:val="56"/>
        </w:rPr>
        <w:t xml:space="preserve">GDPR Audit Pack</w:t>
      </w:r>
    </w:p>
    <w:p>
      <w:pPr>
        <w:spacing w:after="80" w:before="80"/>
        <w:jc w:val="center"/>
      </w:pPr>
      <w:r>
        <w:rPr>
          <w:rFonts w:ascii="Arial" w:cs="Arial" w:eastAsia="Arial" w:hAnsi="Arial"/>
          <w:color w:val="555555"/>
          <w:sz w:val="30"/>
          <w:szCs w:val="30"/>
        </w:rPr>
        <w:t xml:space="preserve">CV Screening Tool with Human Review</w:t>
      </w:r>
    </w:p>
    <w:p>
      <w:pPr>
        <w:spacing w:after="80" w:before="80"/>
        <w:jc w:val="center"/>
      </w:pPr>
      <w:r>
        <w:rPr>
          <w:rFonts w:ascii="Arial" w:cs="Arial" w:eastAsia="Arial" w:hAnsi="Arial"/>
          <w:color w:val="888888"/>
          <w:sz w:val="22"/>
          <w:szCs w:val="22"/>
        </w:rPr>
        <w:t xml:space="preserve">Prepared by: Student Name | May 2026</w:t>
      </w:r>
    </w:p>
    <w:p>
      <w:pPr>
        <w:spacing w:after="60" w:before="60"/>
      </w:pPr>
      <w:r>
        <w:t xml:space="preserve"/>
      </w:r>
    </w:p>
    <w:p>
      <w:pPr>
        <w:pBdr>
          <w:bottom w:val="single" w:color="2E75B6" w:sz="6" w:space="1"/>
        </w:pBdr>
      </w:pPr>
      <w:r>
        <w:t xml:space="preserve"/>
      </w:r>
    </w:p>
    <w:p>
      <w:pPr>
        <w:spacing w:after="60" w:before="60"/>
      </w:pPr>
      <w:r>
        <w:t xml:space="preserve"/>
      </w:r>
    </w:p>
    <w:p>
      <w:pPr>
        <w:pStyle w:val="Heading1"/>
        <w:spacing w:after="120" w:before="360"/>
      </w:pPr>
      <w:r>
        <w:rPr>
          <w:rFonts w:ascii="Arial" w:cs="Arial" w:eastAsia="Arial" w:hAnsi="Arial"/>
          <w:b/>
          <w:bCs/>
          <w:sz w:val="32"/>
          <w:szCs w:val="32"/>
        </w:rPr>
        <w:t xml:space="preserve">Part 1: Audit Worksheet</w:t>
      </w:r>
    </w:p>
    <w:p>
      <w:pPr>
        <w:pStyle w:val="Heading2"/>
        <w:spacing w:after="80" w:before="240"/>
      </w:pPr>
      <w:r>
        <w:rPr>
          <w:rFonts w:ascii="Arial" w:cs="Arial" w:eastAsia="Arial" w:hAnsi="Arial"/>
          <w:b/>
          <w:bCs/>
          <w:sz w:val="26"/>
          <w:szCs w:val="26"/>
        </w:rPr>
        <w:t xml:space="preserve">Fact Pattern</w:t>
      </w:r>
    </w:p>
    <w:p>
      <w:pPr>
        <w:spacing w:after="80" w:before="80"/>
      </w:pPr>
      <w:r>
        <w:rPr>
          <w:rFonts w:ascii="Arial" w:cs="Arial" w:eastAsia="Arial" w:hAnsi="Arial"/>
          <w:sz w:val="22"/>
          <w:szCs w:val="22"/>
        </w:rPr>
        <w:t xml:space="preserve">The client is RecruitAI GmbH, a mid-size HR tech startup based in Berlin with around 40 employees. The company sells a CV screening tool to corporate clients across Germany and the Netherlands. The tool reads job applications, scores each applicant on a scale from 0 to 100, and passes a shortlist to a human recruiter. The recruiter can accept or override the ranking.</w:t>
      </w:r>
    </w:p>
    <w:p>
      <w:pPr>
        <w:spacing w:after="60" w:before="60"/>
      </w:pPr>
      <w:r>
        <w:t xml:space="preserve"/>
      </w:r>
    </w:p>
    <w:p>
      <w:pPr>
        <w:spacing w:after="80" w:before="80"/>
      </w:pPr>
      <w:r>
        <w:rPr>
          <w:rFonts w:ascii="Arial" w:cs="Arial" w:eastAsia="Arial" w:hAnsi="Arial"/>
          <w:sz w:val="22"/>
          <w:szCs w:val="22"/>
        </w:rPr>
        <w:t xml:space="preserve">Personal data processed includes: full name, email, phone number, address, work history, education, skills, and sometimes a photo or date of birth (depending on what the applicant submits). The data subjects are job applicants located in Germany and the Netherlands, so they are all in the EU/EEA. Applications are stored in an AWS S3 bucket in Ireland. A US-based NLP vendor (TextAnalytics Inc., based in San Francisco) processes the CV text to extract structured features. No Standard Contractual Clauses are in place yet with this vendor.</w:t>
      </w:r>
    </w:p>
    <w:p>
      <w:pPr>
        <w:spacing w:after="60" w:before="60"/>
      </w:pPr>
      <w:r>
        <w:t xml:space="preserve"/>
      </w:r>
    </w:p>
    <w:p>
      <w:pPr>
        <w:pBdr>
          <w:bottom w:val="single" w:color="DDDDDD" w:sz="2" w:space="1"/>
        </w:pBdr>
      </w:pPr>
      <w:r>
        <w:t xml:space="preserve"/>
      </w:r>
    </w:p>
    <w:p>
      <w:pPr>
        <w:spacing w:after="60" w:before="60"/>
      </w:pPr>
      <w:r>
        <w:t xml:space="preserve"/>
      </w:r>
    </w:p>
    <w:p>
      <w:pPr>
        <w:pStyle w:val="Heading2"/>
        <w:spacing w:after="80" w:before="240"/>
      </w:pPr>
      <w:r>
        <w:rPr>
          <w:rFonts w:ascii="Arial" w:cs="Arial" w:eastAsia="Arial" w:hAnsi="Arial"/>
          <w:b/>
          <w:bCs/>
          <w:sz w:val="26"/>
          <w:szCs w:val="26"/>
        </w:rPr>
        <w:t xml:space="preserve">Section A: Data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Categories of personal data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email, phone, address, work history, education, skills, photo (optional), date of birth (optional). No special-category data submitted deliberately, but health information or ethnicity may appear in free-text fields.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Applicants submit directly via client job portals. Some clients import from LinkedIn or job boards (e.g. StepStone).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Purpose 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Ranking applicants for a specific job opening.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Lawful basis (Purpose 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Legitimate interests (Article 6(1)(f)): the controller has a clear interest in efficient hiring; the processing is necessary; applicants reasonably expect their data to be used for ranking when they apply.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Purpose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Improving the scoring model (training / fine-tuning).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Lawful basis (Purpose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 - legal review. Consent is the safest option here. Legitimate interests is risky because applicants may not expect their data to feed model training.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Retention period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Purpose 1: 6 months after the position is filled, then deletion. Purpose 2: TBD - depends on lawful basis chosen.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Recipients and sub-processors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RecruitAI GmbH (controller), client HR departments (joint controllers or independent controllers - TBD), AWS Ireland (processor), TextAnalytics Inc. USA (processor).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International transfers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Transfer to TextAnalytics Inc. in the USA. No transfer mechanism is in place. This is a gap. SCCs under Article 46(2)(c) GDPR are the standard fix. A Transfer Impact Assessment (TIA) is also needed under Schrems II.</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6"/>
          <w:szCs w:val="26"/>
        </w:rPr>
        <w:t xml:space="preserve">Section B: Risk and Rights</w:t>
      </w:r>
    </w:p>
    <w:p>
      <w:pPr>
        <w:spacing w:after="80" w:before="80"/>
      </w:pPr>
      <w:r>
        <w:rPr>
          <w:rFonts w:ascii="Arial" w:cs="Arial" w:eastAsia="Arial" w:hAnsi="Arial"/>
          <w:b/>
          <w:bCs/>
          <w:sz w:val="22"/>
          <w:szCs w:val="22"/>
        </w:rPr>
        <w:t xml:space="preserve">1. Special-category data (Article 9)</w:t>
      </w:r>
    </w:p>
    <w:p>
      <w:pPr>
        <w:spacing w:after="80" w:before="80"/>
      </w:pPr>
      <w:r>
        <w:rPr>
          <w:rFonts w:ascii="Arial" w:cs="Arial" w:eastAsia="Arial" w:hAnsi="Arial"/>
          <w:sz w:val="22"/>
          <w:szCs w:val="22"/>
        </w:rPr>
        <w:t xml:space="preserve">No Article 9 data is collected on purpose. But free-text CVs often reveal health conditions, disability status, religion, or ethnic origin. The scoring model may infer or weight these indirectly. This is a real risk. The client should test the model for proxy discrimination and document the test results.</w:t>
      </w:r>
    </w:p>
    <w:p>
      <w:pPr>
        <w:spacing w:after="60" w:before="60"/>
      </w:pPr>
      <w:r>
        <w:t xml:space="preserve"/>
      </w:r>
    </w:p>
    <w:p>
      <w:pPr>
        <w:spacing w:after="80" w:before="80"/>
      </w:pPr>
      <w:r>
        <w:rPr>
          <w:rFonts w:ascii="Arial" w:cs="Arial" w:eastAsia="Arial" w:hAnsi="Arial"/>
          <w:b/>
          <w:bCs/>
          <w:sz w:val="22"/>
          <w:szCs w:val="22"/>
        </w:rPr>
        <w:t xml:space="preserve">2. Automated decision-making (Article 22)</w:t>
      </w:r>
    </w:p>
    <w:p>
      <w:pPr>
        <w:spacing w:after="80" w:before="80"/>
      </w:pPr>
      <w:r>
        <w:rPr>
          <w:rFonts w:ascii="Arial" w:cs="Arial" w:eastAsia="Arial" w:hAnsi="Arial"/>
          <w:sz w:val="22"/>
          <w:szCs w:val="22"/>
        </w:rPr>
        <w:t xml:space="preserve">The scoring step produces a ranked shortlist. A recruiter reviews and can override it. Whether Article 22 applies depends on how much weight the recruiter actually gives to the score in practice. If the recruiter almost always follows the score, regulators may treat this as automated decision-making with significant effects. Safeguard options: ensure a genuine human review, give applicants the right to contest the score, and explain the logic on request.</w:t>
      </w:r>
    </w:p>
    <w:p>
      <w:pPr>
        <w:spacing w:after="60" w:before="60"/>
      </w:pPr>
      <w:r>
        <w:t xml:space="preserve"/>
      </w:r>
    </w:p>
    <w:p>
      <w:pPr>
        <w:spacing w:after="80" w:before="80"/>
      </w:pPr>
      <w:r>
        <w:rPr>
          <w:rFonts w:ascii="Arial" w:cs="Arial" w:eastAsia="Arial" w:hAnsi="Arial"/>
          <w:b/>
          <w:bCs/>
          <w:sz w:val="22"/>
          <w:szCs w:val="22"/>
        </w:rPr>
        <w:t xml:space="preserve">3. DPIA required?</w:t>
      </w:r>
    </w:p>
    <w:p>
      <w:pPr>
        <w:spacing w:after="80" w:before="80"/>
      </w:pPr>
      <w:r>
        <w:rPr>
          <w:rFonts w:ascii="Arial" w:cs="Arial" w:eastAsia="Arial" w:hAnsi="Arial"/>
          <w:sz w:val="22"/>
          <w:szCs w:val="22"/>
        </w:rPr>
        <w:t xml:space="preserve">Yes. At least three EDPB criteria apply: (a) evaluation or scoring of people, (b) automated decision-making with significant effects, (c) processing of vulnerable people (job seekers are in a weaker position). A DPIA must be completed before first processing begins.</w:t>
      </w:r>
    </w:p>
    <w:p>
      <w:pPr>
        <w:spacing w:after="60" w:before="60"/>
      </w:pPr>
      <w:r>
        <w:t xml:space="preserve"/>
      </w:r>
    </w:p>
    <w:p>
      <w:pPr>
        <w:spacing w:after="80" w:before="80"/>
      </w:pPr>
      <w:r>
        <w:rPr>
          <w:rFonts w:ascii="Arial" w:cs="Arial" w:eastAsia="Arial" w:hAnsi="Arial"/>
          <w:b/>
          <w:bCs/>
          <w:sz w:val="22"/>
          <w:szCs w:val="22"/>
        </w:rPr>
        <w:t xml:space="preserve">4. Data subject friction points</w:t>
      </w:r>
    </w:p>
    <w:p>
      <w:pPr>
        <w:spacing w:after="80" w:before="80"/>
      </w:pPr>
      <w:r>
        <w:rPr>
          <w:rFonts w:ascii="Arial" w:cs="Arial" w:eastAsia="Arial" w:hAnsi="Arial"/>
          <w:sz w:val="22"/>
          <w:szCs w:val="22"/>
        </w:rPr>
        <w:t xml:space="preserve">Right of access (Article 15): applicants can ask for their score and the logic behind it. Right to object to profiling (Article 21). Right to erasure (Article 17): clients must be able to delete one applicant's data quickly, across AWS and TextAnalytics Inc. These three rights require working workflows, not just a policy document.</w:t>
      </w:r>
    </w:p>
    <w:p>
      <w:pPr>
        <w:spacing w:after="60" w:before="60"/>
      </w:pPr>
      <w:r>
        <w:t xml:space="preserve"/>
      </w:r>
    </w:p>
    <w:p>
      <w:pPr>
        <w:spacing w:after="80" w:before="80"/>
      </w:pPr>
      <w:r>
        <w:rPr>
          <w:rFonts w:ascii="Arial" w:cs="Arial" w:eastAsia="Arial" w:hAnsi="Arial"/>
          <w:b/>
          <w:bCs/>
          <w:sz w:val="22"/>
          <w:szCs w:val="22"/>
        </w:rPr>
        <w:t xml:space="preserve">5. Controller / processor split</w:t>
      </w:r>
    </w:p>
    <w:p>
      <w:pPr>
        <w:spacing w:after="80" w:before="80"/>
      </w:pPr>
      <w:r>
        <w:rPr>
          <w:rFonts w:ascii="Arial" w:cs="Arial" w:eastAsia="Arial" w:hAnsi="Arial"/>
          <w:sz w:val="22"/>
          <w:szCs w:val="22"/>
        </w:rPr>
        <w:t xml:space="preserve">RecruitAI GmbH is a data processor for its corporate clients, who are the controllers. RecruitAI GmbH is also a controller for its own model-improvement purpose. AWS Ireland and TextAnalytics Inc. are sub-processors. A Data Processing Agreement (DPA) is needed with each corporate client, with AWS, and with TextAnalytics Inc. None of the sub-processor agreements have been reviewed yet.</w:t>
      </w:r>
    </w:p>
    <w:p>
      <w:pPr>
        <w:spacing w:after="60" w:before="60"/>
      </w:pPr>
      <w:r>
        <w:t xml:space="preserve"/>
      </w:r>
    </w:p>
    <w:p>
      <w:pPr>
        <w:spacing w:after="80" w:before="80"/>
      </w:pPr>
      <w:r>
        <w:rPr>
          <w:rFonts w:ascii="Arial" w:cs="Arial" w:eastAsia="Arial" w:hAnsi="Arial"/>
          <w:b/>
          <w:bCs/>
          <w:sz w:val="22"/>
          <w:szCs w:val="22"/>
        </w:rPr>
        <w:t xml:space="preserve">6. DPA needed with which vendors?</w:t>
      </w:r>
    </w:p>
    <w:p>
      <w:pPr>
        <w:spacing w:after="80" w:before="80"/>
      </w:pPr>
      <w:r>
        <w:rPr>
          <w:rFonts w:ascii="Arial" w:cs="Arial" w:eastAsia="Arial" w:hAnsi="Arial"/>
          <w:sz w:val="22"/>
          <w:szCs w:val="22"/>
        </w:rPr>
        <w:t xml:space="preserve">DPA needed with: AWS Ireland (processor), TextAnalytics Inc. USA (processor), and each corporate HR client (either as a controller-to-controller arrangement or a controller-processor DPA depending on how RecruitAI GmbH uses client data).</w:t>
      </w:r>
    </w:p>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6"/>
          <w:szCs w:val="26"/>
        </w:rPr>
        <w:t xml:space="preserve">Section C: Law Stacking</w:t>
      </w:r>
    </w:p>
    <w:p>
      <w:pPr>
        <w:spacing w:after="80" w:before="80"/>
      </w:pPr>
      <w:r>
        <w:rPr>
          <w:rFonts w:ascii="Arial" w:cs="Arial" w:eastAsia="Arial" w:hAnsi="Arial"/>
          <w:b/>
          <w:bCs/>
          <w:sz w:val="22"/>
          <w:szCs w:val="22"/>
        </w:rPr>
        <w:t xml:space="preserve">AI Act cross-check:</w:t>
      </w:r>
    </w:p>
    <w:p>
      <w:pPr>
        <w:spacing w:after="80" w:before="80"/>
      </w:pPr>
      <w:r>
        <w:rPr>
          <w:rFonts w:ascii="Arial" w:cs="Arial" w:eastAsia="Arial" w:hAnsi="Arial"/>
          <w:sz w:val="22"/>
          <w:szCs w:val="22"/>
        </w:rPr>
        <w:t xml:space="preserve">CV screening for employment falls under the EU AI Act Annex III high-risk systems (employment, workers management, access to self-employment). RecruitAI GmbH is an AI provider and must register the system in the EU AI database, prepare technical documentation, implement a human oversight requirement, and provide a conformity assessment before market placement. The AI Act adds obligations that GDPR does not cover, particularly on transparency to deployers and logging of system outputs.</w:t>
      </w:r>
    </w:p>
    <w:p>
      <w:pPr>
        <w:spacing w:after="60" w:before="60"/>
      </w:pPr>
      <w:r>
        <w:t xml:space="preserve"/>
      </w:r>
    </w:p>
    <w:p>
      <w:pPr>
        <w:spacing w:after="80" w:before="80"/>
      </w:pPr>
      <w:r>
        <w:rPr>
          <w:rFonts w:ascii="Arial" w:cs="Arial" w:eastAsia="Arial" w:hAnsi="Arial"/>
          <w:b/>
          <w:bCs/>
          <w:sz w:val="22"/>
          <w:szCs w:val="22"/>
        </w:rPr>
        <w:t xml:space="preserve">ePrivacy check:</w:t>
      </w:r>
    </w:p>
    <w:p>
      <w:pPr>
        <w:spacing w:after="80" w:before="80"/>
      </w:pPr>
      <w:r>
        <w:rPr>
          <w:rFonts w:ascii="Arial" w:cs="Arial" w:eastAsia="Arial" w:hAnsi="Arial"/>
          <w:sz w:val="22"/>
          <w:szCs w:val="22"/>
        </w:rPr>
        <w:t xml:space="preserve">No cookies or tracking pixels are involved in the core CV processing workflow. If the client's job portal uses analytics cookies, ePrivacy Directive consent rules apply separately. This lab focuses on the CV data processing, so ePrivacy is not the primary concern here.</w:t>
      </w:r>
    </w:p>
    <w:p>
      <w:pPr>
        <w:spacing w:after="60" w:before="60"/>
      </w:pPr>
      <w:r>
        <w:t xml:space="preserve"/>
      </w:r>
    </w:p>
    <w:p>
      <w:pPr>
        <w:spacing w:after="80" w:before="80"/>
      </w:pPr>
      <w:r>
        <w:rPr>
          <w:rFonts w:ascii="Arial" w:cs="Arial" w:eastAsia="Arial" w:hAnsi="Arial"/>
          <w:b/>
          <w:bCs/>
          <w:sz w:val="22"/>
          <w:szCs w:val="22"/>
        </w:rPr>
        <w:t xml:space="preserve">Data Act check:</w:t>
      </w:r>
    </w:p>
    <w:p>
      <w:pPr>
        <w:spacing w:after="80" w:before="80"/>
      </w:pPr>
      <w:r>
        <w:rPr>
          <w:rFonts w:ascii="Arial" w:cs="Arial" w:eastAsia="Arial" w:hAnsi="Arial"/>
          <w:sz w:val="22"/>
          <w:szCs w:val="22"/>
        </w:rPr>
        <w:t xml:space="preserve">Not applicable. No IoT or connected device data is involved.</w:t>
      </w:r>
    </w:p>
    <w:p>
      <w:pPr>
        <w:spacing w:after="60" w:before="60"/>
      </w:pPr>
      <w:r>
        <w:t xml:space="preserve"/>
      </w:r>
    </w:p>
    <w:p>
      <w:r>
        <w:br w:type="page"/>
      </w:r>
    </w:p>
    <w:p>
      <w:pPr>
        <w:pStyle w:val="Heading1"/>
        <w:spacing w:after="120" w:before="360"/>
      </w:pPr>
      <w:r>
        <w:rPr>
          <w:rFonts w:ascii="Arial" w:cs="Arial" w:eastAsia="Arial" w:hAnsi="Arial"/>
          <w:b/>
          <w:bCs/>
          <w:sz w:val="32"/>
          <w:szCs w:val="32"/>
        </w:rPr>
        <w:t xml:space="preserve">Part 2: Client Recommendation Memo</w:t>
      </w:r>
    </w:p>
    <w:p>
      <w:pPr>
        <w:spacing w:after="80" w:before="80"/>
      </w:pPr>
      <w:r>
        <w:rPr>
          <w:rFonts w:ascii="Arial" w:cs="Arial" w:eastAsia="Arial" w:hAnsi="Arial"/>
          <w:b/>
          <w:bCs/>
          <w:sz w:val="22"/>
          <w:szCs w:val="22"/>
        </w:rPr>
        <w:t xml:space="preserve">To: </w:t>
      </w:r>
      <w:r>
        <w:rPr>
          <w:rFonts w:ascii="Arial" w:cs="Arial" w:eastAsia="Arial" w:hAnsi="Arial"/>
          <w:sz w:val="22"/>
          <w:szCs w:val="22"/>
        </w:rPr>
        <w:t xml:space="preserve">RecruitAI GmbH Legal / CTO</w:t>
      </w:r>
    </w:p>
    <w:p>
      <w:pPr>
        <w:spacing w:after="80" w:before="80"/>
      </w:pPr>
      <w:r>
        <w:rPr>
          <w:rFonts w:ascii="Arial" w:cs="Arial" w:eastAsia="Arial" w:hAnsi="Arial"/>
          <w:b/>
          <w:bCs/>
          <w:sz w:val="22"/>
          <w:szCs w:val="22"/>
        </w:rPr>
        <w:t xml:space="preserve">From: </w:t>
      </w:r>
      <w:r>
        <w:rPr>
          <w:rFonts w:ascii="Arial" w:cs="Arial" w:eastAsia="Arial" w:hAnsi="Arial"/>
          <w:sz w:val="22"/>
          <w:szCs w:val="22"/>
        </w:rPr>
        <w:t xml:space="preserve">Student Name, GDPR Audit Consultant</w:t>
      </w:r>
    </w:p>
    <w:p>
      <w:pPr>
        <w:spacing w:after="80" w:before="80"/>
      </w:pPr>
      <w:r>
        <w:rPr>
          <w:rFonts w:ascii="Arial" w:cs="Arial" w:eastAsia="Arial" w:hAnsi="Arial"/>
          <w:b/>
          <w:bCs/>
          <w:sz w:val="22"/>
          <w:szCs w:val="22"/>
        </w:rPr>
        <w:t xml:space="preserve">Date: </w:t>
      </w:r>
      <w:r>
        <w:rPr>
          <w:rFonts w:ascii="Arial" w:cs="Arial" w:eastAsia="Arial" w:hAnsi="Arial"/>
          <w:sz w:val="22"/>
          <w:szCs w:val="22"/>
        </w:rPr>
        <w:t xml:space="preserve">May 2026</w:t>
      </w:r>
    </w:p>
    <w:p>
      <w:pPr>
        <w:spacing w:after="80" w:before="80"/>
      </w:pPr>
      <w:r>
        <w:rPr>
          <w:rFonts w:ascii="Arial" w:cs="Arial" w:eastAsia="Arial" w:hAnsi="Arial"/>
          <w:b/>
          <w:bCs/>
          <w:sz w:val="22"/>
          <w:szCs w:val="22"/>
        </w:rPr>
        <w:t xml:space="preserve">Re: </w:t>
      </w:r>
      <w:r>
        <w:rPr>
          <w:rFonts w:ascii="Arial" w:cs="Arial" w:eastAsia="Arial" w:hAnsi="Arial"/>
          <w:sz w:val="22"/>
          <w:szCs w:val="22"/>
        </w:rPr>
        <w:t xml:space="preserve">GDPR compliance status of the CV screening tool</w:t>
      </w:r>
    </w:p>
    <w:p>
      <w:pPr>
        <w:spacing w:after="60" w:before="60"/>
      </w:pPr>
      <w:r>
        <w:t xml:space="preserve"/>
      </w:r>
    </w:p>
    <w:p>
      <w:pPr>
        <w:pBdr>
          <w:bottom w:val="single" w:color="DDDDDD" w:sz="2" w:space="1"/>
        </w:pBdr>
      </w:pPr>
      <w:r>
        <w:t xml:space="preserve"/>
      </w:r>
    </w:p>
    <w:p>
      <w:pPr>
        <w:spacing w:after="60" w:before="60"/>
      </w:pPr>
      <w:r>
        <w:t xml:space="preserve"/>
      </w:r>
    </w:p>
    <w:p>
      <w:pPr>
        <w:pStyle w:val="Heading2"/>
        <w:spacing w:after="80" w:before="240"/>
      </w:pPr>
      <w:r>
        <w:rPr>
          <w:rFonts w:ascii="Arial" w:cs="Arial" w:eastAsia="Arial" w:hAnsi="Arial"/>
          <w:b/>
          <w:bCs/>
          <w:sz w:val="26"/>
          <w:szCs w:val="26"/>
        </w:rPr>
        <w:t xml:space="preserve">Bottom line</w:t>
      </w:r>
    </w:p>
    <w:p>
      <w:pPr>
        <w:spacing w:after="80" w:before="80"/>
      </w:pPr>
      <w:r>
        <w:rPr>
          <w:rFonts w:ascii="Arial" w:cs="Arial" w:eastAsia="Arial" w:hAnsi="Arial"/>
          <w:sz w:val="22"/>
          <w:szCs w:val="22"/>
        </w:rPr>
        <w:t xml:space="preserve">Go with conditions. The business case for this tool is reasonable, and the core processing purpose has a defensible lawful basis. But you cannot go live in the current setup. Two gaps make the product unlawful right now: there is no valid transfer mechanism to TextAnalytics Inc. in the USA, and no DPIA has been conducted. Both must be fixed before the first production applicant's data is processed.</w:t>
      </w:r>
    </w:p>
    <w:p>
      <w:pPr>
        <w:spacing w:after="60" w:before="60"/>
      </w:pPr>
      <w:r>
        <w:t xml:space="preserve"/>
      </w:r>
    </w:p>
    <w:p>
      <w:pPr>
        <w:pStyle w:val="Heading2"/>
        <w:spacing w:after="80" w:before="240"/>
      </w:pPr>
      <w:r>
        <w:rPr>
          <w:rFonts w:ascii="Arial" w:cs="Arial" w:eastAsia="Arial" w:hAnsi="Arial"/>
          <w:b/>
          <w:bCs/>
          <w:sz w:val="26"/>
          <w:szCs w:val="26"/>
        </w:rPr>
        <w:t xml:space="preserve">Top three actions</w:t>
      </w:r>
    </w:p>
    <w:p>
      <w:pPr>
        <w:spacing w:after="80" w:before="80"/>
      </w:pPr>
      <w:r>
        <w:rPr>
          <w:rFonts w:ascii="Arial" w:cs="Arial" w:eastAsia="Arial" w:hAnsi="Arial"/>
          <w:b w:val="false"/>
          <w:bCs w:val="false"/>
          <w:sz w:val="22"/>
          <w:szCs w:val="22"/>
        </w:rPr>
        <w:t xml:space="preserve">1. Sign a DPA with TextAnalytics Inc. and put SCCs in place, supported by a Transfer Impact Assessment.</w:t>
      </w:r>
    </w:p>
    <w:p>
      <w:pPr>
        <w:spacing w:after="80" w:before="80"/>
      </w:pPr>
      <w:r>
        <w:rPr>
          <w:rFonts w:ascii="Arial" w:cs="Arial" w:eastAsia="Arial" w:hAnsi="Arial"/>
          <w:sz w:val="22"/>
          <w:szCs w:val="22"/>
        </w:rPr>
        <w:t xml:space="preserve">This is the most urgent gap. Every CV your tool processes gets sent to a US vendor with no legal transfer mechanism. Under GDPR Article 44, this transfer is unlawful today. Use the EU Commission's 2021 Standard Contractual Clauses. Attach a TIA that documents whether US surveillance law (FISA 702, EO 12333) creates an unacceptable risk for this data. Do this first, before anything else.</w:t>
      </w:r>
    </w:p>
    <w:p>
      <w:pPr>
        <w:spacing w:after="60" w:before="60"/>
      </w:pPr>
      <w:r>
        <w:t xml:space="preserve"/>
      </w:r>
    </w:p>
    <w:p>
      <w:pPr>
        <w:spacing w:after="80" w:before="80"/>
      </w:pPr>
      <w:r>
        <w:rPr>
          <w:rFonts w:ascii="Arial" w:cs="Arial" w:eastAsia="Arial" w:hAnsi="Arial"/>
          <w:b w:val="false"/>
          <w:bCs w:val="false"/>
          <w:sz w:val="22"/>
          <w:szCs w:val="22"/>
        </w:rPr>
        <w:t xml:space="preserve">2. Complete a DPIA before first processing.</w:t>
      </w:r>
    </w:p>
    <w:p>
      <w:pPr>
        <w:spacing w:after="80" w:before="80"/>
      </w:pPr>
      <w:r>
        <w:rPr>
          <w:rFonts w:ascii="Arial" w:cs="Arial" w:eastAsia="Arial" w:hAnsi="Arial"/>
          <w:sz w:val="22"/>
          <w:szCs w:val="22"/>
        </w:rPr>
        <w:t xml:space="preserve">Under Article 35, a DPIA is mandatory here. A DPIA covers: what data flows where, why it is necessary, what the risks are, and how you reduce them. The DPIA also forces you to decide the lawful basis for model training (Purpose 2). I recommend getting external DPO advice on this, because the German DPA (BfDI) takes a strict line on employment-related AI.</w:t>
      </w:r>
    </w:p>
    <w:p>
      <w:pPr>
        <w:spacing w:after="60" w:before="60"/>
      </w:pPr>
      <w:r>
        <w:t xml:space="preserve"/>
      </w:r>
    </w:p>
    <w:p>
      <w:pPr>
        <w:spacing w:after="80" w:before="80"/>
      </w:pPr>
      <w:r>
        <w:rPr>
          <w:rFonts w:ascii="Arial" w:cs="Arial" w:eastAsia="Arial" w:hAnsi="Arial"/>
          <w:b w:val="false"/>
          <w:bCs w:val="false"/>
          <w:sz w:val="22"/>
          <w:szCs w:val="22"/>
        </w:rPr>
        <w:t xml:space="preserve">3. Build and test a data subject rights workflow.</w:t>
      </w:r>
    </w:p>
    <w:p>
      <w:pPr>
        <w:spacing w:after="80" w:before="80"/>
      </w:pPr>
      <w:r>
        <w:rPr>
          <w:rFonts w:ascii="Arial" w:cs="Arial" w:eastAsia="Arial" w:hAnsi="Arial"/>
          <w:sz w:val="22"/>
          <w:szCs w:val="22"/>
        </w:rPr>
        <w:t xml:space="preserve">Applicants can ask for their score and the logic behind it (Article 15), can object to profiling (Article 21), and can request deletion (Article 17). Right now you have no workflow to handle these within the 30-day limit across AWS and TextAnalytics Inc. Define who handles each request, how data is located across systems, and how deletion is confirmed. Test it before launch.</w:t>
      </w:r>
    </w:p>
    <w:p>
      <w:pPr>
        <w:spacing w:after="60" w:before="60"/>
      </w:pPr>
      <w:r>
        <w:t xml:space="preserve"/>
      </w:r>
    </w:p>
    <w:p>
      <w:pPr>
        <w:pStyle w:val="Heading2"/>
        <w:spacing w:after="80" w:before="240"/>
      </w:pPr>
      <w:r>
        <w:rPr>
          <w:rFonts w:ascii="Arial" w:cs="Arial" w:eastAsia="Arial" w:hAnsi="Arial"/>
          <w:b/>
          <w:bCs/>
          <w:sz w:val="26"/>
          <w:szCs w:val="26"/>
        </w:rPr>
        <w:t xml:space="preserve">Residual risks</w:t>
      </w:r>
    </w:p>
    <w:p>
      <w:pPr>
        <w:spacing w:after="80" w:before="80"/>
      </w:pPr>
      <w:r>
        <w:rPr>
          <w:rFonts w:ascii="Arial" w:cs="Arial" w:eastAsia="Arial" w:hAnsi="Arial"/>
          <w:sz w:val="22"/>
          <w:szCs w:val="22"/>
        </w:rPr>
        <w:t xml:space="preserve">These risks remain even after you complete all three actions above.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Proxy discrimination via the scoring model. The NLP model may learn to penalise patterns correlated with gender, age, or ethnic background, even without using those fields directly. SCCs and a DPIA do not fix this. The AI Act requires bias testing, but even that testing will not guarantee clean results. You should run disparity analysis on outputs before launch and repeat it periodically.</w:t>
      </w:r>
    </w:p>
    <w:p>
      <w:pPr>
        <w:pStyle w:val="ListParagraph"/>
        <w:numPr>
          <w:ilvl w:val="0"/>
          <w:numId w:val="2"/>
        </w:numPr>
        <w:spacing w:after="60" w:before="60"/>
      </w:pPr>
      <w:r>
        <w:rPr>
          <w:rFonts w:ascii="Arial" w:cs="Arial" w:eastAsia="Arial" w:hAnsi="Arial"/>
          <w:sz w:val="22"/>
          <w:szCs w:val="22"/>
        </w:rPr>
        <w:t xml:space="preserve">Uncertain Article 22 exposure. Whether a recruiter's use of the score counts as a meaningful human review depends on actual behaviour, not policy. If your recruiter overrides the score in fewer than 5% of cases, a DPA (Datenschutzbehörde) inspection could conclude that the human review is formal rather than real. You cannot fully eliminate this risk through documentation alone.</w:t>
      </w:r>
    </w:p>
    <w:p>
      <w:pPr>
        <w:pStyle w:val="ListParagraph"/>
        <w:numPr>
          <w:ilvl w:val="0"/>
          <w:numId w:val="2"/>
        </w:numPr>
        <w:spacing w:after="60" w:before="60"/>
      </w:pPr>
      <w:r>
        <w:rPr>
          <w:rFonts w:ascii="Arial" w:cs="Arial" w:eastAsia="Arial" w:hAnsi="Arial"/>
          <w:sz w:val="22"/>
          <w:szCs w:val="22"/>
        </w:rPr>
        <w:t xml:space="preserve">Model training lawful basis uncertainty. If you want to use applicant data to improve the model, consent is the safest basis, but consent from rejected applicants is hard to obtain and easy to withdraw. The alternative, legitimate interests, is legally fragile in an employment context. This question needs a legal opinion before you build the training pipeline.</w:t>
      </w:r>
    </w:p>
    <w:p>
      <w:pPr>
        <w:spacing w:after="60" w:before="60"/>
      </w:pPr>
      <w:r>
        <w:t xml:space="preserve"/>
      </w:r>
    </w:p>
    <w:p>
      <w:pPr>
        <w:spacing w:after="60" w:before="60"/>
      </w:pPr>
      <w:r>
        <w:t xml:space="preserve"/>
      </w:r>
    </w:p>
    <w:p>
      <w:pPr>
        <w:pBdr>
          <w:bottom w:val="single" w:color="DDDDDD" w:sz="2" w:space="1"/>
        </w:pBdr>
      </w:pPr>
      <w:r>
        <w:t xml:space="preserve"/>
      </w:r>
    </w:p>
    <w:p>
      <w:pPr>
        <w:spacing w:after="60" w:before="60"/>
      </w:pPr>
      <w:r>
        <w:t xml:space="preserve"/>
      </w:r>
    </w:p>
    <w:p>
      <w:pPr>
        <w:pStyle w:val="Heading1"/>
        <w:spacing w:after="120" w:before="360"/>
      </w:pPr>
      <w:r>
        <w:rPr>
          <w:rFonts w:ascii="Arial" w:cs="Arial" w:eastAsia="Arial" w:hAnsi="Arial"/>
          <w:b/>
          <w:bCs/>
          <w:sz w:val="32"/>
          <w:szCs w:val="32"/>
        </w:rPr>
        <w:t xml:space="preserve">Peer Review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Score 1-3</w:t>
            </w:r>
          </w:p>
        </w:tc>
        <w:tc>
          <w:tcPr>
            <w:tcW w:type="dxa" w:w="50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Comment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 bottom-line recommendation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sz w:val="20"/>
                <w:szCs w:val="20"/>
              </w:rPr>
              <w:t xml:space="preserve">3</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 with conditions” is clear and easy to understand. The one-sentence reason (two unlawful gaps) tells me exactly why I cannot go live now. Good.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Lawful basis selection is justified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Purpose 1 lawful basis (legitimate interests) is explained with the 3-step test. Purpose 2 is marked TBD, which is honest. I would have liked one sentence more on why consent is hard to get here.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 actions are specific and sequenced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three actions have a named party, a legal reference, and a reason. Putting SCCs first makes sense. Good sequence.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Residual risks are named honestly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Three risks, all specific. The 5% override example for Article 22 is a nice concrete detail. The model training risk is honest.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Law stacking is addressed (AI Act / ePrivacy)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AI Act classification is correct and the added obligations are named. ePrivacy is dismissed quickly. A short note on what happens if the job portal uses cookies would make this stronger.</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6"/>
          <w:szCs w:val="26"/>
        </w:rPr>
        <w:t xml:space="preserve">Reviewer note (as client)</w:t>
      </w:r>
    </w:p>
    <w:p>
      <w:pPr>
        <w:spacing w:after="80" w:before="80"/>
      </w:pPr>
      <w:r>
        <w:rPr>
          <w:rFonts w:ascii="Arial" w:cs="Arial" w:eastAsia="Arial" w:hAnsi="Arial"/>
          <w:sz w:val="22"/>
          <w:szCs w:val="22"/>
        </w:rPr>
        <w:t xml:space="preserve">Reviewer: Peer Student | Role: acting as client (RecruitAI GmbH CTO)</w:t>
      </w:r>
    </w:p>
    <w:p>
      <w:pPr>
        <w:spacing w:after="60" w:before="60"/>
      </w:pPr>
      <w:r>
        <w:t xml:space="preserve"/>
      </w:r>
    </w:p>
    <w:p>
      <w:pPr>
        <w:spacing w:after="80" w:before="80"/>
      </w:pPr>
      <w:r>
        <w:rPr>
          <w:rFonts w:ascii="Arial" w:cs="Arial" w:eastAsia="Arial" w:hAnsi="Arial"/>
          <w:color w:val="AAAAAA"/>
          <w:sz w:val="22"/>
          <w:szCs w:val="22"/>
        </w:rPr>
        <w:t xml:space="preserve">As the client, I accept the main recommendation. The SCCs gap is something we did not know about, so that is useful. One concern: the memo says Purpose 2 lawful basis is “TBD” but does not tell me how long that review will take or who should do it. I would ask the consultant to add one sentence with a suggested next step, for example “engage external DPO within 4 weeks”, so we know what to do on Monday morning.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2026-05-27T07:17:31.585Z</dcterms:created>
  <dcterms:modified xsi:type="dcterms:W3CDTF">2026-05-27T07:17:31.585Z</dcterms:modified>
</cp:coreProperties>
</file>

<file path=docProps/custom.xml><?xml version="1.0" encoding="utf-8"?>
<Properties xmlns="http://schemas.openxmlformats.org/officeDocument/2006/custom-properties" xmlns:vt="http://schemas.openxmlformats.org/officeDocument/2006/docPropsVTypes"/>
</file>