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8"/>
          <w:szCs w:val="48"/>
        </w:rPr>
        <w:t xml:space="preserve">GDPR &amp; EU Data Law</w:t>
      </w:r>
    </w:p>
    <w:p>
      <w:pPr>
        <w:spacing w:after="400" w:before="0"/>
        <w:jc w:val="center"/>
      </w:pPr>
      <w:r>
        <w:rPr>
          <w:rFonts w:ascii="Arial" w:cs="Arial" w:eastAsia="Arial" w:hAnsi="Arial"/>
          <w:color w:val="555555"/>
          <w:sz w:val="28"/>
          <w:szCs w:val="28"/>
        </w:rPr>
        <w:t xml:space="preserve">Discussion Preparation — Model Answers</w:t>
      </w:r>
    </w:p>
    <w:p>
      <w:pPr>
        <w:pStyle w:val="Heading1"/>
        <w:spacing w:after="160" w:before="320"/>
      </w:pPr>
      <w:r>
        <w:rPr>
          <w:rFonts w:ascii="Arial" w:cs="Arial" w:eastAsia="Arial" w:hAnsi="Arial"/>
          <w:b/>
          <w:bCs/>
          <w:color w:val="1F3864"/>
          <w:sz w:val="32"/>
          <w:szCs w:val="32"/>
        </w:rPr>
        <w:t xml:space="preserve">Part 1 — Scope and Personal Data</w:t>
      </w:r>
    </w:p>
    <w:p>
      <w:pPr>
        <w:pStyle w:val="Heading2"/>
        <w:spacing w:after="120" w:before="240"/>
      </w:pPr>
      <w:r>
        <w:rPr>
          <w:rFonts w:ascii="Arial" w:cs="Arial" w:eastAsia="Arial" w:hAnsi="Arial"/>
          <w:b/>
          <w:bCs/>
          <w:color w:val="2E4A7A"/>
          <w:sz w:val="26"/>
          <w:szCs w:val="26"/>
        </w:rPr>
        <w:t xml:space="preserve">Q1. Does GDPR apply to a US company with no EU offices collecting data from EU users?</w:t>
      </w:r>
    </w:p>
    <w:p>
      <w:pPr>
        <w:spacing w:after="100" w:before="60"/>
      </w:pPr>
      <w:r>
        <w:rPr>
          <w:rFonts w:ascii="Arial" w:cs="Arial" w:eastAsia="Arial" w:hAnsi="Arial"/>
          <w:sz w:val="22"/>
          <w:szCs w:val="22"/>
        </w:rPr>
        <w:t xml:space="preserve">Yes. GDPR applies on the basis of the establishment principle and, critically, the targeting principle (Article 3(2)). A company does not need a physical presence in the EU: if it offers goods or services to EU data subjects, or monitors their behaviour (e.g. tracking website visitors in the EU), GDPR applies. The company is required to designate an EU representative under Article 27. Non-compliance can result in fines of up to 4% of global annual turnover even where the company has no EU assets.</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Q2. Is each item personal data under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Personal data?</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and email 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identifies a natural person — classic personal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Singled out by CJEU in Breyer: an IP can identify a person with ISP data, making it personal data (even dynamic IPs in most contexts).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Pseudonymised user ID (key held separately)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personal data under GDPR. The key exists and re-identification is possible; pseudonymisation reduces risk but does not remove the personal data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sensor data from a factory robot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B1C1C"/>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Relates to a machine, not a natural person. No personal data unless it incidentally captures worker location or 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trained on customer chat logs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LIKELY 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Regulators (e.g. Italian DPA) increasingly treat model weights derived from personal data as personal data, or the training itself as processing. Treat with caution.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Q3. Pseudonymisation vs Anonymisation — and why it matters for AI</w:t>
      </w:r>
    </w:p>
    <w:p>
      <w:pPr>
        <w:spacing w:after="100" w:before="60"/>
      </w:pPr>
      <w:r>
        <w:rPr>
          <w:rFonts w:ascii="Arial" w:cs="Arial" w:eastAsia="Arial" w:hAnsi="Arial"/>
          <w:sz w:val="22"/>
          <w:szCs w:val="22"/>
        </w:rPr>
        <w:t xml:space="preserve">Pseudonymisation replaces direct identifiers with a key or token, but re-identification remains possible if the key is available. The data is still personal data under GDPR and all obligations apply — pseudonymisation is a risk-reduction measure, not an exemption.</w:t>
      </w:r>
    </w:p>
    <w:p>
      <w:pPr>
        <w:spacing w:after="100" w:before="60"/>
      </w:pPr>
      <w:r>
        <w:rPr>
          <w:rFonts w:ascii="Arial" w:cs="Arial" w:eastAsia="Arial" w:hAnsi="Arial"/>
          <w:sz w:val="22"/>
          <w:szCs w:val="22"/>
        </w:rPr>
        <w:t xml:space="preserve">Anonymisation irreversibly removes all means of identification such that re-identification is not reasonably possible. Truly anonymised data falls outside GDPR entirely.</w:t>
      </w:r>
    </w:p>
    <w:p>
      <w:pPr>
        <w:spacing w:after="100" w:before="60"/>
      </w:pPr>
      <w:r>
        <w:rPr>
          <w:rFonts w:ascii="Arial" w:cs="Arial" w:eastAsia="Arial" w:hAnsi="Arial"/>
          <w:sz w:val="22"/>
          <w:szCs w:val="22"/>
        </w:rPr>
        <w:t xml:space="preserve">For AI projects this distinction is critical in two ways. First, stripping obvious identifiers (names, emails) from training data and calling it 'anonymised' is almost always wrong — context, combinations of fields, or the model weights themselves may allow re-identification (the linkage problem). Second, if data is merely pseudonymised, the full framework of lawful basis, rights, and DPIAs continues to apply, which has significant implications for training data pipelines.</w:t>
      </w:r>
    </w:p>
    <w:p>
      <w:pPr>
        <w:pStyle w:val="Heading1"/>
        <w:spacing w:after="160" w:before="320"/>
      </w:pPr>
      <w:r>
        <w:rPr>
          <w:rFonts w:ascii="Arial" w:cs="Arial" w:eastAsia="Arial" w:hAnsi="Arial"/>
          <w:b/>
          <w:bCs/>
          <w:color w:val="1F3864"/>
          <w:sz w:val="32"/>
          <w:szCs w:val="32"/>
        </w:rPr>
        <w:t xml:space="preserve">Part 2 — Roles and Responsibilities</w:t>
      </w:r>
    </w:p>
    <w:p>
      <w:pPr>
        <w:pStyle w:val="Heading2"/>
        <w:spacing w:after="120" w:before="240"/>
      </w:pPr>
      <w:r>
        <w:rPr>
          <w:rFonts w:ascii="Arial" w:cs="Arial" w:eastAsia="Arial" w:hAnsi="Arial"/>
          <w:b/>
          <w:bCs/>
          <w:color w:val="2E4A7A"/>
          <w:sz w:val="26"/>
          <w:szCs w:val="26"/>
        </w:rPr>
        <w:t xml:space="preserve">Q4. Controller vs Processor</w:t>
      </w:r>
    </w:p>
    <w:p>
      <w:pPr>
        <w:spacing w:after="100" w:before="60"/>
      </w:pPr>
      <w:r>
        <w:rPr>
          <w:rFonts w:ascii="Arial" w:cs="Arial" w:eastAsia="Arial" w:hAnsi="Arial"/>
          <w:sz w:val="22"/>
          <w:szCs w:val="22"/>
        </w:rPr>
        <w:t xml:space="preserve">A data controller determines the purposes and means of processing personal data — i.e. the 'why' and the 'how'. A data processor processes data on behalf of and under the instructions of a controller. Controllers bear primary legal responsibility; processors have more limited obligations but are directly liable for processor-specific duties (e.g. security, sub-processor restrictions). The distinction matters because it determines who is liable, who owes duties to data subjects, and what contracts must exist.</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Q5. Retail chatbot using a US-hosted LLM API</w:t>
      </w:r>
    </w:p>
    <w:p>
      <w:pPr>
        <w:spacing w:after="100" w:before="60"/>
      </w:pPr>
      <w:r>
        <w:rPr>
          <w:rFonts w:ascii="Arial" w:cs="Arial" w:eastAsia="Arial" w:hAnsi="Arial"/>
          <w:sz w:val="22"/>
          <w:szCs w:val="22"/>
        </w:rPr>
        <w:t xml:space="preserve">Controller: The retailer — it decides to deploy a customer service chatbot, determines what data is collected, and sets the business purpose.</w:t>
      </w:r>
    </w:p>
    <w:p>
      <w:pPr>
        <w:spacing w:after="100" w:before="60"/>
      </w:pPr>
      <w:r>
        <w:rPr>
          <w:rFonts w:ascii="Arial" w:cs="Arial" w:eastAsia="Arial" w:hAnsi="Arial"/>
          <w:sz w:val="22"/>
          <w:szCs w:val="22"/>
        </w:rPr>
        <w:t xml:space="preserve">Processor: The US LLM API provider — it processes the customer data (conversations) purely on behalf of and under instructions from the retailer.</w:t>
      </w:r>
    </w:p>
    <w:p>
      <w:pPr>
        <w:spacing w:after="100" w:before="60"/>
      </w:pPr>
      <w:r>
        <w:rPr>
          <w:rFonts w:ascii="Arial" w:cs="Arial" w:eastAsia="Arial" w:hAnsi="Arial"/>
          <w:sz w:val="22"/>
          <w:szCs w:val="22"/>
        </w:rPr>
        <w:t xml:space="preserve">Required document: A Data Processing Agreement (DPA) compliant with Article 28 GDPR, specifying the subject matter, duration, nature, and purpose of processing, the type of data and data subjects, and the controller's instructions. Because the processor is US-based, a valid international transfer mechanism (e.g. Standard Contractual Clauses) must also be incorporated or referenced.</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Q6. What role is the consultant likely to have — controller or processor?</w:t>
      </w:r>
    </w:p>
    <w:p>
      <w:pPr>
        <w:spacing w:after="100" w:before="60"/>
      </w:pPr>
      <w:r>
        <w:rPr>
          <w:rFonts w:ascii="Arial" w:cs="Arial" w:eastAsia="Arial" w:hAnsi="Arial"/>
          <w:sz w:val="22"/>
          <w:szCs w:val="22"/>
        </w:rPr>
        <w:t xml:space="preserve">In most AI consulting engagements the consultant (or their firm) will be a processor — they access and process client personal data under the client's instructions in order to deliver the project. This means the consultant must: enter into a DPA with the client controller; process data only on documented instructions; implement appropriate technical and organisational security measures; not engage sub-processors without authorisation; assist the controller in fulfilling data subject rights; and delete or return data at project end. In rare circumstances (e.g. if the consultant independently determines how personal data is used for their own purposes), they could become a joint or sole controller with much heavier obligations.</w:t>
      </w:r>
    </w:p>
    <w:p>
      <w:pPr>
        <w:pStyle w:val="Heading1"/>
        <w:spacing w:after="160" w:before="320"/>
      </w:pPr>
      <w:r>
        <w:rPr>
          <w:rFonts w:ascii="Arial" w:cs="Arial" w:eastAsia="Arial" w:hAnsi="Arial"/>
          <w:b/>
          <w:bCs/>
          <w:color w:val="1F3864"/>
          <w:sz w:val="32"/>
          <w:szCs w:val="32"/>
        </w:rPr>
        <w:t xml:space="preserve">Part 3 — The Seven Principles and Lawful Bases</w:t>
      </w:r>
    </w:p>
    <w:p>
      <w:pPr>
        <w:pStyle w:val="Heading2"/>
        <w:spacing w:after="120" w:before="240"/>
      </w:pPr>
      <w:r>
        <w:rPr>
          <w:rFonts w:ascii="Arial" w:cs="Arial" w:eastAsia="Arial" w:hAnsi="Arial"/>
          <w:b/>
          <w:bCs/>
          <w:color w:val="2E4A7A"/>
          <w:sz w:val="26"/>
          <w:szCs w:val="26"/>
        </w:rPr>
        <w:t xml:space="preserve">Q7. The seven GDPR principles (Article 5)</w:t>
      </w:r>
    </w:p>
    <w:p>
      <w:pPr>
        <w:pStyle w:val="ListParagraph"/>
        <w:numPr>
          <w:ilvl w:val="0"/>
          <w:numId w:val="2"/>
        </w:numPr>
        <w:spacing w:after="40" w:before="40"/>
      </w:pPr>
      <w:r>
        <w:rPr>
          <w:rFonts w:ascii="Arial" w:cs="Arial" w:eastAsia="Arial" w:hAnsi="Arial"/>
          <w:sz w:val="22"/>
          <w:szCs w:val="22"/>
        </w:rPr>
        <w:t xml:space="preserve">Lawfulness, fairness, and transparency</w:t>
      </w:r>
    </w:p>
    <w:p>
      <w:pPr>
        <w:pStyle w:val="ListParagraph"/>
        <w:numPr>
          <w:ilvl w:val="0"/>
          <w:numId w:val="2"/>
        </w:numPr>
        <w:spacing w:after="40" w:before="40"/>
      </w:pPr>
      <w:r>
        <w:rPr>
          <w:rFonts w:ascii="Arial" w:cs="Arial" w:eastAsia="Arial" w:hAnsi="Arial"/>
          <w:sz w:val="22"/>
          <w:szCs w:val="22"/>
        </w:rPr>
        <w:t xml:space="preserve">Purpose limitation</w:t>
      </w:r>
    </w:p>
    <w:p>
      <w:pPr>
        <w:pStyle w:val="ListParagraph"/>
        <w:numPr>
          <w:ilvl w:val="0"/>
          <w:numId w:val="2"/>
        </w:numPr>
        <w:spacing w:after="40" w:before="40"/>
      </w:pPr>
      <w:r>
        <w:rPr>
          <w:rFonts w:ascii="Arial" w:cs="Arial" w:eastAsia="Arial" w:hAnsi="Arial"/>
          <w:sz w:val="22"/>
          <w:szCs w:val="22"/>
        </w:rPr>
        <w:t xml:space="preserve">Data minimisation</w:t>
      </w:r>
    </w:p>
    <w:p>
      <w:pPr>
        <w:pStyle w:val="ListParagraph"/>
        <w:numPr>
          <w:ilvl w:val="0"/>
          <w:numId w:val="2"/>
        </w:numPr>
        <w:spacing w:after="40" w:before="40"/>
      </w:pPr>
      <w:r>
        <w:rPr>
          <w:rFonts w:ascii="Arial" w:cs="Arial" w:eastAsia="Arial" w:hAnsi="Arial"/>
          <w:sz w:val="22"/>
          <w:szCs w:val="22"/>
        </w:rPr>
        <w:t xml:space="preserve">Accuracy</w:t>
      </w:r>
    </w:p>
    <w:p>
      <w:pPr>
        <w:pStyle w:val="ListParagraph"/>
        <w:numPr>
          <w:ilvl w:val="0"/>
          <w:numId w:val="2"/>
        </w:numPr>
        <w:spacing w:after="40" w:before="40"/>
      </w:pPr>
      <w:r>
        <w:rPr>
          <w:rFonts w:ascii="Arial" w:cs="Arial" w:eastAsia="Arial" w:hAnsi="Arial"/>
          <w:sz w:val="22"/>
          <w:szCs w:val="22"/>
        </w:rPr>
        <w:t xml:space="preserve">Storage limitation</w:t>
      </w:r>
    </w:p>
    <w:p>
      <w:pPr>
        <w:pStyle w:val="ListParagraph"/>
        <w:numPr>
          <w:ilvl w:val="0"/>
          <w:numId w:val="2"/>
        </w:numPr>
        <w:spacing w:after="40" w:before="40"/>
      </w:pPr>
      <w:r>
        <w:rPr>
          <w:rFonts w:ascii="Arial" w:cs="Arial" w:eastAsia="Arial" w:hAnsi="Arial"/>
          <w:sz w:val="22"/>
          <w:szCs w:val="22"/>
        </w:rPr>
        <w:t xml:space="preserve">Integrity and confidentiality (security)</w:t>
      </w:r>
    </w:p>
    <w:p>
      <w:pPr>
        <w:pStyle w:val="ListParagraph"/>
        <w:numPr>
          <w:ilvl w:val="0"/>
          <w:numId w:val="2"/>
        </w:numPr>
        <w:spacing w:after="40" w:before="40"/>
      </w:pPr>
      <w:r>
        <w:rPr>
          <w:rFonts w:ascii="Arial" w:cs="Arial" w:eastAsia="Arial" w:hAnsi="Arial"/>
          <w:sz w:val="22"/>
          <w:szCs w:val="22"/>
        </w:rPr>
        <w:t xml:space="preserve">Accountability</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Q8. The most commonly violated principle in AI projects</w:t>
      </w:r>
    </w:p>
    <w:p>
      <w:pPr>
        <w:spacing w:after="100" w:before="60"/>
      </w:pPr>
      <w:r>
        <w:rPr>
          <w:rFonts w:ascii="Arial" w:cs="Arial" w:eastAsia="Arial" w:hAnsi="Arial"/>
          <w:sz w:val="22"/>
          <w:szCs w:val="22"/>
        </w:rPr>
        <w:t xml:space="preserve">Purpose limitation. The classic trap: an organisation collects personal data for one purpose (e.g. resolving customer complaints) and then repurposes it — without a separate legal basis or compatibility assessment — to train an AI model. The original collection was lawful; the new use is not, because data subjects had no reasonable expectation their support conversations would train a commercial model.</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Q9. The six lawful bases for processing (Article 6)</w:t>
      </w:r>
    </w:p>
    <w:p>
      <w:pPr>
        <w:pStyle w:val="ListParagraph"/>
        <w:numPr>
          <w:ilvl w:val="0"/>
          <w:numId w:val="2"/>
        </w:numPr>
        <w:spacing w:after="40" w:before="40"/>
      </w:pPr>
      <w:r>
        <w:rPr>
          <w:rFonts w:ascii="Arial" w:cs="Arial" w:eastAsia="Arial" w:hAnsi="Arial"/>
          <w:sz w:val="22"/>
          <w:szCs w:val="22"/>
        </w:rPr>
        <w:t xml:space="preserve">Consent</w:t>
      </w:r>
    </w:p>
    <w:p>
      <w:pPr>
        <w:pStyle w:val="ListParagraph"/>
        <w:numPr>
          <w:ilvl w:val="0"/>
          <w:numId w:val="2"/>
        </w:numPr>
        <w:spacing w:after="40" w:before="40"/>
      </w:pPr>
      <w:r>
        <w:rPr>
          <w:rFonts w:ascii="Arial" w:cs="Arial" w:eastAsia="Arial" w:hAnsi="Arial"/>
          <w:sz w:val="22"/>
          <w:szCs w:val="22"/>
        </w:rPr>
        <w:t xml:space="preserve">Performance of a contract</w:t>
      </w:r>
    </w:p>
    <w:p>
      <w:pPr>
        <w:pStyle w:val="ListParagraph"/>
        <w:numPr>
          <w:ilvl w:val="0"/>
          <w:numId w:val="2"/>
        </w:numPr>
        <w:spacing w:after="40" w:before="40"/>
      </w:pPr>
      <w:r>
        <w:rPr>
          <w:rFonts w:ascii="Arial" w:cs="Arial" w:eastAsia="Arial" w:hAnsi="Arial"/>
          <w:sz w:val="22"/>
          <w:szCs w:val="22"/>
        </w:rPr>
        <w:t xml:space="preserve">Compliance with a legal obligation</w:t>
      </w:r>
    </w:p>
    <w:p>
      <w:pPr>
        <w:pStyle w:val="ListParagraph"/>
        <w:numPr>
          <w:ilvl w:val="0"/>
          <w:numId w:val="2"/>
        </w:numPr>
        <w:spacing w:after="40" w:before="40"/>
      </w:pPr>
      <w:r>
        <w:rPr>
          <w:rFonts w:ascii="Arial" w:cs="Arial" w:eastAsia="Arial" w:hAnsi="Arial"/>
          <w:sz w:val="22"/>
          <w:szCs w:val="22"/>
        </w:rPr>
        <w:t xml:space="preserve">Vital interests</w:t>
      </w:r>
    </w:p>
    <w:p>
      <w:pPr>
        <w:pStyle w:val="ListParagraph"/>
        <w:numPr>
          <w:ilvl w:val="0"/>
          <w:numId w:val="2"/>
        </w:numPr>
        <w:spacing w:after="40" w:before="40"/>
      </w:pPr>
      <w:r>
        <w:rPr>
          <w:rFonts w:ascii="Arial" w:cs="Arial" w:eastAsia="Arial" w:hAnsi="Arial"/>
          <w:sz w:val="22"/>
          <w:szCs w:val="22"/>
        </w:rPr>
        <w:t xml:space="preserve">Public task</w:t>
      </w:r>
    </w:p>
    <w:p>
      <w:pPr>
        <w:pStyle w:val="ListParagraph"/>
        <w:numPr>
          <w:ilvl w:val="0"/>
          <w:numId w:val="2"/>
        </w:numPr>
        <w:spacing w:after="40" w:before="40"/>
      </w:pPr>
      <w:r>
        <w:rPr>
          <w:rFonts w:ascii="Arial" w:cs="Arial" w:eastAsia="Arial" w:hAnsi="Arial"/>
          <w:sz w:val="22"/>
          <w:szCs w:val="22"/>
        </w:rPr>
        <w:t xml:space="preserve">Legitimate interests (controller or third party)</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Q10. Using historical chat logs to train a new AI model</w:t>
      </w:r>
    </w:p>
    <w:p>
      <w:pPr>
        <w:spacing w:after="100" w:before="60"/>
      </w:pPr>
      <w:r>
        <w:rPr>
          <w:rFonts w:ascii="Arial" w:cs="Arial" w:eastAsia="Arial" w:hAnsi="Arial"/>
          <w:sz w:val="22"/>
          <w:szCs w:val="22"/>
        </w:rPr>
        <w:t xml:space="preserve">The primary challenge is purpose limitation: the data was collected to resolve complaints, not to train AI. Relying on the original consent (if any) will not extend to this new purpose.</w:t>
      </w:r>
    </w:p>
    <w:p>
      <w:pPr>
        <w:spacing w:after="100" w:before="60"/>
      </w:pPr>
      <w:r>
        <w:rPr>
          <w:rFonts w:ascii="Arial" w:cs="Arial" w:eastAsia="Arial" w:hAnsi="Arial"/>
          <w:sz w:val="22"/>
          <w:szCs w:val="22"/>
        </w:rPr>
        <w:t xml:space="preserve">If the company wishes to rely on legitimate interests (Article 6(1)(f)), it must pass the three-part Legitimate Interests Assessment (LIA):</w:t>
      </w:r>
    </w:p>
    <w:p>
      <w:pPr>
        <w:pStyle w:val="ListParagraph"/>
        <w:numPr>
          <w:ilvl w:val="0"/>
          <w:numId w:val="2"/>
        </w:numPr>
        <w:spacing w:after="40" w:before="40"/>
      </w:pPr>
      <w:r>
        <w:rPr>
          <w:rFonts w:ascii="Arial" w:cs="Arial" w:eastAsia="Arial" w:hAnsi="Arial"/>
          <w:sz w:val="22"/>
          <w:szCs w:val="22"/>
        </w:rPr>
        <w:t xml:space="preserve">Purpose test: Is there a genuine, legitimate interest? (e.g. improving customer service quality.)</w:t>
      </w:r>
    </w:p>
    <w:p>
      <w:pPr>
        <w:pStyle w:val="ListParagraph"/>
        <w:numPr>
          <w:ilvl w:val="0"/>
          <w:numId w:val="2"/>
        </w:numPr>
        <w:spacing w:after="40" w:before="40"/>
      </w:pPr>
      <w:r>
        <w:rPr>
          <w:rFonts w:ascii="Arial" w:cs="Arial" w:eastAsia="Arial" w:hAnsi="Arial"/>
          <w:sz w:val="22"/>
          <w:szCs w:val="22"/>
        </w:rPr>
        <w:t xml:space="preserve">Necessity test: Is processing the historical chat logs necessary to achieve that purpose, or could a less intrusive method (e.g. synthetic data, fresh consented collection) achieve the same result?</w:t>
      </w:r>
    </w:p>
    <w:p>
      <w:pPr>
        <w:pStyle w:val="ListParagraph"/>
        <w:numPr>
          <w:ilvl w:val="0"/>
          <w:numId w:val="2"/>
        </w:numPr>
        <w:spacing w:after="40" w:before="40"/>
      </w:pPr>
      <w:r>
        <w:rPr>
          <w:rFonts w:ascii="Arial" w:cs="Arial" w:eastAsia="Arial" w:hAnsi="Arial"/>
          <w:sz w:val="22"/>
          <w:szCs w:val="22"/>
        </w:rPr>
        <w:t xml:space="preserve">Balancing test: Do the legitimate interests of the company override the reasonable expectations and interests of the data subjects? Relevant factors include the sensitivity of chat content, whether subjects were informed of this possible use, and the impact on individuals.</w:t>
      </w:r>
    </w:p>
    <w:p>
      <w:pPr>
        <w:spacing w:after="100" w:before="60"/>
      </w:pPr>
      <w:r>
        <w:rPr>
          <w:rFonts w:ascii="Arial" w:cs="Arial" w:eastAsia="Arial" w:hAnsi="Arial"/>
          <w:sz w:val="22"/>
          <w:szCs w:val="22"/>
        </w:rPr>
        <w:t xml:space="preserve">If the balancing test fails, or if the data includes special category data (health, financial distress, etc. mentioned in chats), consent is likely required and should be obtained.</w:t>
      </w:r>
    </w:p>
    <w:p>
      <w:pPr>
        <w:pStyle w:val="Heading1"/>
        <w:spacing w:after="160" w:before="320"/>
      </w:pPr>
      <w:r>
        <w:rPr>
          <w:rFonts w:ascii="Arial" w:cs="Arial" w:eastAsia="Arial" w:hAnsi="Arial"/>
          <w:b/>
          <w:bCs/>
          <w:color w:val="1F3864"/>
          <w:sz w:val="32"/>
          <w:szCs w:val="32"/>
        </w:rPr>
        <w:t xml:space="preserve">Part 4 — Rights, DPIA, and Transfers</w:t>
      </w:r>
    </w:p>
    <w:p>
      <w:pPr>
        <w:pStyle w:val="Heading2"/>
        <w:spacing w:after="120" w:before="240"/>
      </w:pPr>
      <w:r>
        <w:rPr>
          <w:rFonts w:ascii="Arial" w:cs="Arial" w:eastAsia="Arial" w:hAnsi="Arial"/>
          <w:b/>
          <w:bCs/>
          <w:color w:val="2E4A7A"/>
          <w:sz w:val="26"/>
          <w:szCs w:val="26"/>
        </w:rPr>
        <w:t xml:space="preserve">Q11. The eight data subject rights</w:t>
      </w:r>
    </w:p>
    <w:p>
      <w:pPr>
        <w:pStyle w:val="ListParagraph"/>
        <w:numPr>
          <w:ilvl w:val="0"/>
          <w:numId w:val="2"/>
        </w:numPr>
        <w:spacing w:after="40" w:before="40"/>
      </w:pPr>
      <w:r>
        <w:rPr>
          <w:rFonts w:ascii="Arial" w:cs="Arial" w:eastAsia="Arial" w:hAnsi="Arial"/>
          <w:sz w:val="22"/>
          <w:szCs w:val="22"/>
        </w:rPr>
        <w:t xml:space="preserve">Right to be informed (Articles 13-14)</w:t>
      </w:r>
    </w:p>
    <w:p>
      <w:pPr>
        <w:pStyle w:val="ListParagraph"/>
        <w:numPr>
          <w:ilvl w:val="0"/>
          <w:numId w:val="2"/>
        </w:numPr>
        <w:spacing w:after="40" w:before="40"/>
      </w:pPr>
      <w:r>
        <w:rPr>
          <w:rFonts w:ascii="Arial" w:cs="Arial" w:eastAsia="Arial" w:hAnsi="Arial"/>
          <w:sz w:val="22"/>
          <w:szCs w:val="22"/>
        </w:rPr>
        <w:t xml:space="preserve">Right of access (Article 15)</w:t>
      </w:r>
    </w:p>
    <w:p>
      <w:pPr>
        <w:pStyle w:val="ListParagraph"/>
        <w:numPr>
          <w:ilvl w:val="0"/>
          <w:numId w:val="2"/>
        </w:numPr>
        <w:spacing w:after="40" w:before="40"/>
      </w:pPr>
      <w:r>
        <w:rPr>
          <w:rFonts w:ascii="Arial" w:cs="Arial" w:eastAsia="Arial" w:hAnsi="Arial"/>
          <w:sz w:val="22"/>
          <w:szCs w:val="22"/>
        </w:rPr>
        <w:t xml:space="preserve">Right to rectification (Article 16)</w:t>
      </w:r>
    </w:p>
    <w:p>
      <w:pPr>
        <w:pStyle w:val="ListParagraph"/>
        <w:numPr>
          <w:ilvl w:val="0"/>
          <w:numId w:val="2"/>
        </w:numPr>
        <w:spacing w:after="40" w:before="40"/>
      </w:pPr>
      <w:r>
        <w:rPr>
          <w:rFonts w:ascii="Arial" w:cs="Arial" w:eastAsia="Arial" w:hAnsi="Arial"/>
          <w:sz w:val="22"/>
          <w:szCs w:val="22"/>
        </w:rPr>
        <w:t xml:space="preserve">Right to erasure / 'right to be forgotten' (Article 17)</w:t>
      </w:r>
    </w:p>
    <w:p>
      <w:pPr>
        <w:pStyle w:val="ListParagraph"/>
        <w:numPr>
          <w:ilvl w:val="0"/>
          <w:numId w:val="2"/>
        </w:numPr>
        <w:spacing w:after="40" w:before="40"/>
      </w:pPr>
      <w:r>
        <w:rPr>
          <w:rFonts w:ascii="Arial" w:cs="Arial" w:eastAsia="Arial" w:hAnsi="Arial"/>
          <w:sz w:val="22"/>
          <w:szCs w:val="22"/>
        </w:rPr>
        <w:t xml:space="preserve">Right to restriction of processing (Article 18)</w:t>
      </w:r>
    </w:p>
    <w:p>
      <w:pPr>
        <w:pStyle w:val="ListParagraph"/>
        <w:numPr>
          <w:ilvl w:val="0"/>
          <w:numId w:val="2"/>
        </w:numPr>
        <w:spacing w:after="40" w:before="40"/>
      </w:pPr>
      <w:r>
        <w:rPr>
          <w:rFonts w:ascii="Arial" w:cs="Arial" w:eastAsia="Arial" w:hAnsi="Arial"/>
          <w:sz w:val="22"/>
          <w:szCs w:val="22"/>
        </w:rPr>
        <w:t xml:space="preserve">Right to data portability (Article 20)</w:t>
      </w:r>
    </w:p>
    <w:p>
      <w:pPr>
        <w:pStyle w:val="ListParagraph"/>
        <w:numPr>
          <w:ilvl w:val="0"/>
          <w:numId w:val="2"/>
        </w:numPr>
        <w:spacing w:after="40" w:before="40"/>
      </w:pPr>
      <w:r>
        <w:rPr>
          <w:rFonts w:ascii="Arial" w:cs="Arial" w:eastAsia="Arial" w:hAnsi="Arial"/>
          <w:sz w:val="22"/>
          <w:szCs w:val="22"/>
        </w:rPr>
        <w:t xml:space="preserve">Right to object (Article 21)</w:t>
      </w:r>
    </w:p>
    <w:p>
      <w:pPr>
        <w:pStyle w:val="ListParagraph"/>
        <w:numPr>
          <w:ilvl w:val="0"/>
          <w:numId w:val="2"/>
        </w:numPr>
        <w:spacing w:after="40" w:before="40"/>
      </w:pPr>
      <w:r>
        <w:rPr>
          <w:rFonts w:ascii="Arial" w:cs="Arial" w:eastAsia="Arial" w:hAnsi="Arial"/>
          <w:sz w:val="22"/>
          <w:szCs w:val="22"/>
        </w:rPr>
        <w:t xml:space="preserve">Rights related to automated decision-making and profiling (Article 22)</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Q12. AI loan rejection — right and three required elements</w:t>
      </w:r>
    </w:p>
    <w:p>
      <w:pPr>
        <w:spacing w:after="100" w:before="60"/>
      </w:pPr>
      <w:r>
        <w:rPr>
          <w:rFonts w:ascii="Arial" w:cs="Arial" w:eastAsia="Arial" w:hAnsi="Arial"/>
          <w:sz w:val="22"/>
          <w:szCs w:val="22"/>
        </w:rPr>
        <w:t xml:space="preserve">Most directly relevant right: Article 22 — Rights related to automated decision-making, including profiling. Where a decision is made solely by automated means and produces legal or similarly significant effects, the data subject has the right not to be subject to that decision and must be able to request human review.</w:t>
      </w:r>
    </w:p>
    <w:p>
      <w:pPr>
        <w:spacing w:after="100" w:before="60"/>
      </w:pPr>
      <w:r>
        <w:rPr>
          <w:rFonts w:ascii="Arial" w:cs="Arial" w:eastAsia="Arial" w:hAnsi="Arial"/>
          <w:sz w:val="22"/>
          <w:szCs w:val="22"/>
        </w:rPr>
        <w:t xml:space="preserve">The bank must be able to provide a rejected applicant with:</w:t>
      </w:r>
    </w:p>
    <w:p>
      <w:pPr>
        <w:pStyle w:val="ListParagraph"/>
        <w:numPr>
          <w:ilvl w:val="0"/>
          <w:numId w:val="2"/>
        </w:numPr>
        <w:spacing w:after="40" w:before="40"/>
      </w:pPr>
      <w:r>
        <w:rPr>
          <w:rFonts w:ascii="Arial" w:cs="Arial" w:eastAsia="Arial" w:hAnsi="Arial"/>
          <w:sz w:val="22"/>
          <w:szCs w:val="22"/>
        </w:rPr>
        <w:t xml:space="preserve">Meaningful information about the logic involved — an explanation of how the AI model reached its decision (not just that an algorithm was used).</w:t>
      </w:r>
    </w:p>
    <w:p>
      <w:pPr>
        <w:pStyle w:val="ListParagraph"/>
        <w:numPr>
          <w:ilvl w:val="0"/>
          <w:numId w:val="2"/>
        </w:numPr>
        <w:spacing w:after="40" w:before="40"/>
      </w:pPr>
      <w:r>
        <w:rPr>
          <w:rFonts w:ascii="Arial" w:cs="Arial" w:eastAsia="Arial" w:hAnsi="Arial"/>
          <w:sz w:val="22"/>
          <w:szCs w:val="22"/>
        </w:rPr>
        <w:t xml:space="preserve">The significance and envisaged consequences — what the decision means for the applicant (e.g. rejection, terms offered, credit impact).</w:t>
      </w:r>
    </w:p>
    <w:p>
      <w:pPr>
        <w:pStyle w:val="ListParagraph"/>
        <w:numPr>
          <w:ilvl w:val="0"/>
          <w:numId w:val="2"/>
        </w:numPr>
        <w:spacing w:after="40" w:before="40"/>
      </w:pPr>
      <w:r>
        <w:rPr>
          <w:rFonts w:ascii="Arial" w:cs="Arial" w:eastAsia="Arial" w:hAnsi="Arial"/>
          <w:sz w:val="22"/>
          <w:szCs w:val="22"/>
        </w:rPr>
        <w:t xml:space="preserve">The right to obtain human intervention, express their point of view, and contest the decision.</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Q13. When is a DPIA mandatory?</w:t>
      </w:r>
    </w:p>
    <w:p>
      <w:pPr>
        <w:spacing w:after="100" w:before="60"/>
      </w:pPr>
      <w:r>
        <w:rPr>
          <w:rFonts w:ascii="Arial" w:cs="Arial" w:eastAsia="Arial" w:hAnsi="Arial"/>
          <w:sz w:val="22"/>
          <w:szCs w:val="22"/>
        </w:rPr>
        <w:t xml:space="preserve">Under Article 35 and WP248, a DPIA is mandatory in at least these three situations:</w:t>
      </w:r>
    </w:p>
    <w:p>
      <w:pPr>
        <w:pStyle w:val="ListParagraph"/>
        <w:numPr>
          <w:ilvl w:val="0"/>
          <w:numId w:val="2"/>
        </w:numPr>
        <w:spacing w:after="40" w:before="40"/>
      </w:pPr>
      <w:r>
        <w:rPr>
          <w:rFonts w:ascii="Arial" w:cs="Arial" w:eastAsia="Arial" w:hAnsi="Arial"/>
          <w:sz w:val="22"/>
          <w:szCs w:val="22"/>
        </w:rPr>
        <w:t xml:space="preserve">Large-scale processing of special category data (health, biometric, criminal records, etc.).</w:t>
      </w:r>
    </w:p>
    <w:p>
      <w:pPr>
        <w:pStyle w:val="ListParagraph"/>
        <w:numPr>
          <w:ilvl w:val="0"/>
          <w:numId w:val="2"/>
        </w:numPr>
        <w:spacing w:after="40" w:before="40"/>
      </w:pPr>
      <w:r>
        <w:rPr>
          <w:rFonts w:ascii="Arial" w:cs="Arial" w:eastAsia="Arial" w:hAnsi="Arial"/>
          <w:sz w:val="22"/>
          <w:szCs w:val="22"/>
        </w:rPr>
        <w:t xml:space="preserve">Systematic monitoring of a publicly accessible area on a large scale (e.g. CCTV, location tracking).</w:t>
      </w:r>
    </w:p>
    <w:p>
      <w:pPr>
        <w:pStyle w:val="ListParagraph"/>
        <w:numPr>
          <w:ilvl w:val="0"/>
          <w:numId w:val="2"/>
        </w:numPr>
        <w:spacing w:after="40" w:before="40"/>
      </w:pPr>
      <w:r>
        <w:rPr>
          <w:rFonts w:ascii="Arial" w:cs="Arial" w:eastAsia="Arial" w:hAnsi="Arial"/>
          <w:sz w:val="22"/>
          <w:szCs w:val="22"/>
        </w:rPr>
        <w:t xml:space="preserve">Automated decision-making with significant effects, including profiling that produces legal effects.</w:t>
      </w:r>
    </w:p>
    <w:p>
      <w:pPr>
        <w:spacing w:after="100" w:before="60"/>
      </w:pPr>
      <w:r>
        <w:rPr>
          <w:rFonts w:ascii="Arial" w:cs="Arial" w:eastAsia="Arial" w:hAnsi="Arial"/>
          <w:sz w:val="22"/>
          <w:szCs w:val="22"/>
        </w:rPr>
        <w:t xml:space="preserve">Does a typical AI project require one? Almost certainly yes. Most AI projects involve at least one of: profiling, automated decision-making, large-scale processing, novel technology use, or processing of sensitive data. Supervisory authorities have consistently held that training or deploying AI on personal data constitutes high-risk processing triggering a mandatory DPIA.</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Q14. Transfers to a US AI vendor</w:t>
      </w:r>
    </w:p>
    <w:p>
      <w:pPr>
        <w:spacing w:after="100" w:before="60"/>
      </w:pPr>
      <w:r>
        <w:rPr>
          <w:rFonts w:ascii="Arial" w:cs="Arial" w:eastAsia="Arial" w:hAnsi="Arial"/>
          <w:sz w:val="22"/>
          <w:szCs w:val="22"/>
        </w:rPr>
        <w:t xml:space="preserve">Most common mechanism: Standard Contractual Clauses (SCCs) — the modular clauses adopted by the European Commission in 2021. They are incorporated into the DPA and bind the US vendor to EU-equivalent data protection standards.</w:t>
      </w:r>
    </w:p>
    <w:p>
      <w:pPr>
        <w:spacing w:after="100" w:before="60"/>
      </w:pPr>
      <w:r>
        <w:rPr>
          <w:rFonts w:ascii="Arial" w:cs="Arial" w:eastAsia="Arial" w:hAnsi="Arial"/>
          <w:sz w:val="22"/>
          <w:szCs w:val="22"/>
        </w:rPr>
        <w:t xml:space="preserve">Risk: Following Schrems II (CJEU, 2020), SCCs alone are not sufficient if the destination country's law enables government access to data in ways that undermine the clauses. A Transfer Impact Assessment (TIA) must be conducted. If US surveillance laws (e.g. FISA 702) pose a risk, supplementary technical measures (e.g. encryption where the vendor cannot access keys) may be required. The EU-US Data Privacy Framework (2023) provides an adequacy alternative for certified US companies, but is subject to legal challenge.</w:t>
      </w:r>
    </w:p>
    <w:p>
      <w:pPr>
        <w:pStyle w:val="Heading1"/>
        <w:spacing w:after="160" w:before="320"/>
      </w:pPr>
      <w:r>
        <w:rPr>
          <w:rFonts w:ascii="Arial" w:cs="Arial" w:eastAsia="Arial" w:hAnsi="Arial"/>
          <w:b/>
          <w:bCs/>
          <w:color w:val="1F3864"/>
          <w:sz w:val="32"/>
          <w:szCs w:val="32"/>
        </w:rPr>
        <w:t xml:space="preserve">Part 5 — Data Act, ePrivacy, and Digital Omnibus</w:t>
      </w:r>
    </w:p>
    <w:p>
      <w:pPr>
        <w:pStyle w:val="Heading2"/>
        <w:spacing w:after="120" w:before="240"/>
      </w:pPr>
      <w:r>
        <w:rPr>
          <w:rFonts w:ascii="Arial" w:cs="Arial" w:eastAsia="Arial" w:hAnsi="Arial"/>
          <w:b/>
          <w:bCs/>
          <w:color w:val="2E4A7A"/>
          <w:sz w:val="26"/>
          <w:szCs w:val="26"/>
        </w:rPr>
        <w:t xml:space="preserve">Q15. What does the Data Act solve and who does it apply to?</w:t>
      </w:r>
    </w:p>
    <w:p>
      <w:pPr>
        <w:spacing w:after="100" w:before="60"/>
      </w:pPr>
      <w:r>
        <w:rPr>
          <w:rFonts w:ascii="Arial" w:cs="Arial" w:eastAsia="Arial" w:hAnsi="Arial"/>
          <w:sz w:val="22"/>
          <w:szCs w:val="22"/>
        </w:rPr>
        <w:t xml:space="preserve">Problem: Connected devices (IoT — smart appliances, vehicles, industrial sensors) generate vast quantities of data. Historically, the manufacturer or platform owner captured all the value from that data, even though it was generated by the user's activity. Users and businesses had no legal right to access or share it.</w:t>
      </w:r>
    </w:p>
    <w:p>
      <w:pPr>
        <w:spacing w:after="100" w:before="60"/>
      </w:pPr>
      <w:r>
        <w:rPr>
          <w:rFonts w:ascii="Arial" w:cs="Arial" w:eastAsia="Arial" w:hAnsi="Arial"/>
          <w:sz w:val="22"/>
          <w:szCs w:val="22"/>
        </w:rPr>
        <w:t xml:space="preserve">Solution: The Data Act (Regulation 2023/2854, applying from September 2025) gives users of connected products a right to access data generated by those products in real time and in a usable format, and requires data holders to share data with third parties on user request. It also introduces data-sharing obligations between businesses and government in public emergencies.</w:t>
      </w:r>
    </w:p>
    <w:p>
      <w:pPr>
        <w:spacing w:after="100" w:before="60"/>
      </w:pPr>
      <w:r>
        <w:rPr>
          <w:rFonts w:ascii="Arial" w:cs="Arial" w:eastAsia="Arial" w:hAnsi="Arial"/>
          <w:sz w:val="22"/>
          <w:szCs w:val="22"/>
        </w:rPr>
        <w:t xml:space="preserve">Who it applies to: Manufacturers and providers of connected products and related services placed on the EU market — primarily IoT and connected device industries. It does not displace GDPR; where data is personal, both frameworks apply.</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Q16. ePrivacy as lex specialis</w:t>
      </w:r>
    </w:p>
    <w:p>
      <w:pPr>
        <w:spacing w:after="100" w:before="60"/>
      </w:pPr>
      <w:r>
        <w:rPr>
          <w:rFonts w:ascii="Arial" w:cs="Arial" w:eastAsia="Arial" w:hAnsi="Arial"/>
          <w:sz w:val="22"/>
          <w:szCs w:val="22"/>
        </w:rPr>
        <w:t xml:space="preserve">Lex specialis means 'special law': where two laws conflict, the more specific one prevails over the more general one. In plain language: ePrivacy is a more specific law that deals with a specific situation (electronic communications and terminal equipment access) and it takes priority over GDPR's more general rules in that area.</w:t>
      </w:r>
    </w:p>
    <w:p>
      <w:pPr>
        <w:spacing w:after="100" w:before="60"/>
      </w:pPr>
      <w:r>
        <w:rPr>
          <w:rFonts w:ascii="Arial" w:cs="Arial" w:eastAsia="Arial" w:hAnsi="Arial"/>
          <w:sz w:val="22"/>
          <w:szCs w:val="22"/>
        </w:rPr>
        <w:t xml:space="preserve">Practical example: GDPR allows 'legitimate interests' as a lawful basis for processing personal data. You might assume that placing analytics cookies serves a legitimate interest and requires no consent. ePrivacy overrides this: Article 5(3) of the ePrivacy Directive requires prior informed consent before storing or accessing any information on a user's device (with narrow exemptions for strictly necessary cookies). Legitimate interests cannot substitute for consent under ePrivacy. You must get consent for analytics cookies even if legitimate interests would otherwise cover the data processing.</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Q17. ePrivacy consent requirements by cookie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Consent required?</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login cookie — Strictly necessary — exempt.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B1C1C"/>
                <w:sz w:val="20"/>
                <w:szCs w:val="20"/>
              </w:rPr>
              <w:t xml:space="preserve">NO</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analytics cookie — Non-essential; tracks behaviour across sessions.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testing cookie — Non-essential if it persists; may be exempt if purely in-session and strictly necessary for delivery.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Shopping cart cookie — Strictly necessary for the service requested.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B1C1C"/>
                <w:sz w:val="20"/>
                <w:szCs w:val="20"/>
              </w:rPr>
              <w:t xml:space="preserve">NO</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AI-driven retargeting pixel — Behavioural profiling — clearly requires consent.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D6B2F"/>
                <w:sz w:val="20"/>
                <w:szCs w:val="20"/>
              </w:rPr>
              <w:t xml:space="preserve">YES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Q18. The Digital Omnibus — how to treat it when advising clients</w:t>
      </w:r>
    </w:p>
    <w:p>
      <w:pPr>
        <w:spacing w:after="100" w:before="60"/>
      </w:pPr>
      <w:r>
        <w:rPr>
          <w:rFonts w:ascii="Arial" w:cs="Arial" w:eastAsia="Arial" w:hAnsi="Arial"/>
          <w:sz w:val="22"/>
          <w:szCs w:val="22"/>
        </w:rPr>
        <w:t xml:space="preserve">A legislative proposal is a draft law that has been put forward by the European Commission but has not yet been adopted by the European Parliament and Council. It has no legal force until enacted. The Digital Omnibus package proposes amendments to GDPR and other digital laws (e.g. raising SME thresholds, simplifying consent rules), but its final form, timeline, and whether it will be adopted at all are uncertain.</w:t>
      </w:r>
    </w:p>
    <w:p>
      <w:pPr>
        <w:spacing w:after="100" w:before="60"/>
      </w:pPr>
      <w:r>
        <w:rPr>
          <w:rFonts w:ascii="Arial" w:cs="Arial" w:eastAsia="Arial" w:hAnsi="Arial"/>
          <w:sz w:val="22"/>
          <w:szCs w:val="22"/>
        </w:rPr>
        <w:t xml:space="preserve">Advice to clients: Do not design compliance programmes around it. Build compliance on the current law (GDPR, ePrivacy as enacted). Flag the Omnibus as a pending development in project risk registers. Revisit once formally adopted and implementation timelines are known. Building now on proposed law that may not pass — or may pass in a different form — creates risk of both under-compliance with current law and over-investment in approaches that become irrelevant.</w:t>
      </w:r>
    </w:p>
    <w:p>
      <w:pPr>
        <w:pStyle w:val="Heading1"/>
        <w:spacing w:after="160" w:before="320"/>
      </w:pPr>
      <w:r>
        <w:rPr>
          <w:rFonts w:ascii="Arial" w:cs="Arial" w:eastAsia="Arial" w:hAnsi="Arial"/>
          <w:b/>
          <w:bCs/>
          <w:color w:val="1F3864"/>
          <w:sz w:val="32"/>
          <w:szCs w:val="32"/>
        </w:rPr>
        <w:t xml:space="preserve">Part 6 — Quick Scenarios</w:t>
      </w:r>
    </w:p>
    <w:p>
      <w:pPr>
        <w:pStyle w:val="Heading2"/>
        <w:spacing w:after="120" w:before="240"/>
      </w:pPr>
      <w:r>
        <w:rPr>
          <w:rFonts w:ascii="Arial" w:cs="Arial" w:eastAsia="Arial" w:hAnsi="Arial"/>
          <w:b/>
          <w:bCs/>
          <w:color w:val="2E4A7A"/>
          <w:sz w:val="26"/>
          <w:szCs w:val="26"/>
        </w:rPr>
        <w:t xml:space="preserve">Q19. AI tool screening job applications with no explanations to rejected candidates</w:t>
      </w:r>
    </w:p>
    <w:p>
      <w:pPr>
        <w:spacing w:after="100" w:before="60"/>
      </w:pPr>
      <w:r>
        <w:rPr>
          <w:rFonts w:ascii="Arial" w:cs="Arial" w:eastAsia="Arial" w:hAnsi="Arial"/>
          <w:sz w:val="22"/>
          <w:szCs w:val="22"/>
        </w:rPr>
        <w:t xml:space="preserve">Two likely GDPR violations:</w:t>
      </w:r>
    </w:p>
    <w:p>
      <w:pPr>
        <w:pStyle w:val="ListParagraph"/>
        <w:numPr>
          <w:ilvl w:val="0"/>
          <w:numId w:val="2"/>
        </w:numPr>
        <w:spacing w:after="40" w:before="40"/>
      </w:pPr>
      <w:r>
        <w:rPr>
          <w:rFonts w:ascii="Arial" w:cs="Arial" w:eastAsia="Arial" w:hAnsi="Arial"/>
          <w:sz w:val="22"/>
          <w:szCs w:val="22"/>
        </w:rPr>
        <w:t xml:space="preserve">Article 22 violation: The automated screening tool makes decisions with significant effects (rejection of job applications) without providing the required information about the logic, significance, and consequences, and without a mechanism for human review or to contest the decision.</w:t>
      </w:r>
    </w:p>
    <w:p>
      <w:pPr>
        <w:pStyle w:val="ListParagraph"/>
        <w:numPr>
          <w:ilvl w:val="0"/>
          <w:numId w:val="2"/>
        </w:numPr>
        <w:spacing w:after="40" w:before="40"/>
      </w:pPr>
      <w:r>
        <w:rPr>
          <w:rFonts w:ascii="Arial" w:cs="Arial" w:eastAsia="Arial" w:hAnsi="Arial"/>
          <w:sz w:val="22"/>
          <w:szCs w:val="22"/>
        </w:rPr>
        <w:t xml:space="preserve">Article 13/14 violation (transparency): Candidates are not informed that automated decision-making is being used in the hiring process or what data is being processed about them.</w:t>
      </w:r>
    </w:p>
    <w:p>
      <w:pPr>
        <w:spacing w:after="100" w:before="60"/>
      </w:pPr>
      <w:r>
        <w:rPr>
          <w:rFonts w:ascii="Arial" w:cs="Arial" w:eastAsia="Arial" w:hAnsi="Arial"/>
          <w:sz w:val="22"/>
          <w:szCs w:val="22"/>
        </w:rPr>
        <w:t xml:space="preserve">One AI Act obligation likely violated: If the hiring screening tool qualifies as high-risk AI under Annex III of the AI Act (employment and workers management — explicitly listed), the company must ensure a conformity assessment, maintain technical documentation, register the system, ensure human oversight, and provide transparency to affected persons. Deploying an unregistered, unexplained high-risk AI system in recruitment is non-compliant.</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Q20. Behavioural tracking for product recommendations — is legitimate interests sufficient?</w:t>
      </w:r>
    </w:p>
    <w:p>
      <w:pPr>
        <w:spacing w:after="100" w:before="60"/>
      </w:pPr>
      <w:r>
        <w:rPr>
          <w:rFonts w:ascii="Arial" w:cs="Arial" w:eastAsia="Arial" w:hAnsi="Arial"/>
          <w:sz w:val="22"/>
          <w:szCs w:val="22"/>
        </w:rPr>
        <w:t xml:space="preserve">Before GDPR is even considered, ePrivacy applies. Behavioural tracking via cookies, pixels, or similar technologies requires prior informed consent under Article 5(3) of the ePrivacy Directive. Consent is the only available basis — legitimate interests cannot substitute here regardless of what GDPR would allow. The company's lawyer is wrong to invoke legitimate interests at the tracking layer. Even if the subsequent data analysis under GDPR could rely on legitimate interests, the act of reading or writing tracking technologies to the user's device requires consent first. The correct approach is to obtain valid, specific, informed, and unambiguous consent via a compliant cookie banner before any tracking occurs.</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Q21. Fine-tuning an LLM on archived emails after removing names and phone numbers</w:t>
      </w:r>
    </w:p>
    <w:p>
      <w:pPr>
        <w:spacing w:after="100" w:before="60"/>
      </w:pPr>
      <w:r>
        <w:rPr>
          <w:rFonts w:ascii="Arial" w:cs="Arial" w:eastAsia="Arial" w:hAnsi="Arial"/>
          <w:sz w:val="22"/>
          <w:szCs w:val="22"/>
        </w:rPr>
        <w:t xml:space="preserve">No, this is almost certainly not sufficient. Simply removing obvious direct identifiers (names, phone numbers) does not constitute anonymisation under GDPR. Re-identification risk remains through: indirect identifiers (job titles, locations, writing style, project references), the combination of remaining fields, and potentially the model weights themselves — which may allow the extraction of training data through model inversion or membership inference attacks.</w:t>
      </w:r>
    </w:p>
    <w:p>
      <w:pPr>
        <w:spacing w:after="100" w:before="60"/>
      </w:pPr>
      <w:r>
        <w:rPr>
          <w:rFonts w:ascii="Arial" w:cs="Arial" w:eastAsia="Arial" w:hAnsi="Arial"/>
          <w:sz w:val="22"/>
          <w:szCs w:val="22"/>
        </w:rPr>
        <w:t xml:space="preserve">What they should do instead: Conduct a proper anonymisation assessment using the WP29 criteria (singling out, linkage, inference). Consider whether truly anonymised data is achievable or whether a different lawful basis (e.g. consent, legitimate interests with a full LIA) is needed for training on pseudonymised data. Implement technical safeguards: differential privacy during training, output filtering, and security measures on model access. Complete a DPIA before training begins. If full anonymisation is not achievable — which is likely — obtain appropriate consent or identify another valid lawful basis and document it.</w:t>
      </w:r>
    </w:p>
    <w:p>
      <w:pPr>
        <w:pStyle w:val="Heading1"/>
        <w:spacing w:after="160" w:before="320"/>
      </w:pPr>
      <w:r>
        <w:rPr>
          <w:rFonts w:ascii="Arial" w:cs="Arial" w:eastAsia="Arial" w:hAnsi="Arial"/>
          <w:b/>
          <w:bCs/>
          <w:color w:val="1F3864"/>
          <w:sz w:val="32"/>
          <w:szCs w:val="32"/>
        </w:rPr>
        <w:t xml:space="preserve">Part 7 — Build Your Artefacts</w:t>
      </w:r>
    </w:p>
    <w:p>
      <w:pPr>
        <w:pStyle w:val="Heading2"/>
        <w:spacing w:after="120" w:before="240"/>
      </w:pPr>
      <w:r>
        <w:rPr>
          <w:rFonts w:ascii="Arial" w:cs="Arial" w:eastAsia="Arial" w:hAnsi="Arial"/>
          <w:b/>
          <w:bCs/>
          <w:color w:val="2E4A7A"/>
          <w:sz w:val="26"/>
          <w:szCs w:val="26"/>
        </w:rPr>
        <w:t xml:space="preserve">Q22. GDPR Audit Checklist for AI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the organisation identified who is the data controller and who is the data processor for this AI project?</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Roles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a signed Data Processing Agreement (DPA) in place between the controller and every processor?</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Roles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a lawful basis been identified and documented for each distinct processing purpose?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Lawful basis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relying on legitimate interests, has a three-part LIA (purpose, necessity, balancing) been completed and recorded?</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Lawful basis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processing purpose compatible with the purpose for which data was originally collected?</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Lawful basis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a mechanism in place for data subjects to exercise their right of access, rectification, erasure, and portability?</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Rights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AI makes automated decisions with legal or significant effects, is there a process to provide human review on request?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Rights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data subjects informed of the processing at collection (privacy notice) and is that notice up to date?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Rights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data is transferred to a third country, is a lawful transfer mechanism in place (e.g., SCCs, adequacy decision)?</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Transfers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any supplementary measures been assessed if the destination country does not provide essentially equivalent protection?</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Transfers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a Data Protection Impact Assessment (DPIA) been completed (mandatory for high-risk or large-scale AI processing)?</w:t>
            </w:r>
          </w:p>
        </w:tc>
        <w:tc>
          <w:tcPr>
            <w:tcW w:type="dxa" w:w="24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b/>
                <w:bCs/>
                <w:sz w:val="20"/>
                <w:szCs w:val="20"/>
              </w:rPr>
              <w:t xml:space="preserve">Documentation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a Record of Processing Activities (RoPA) entry created or updated to reflect this AI project?</w:t>
            </w:r>
          </w:p>
        </w:tc>
        <w:tc>
          <w:tcPr>
            <w:tcW w:type="dxa" w:w="24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b/>
                <w:bCs/>
                <w:sz w:val="20"/>
                <w:szCs w:val="20"/>
              </w:rPr>
              <w:t xml:space="preserve">Documentation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Q23. EU Data Law Stack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Layer / Law</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When it applies</w:t>
            </w:r>
          </w:p>
        </w:tc>
        <w:tc>
          <w:tcPr>
            <w:tcW w:type="dxa" w:w="4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Key obligation it adds</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GDPR (2018)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processing of personal data of EU residents — the foundational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Seven principles, eight data subject rights, lawful basis for processing, DPIA requirement, controller/processor obligations, international transfer rules.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ePrivacy Directive (2002, updated 2009)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communications — websites, apps, email, and any use of cookies or tracking technologies.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Lex specialis over GDPR: prior consent required before setting non-essential cookies or accessing device storage, regardless of GDPR lawful basis. Consent is the only basis for most tracking.</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Data Act (2024, applies Feb 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devices, connected products, and related data services — where data is generated by product use.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and businesses have a right to access data generated by connected products. Data holders must share data on request. Adds data portability and access rights beyond GDPR.</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AI Act (2024, phased from 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systems placed on the EU market or affecting persons in the EU — risk-tiered obligations.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Prohibited practices (social scoring, real-time biometric surveillance in public). High-risk AI requires conformity assessment, transparency, human oversight, and registration. General-purpose AI models have transparency obligations.</w:t>
            </w:r>
          </w:p>
        </w:tc>
      </w:tr>
      <w:tr>
        <w:tc>
          <w:tcPr>
            <w:tcW w:type="dxa" w:w="20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b/>
                <w:bCs/>
                <w:color w:val="7B1C1C"/>
                <w:sz w:val="20"/>
                <w:szCs w:val="20"/>
              </w:rPr>
              <w:t xml:space="preserve">Digital Omnibus ⏳ PENDING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Legislative proposal — not yet in force. Intended to amend GDPR, ePrivacy, and other digital laws to simplify and update them.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APPLICABLE. Advise clients to monitor legislative progress but do not plan compliance around it. Treat as future risk only.</w:t>
            </w:r>
          </w:p>
        </w:tc>
      </w:tr>
    </w:tbl>
    <w:p>
      <w:pPr>
        <w:spacing w:after="60" w:before="60"/>
      </w:pPr>
      <w:r>
        <w:t xml:space="preserve"/>
      </w:r>
    </w:p>
    <w:p>
      <w:pPr>
        <w:spacing w:after="100" w:before="60"/>
      </w:pPr>
      <w:r>
        <w:rPr>
          <w:rFonts w:ascii="Arial" w:cs="Arial" w:eastAsia="Arial" w:hAnsi="Arial"/>
          <w:sz w:val="22"/>
          <w:szCs w:val="22"/>
        </w:rPr>
        <w:t xml:space="preserve">How to apply the stack: Start from the bottom. Ask whether personal data is involved (GDPR applies). Then ask whether electronic communications or device storage is involved (ePrivacy applies on top, overriding GDPR where they conflict). Then ask whether a connected product generates the data (Data Act adds access and sharing obligations). Then ask what the AI system does and its risk level (AI Act imposes additional risk-tiered requirements). Finally, note Digital Omnibus as a pending change — monitor but do not rely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2026-05-26T08:15:32.267Z</dcterms:created>
  <dcterms:modified xsi:type="dcterms:W3CDTF">2026-05-26T08:15:32.268Z</dcterms:modified>
</cp:coreProperties>
</file>

<file path=docProps/custom.xml><?xml version="1.0" encoding="utf-8"?>
<Properties xmlns="http://schemas.openxmlformats.org/officeDocument/2006/custom-properties" xmlns:vt="http://schemas.openxmlformats.org/officeDocument/2006/docPropsVTypes"/>
</file>