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Arial" w:cs="Arial" w:eastAsia="Arial" w:hAnsi="Arial"/>
          <w:b/>
          <w:bCs/>
          <w:color w:val="1F4E79"/>
          <w:sz w:val="52"/>
          <w:szCs w:val="52"/>
        </w:rPr>
        <w:t xml:space="preserve">AI Agent Implementation</w:t>
      </w:r>
    </w:p>
    <w:p>
      <w:pPr>
        <w:spacing w:after="80" w:before="0"/>
        <w:jc w:val="center"/>
      </w:pPr>
      <w:r>
        <w:rPr>
          <w:rFonts w:ascii="Arial" w:cs="Arial" w:eastAsia="Arial" w:hAnsi="Arial"/>
          <w:b/>
          <w:bCs/>
          <w:color w:val="2E75B6"/>
          <w:sz w:val="52"/>
          <w:szCs w:val="52"/>
        </w:rPr>
        <w:t xml:space="preserve">Strategy Framework</w:t>
      </w:r>
    </w:p>
    <w:p>
      <w:pPr>
        <w:spacing w:after="600" w:before="0"/>
        <w:jc w:val="center"/>
      </w:pPr>
      <w:r>
        <w:rPr>
          <w:rFonts w:ascii="Arial" w:cs="Arial" w:eastAsia="Arial" w:hAnsi="Arial"/>
          <w:i/>
          <w:iCs/>
          <w:color w:val="666666"/>
          <w:sz w:val="22"/>
          <w:szCs w:val="22"/>
        </w:rPr>
        <w:t xml:space="preserve">A Practitioner's Guide to Phased Rollouts, Critical Success Factors &amp;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D5E8F0" w:val="clear"/>
            <w:tcMar>
              <w:top w:type="dxa" w:w="200"/>
              <w:left w:type="dxa" w:w="360"/>
              <w:bottom w:type="dxa" w:w="200"/>
              <w:right w:type="dxa" w:w="360"/>
            </w:tcMar>
          </w:tcPr>
          <w:p>
            <w:pPr>
              <w:jc w:val="center"/>
            </w:pPr>
            <w:r>
              <w:rPr>
                <w:rFonts w:ascii="Arial" w:cs="Arial" w:eastAsia="Arial" w:hAnsi="Arial"/>
                <w:color w:val="1F4E79"/>
                <w:sz w:val="22"/>
                <w:szCs w:val="22"/>
              </w:rPr>
              <w:t xml:space="preserve">Based on 5 documented enterprise case studies</w:t>
            </w:r>
          </w:p>
          <w:p>
            <w:pPr>
              <w:jc w:val="center"/>
            </w:pPr>
            <w:r>
              <w:rPr>
                <w:rFonts w:ascii="Arial" w:cs="Arial" w:eastAsia="Arial" w:hAnsi="Arial"/>
                <w:color w:val="555555"/>
                <w:sz w:val="22"/>
                <w:szCs w:val="22"/>
              </w:rPr>
              <w:t xml:space="preserve">Prepared for: AI Implementation Lab  |  May 2026</w:t>
            </w:r>
          </w:p>
        </w:tc>
      </w:tr>
    </w:tbl>
    <w:p>
      <w:r>
        <w:br w:type="page"/>
      </w:r>
    </w:p>
    <w:p>
      <w:pPr>
        <w:pStyle w:val="Heading1"/>
        <w:spacing w:after="160" w:before="360"/>
      </w:pPr>
      <w:r>
        <w:rPr>
          <w:rFonts w:ascii="Arial" w:cs="Arial" w:eastAsia="Arial" w:hAnsi="Arial"/>
          <w:b/>
          <w:bCs/>
          <w:color w:val="1F4E79"/>
          <w:sz w:val="36"/>
          <w:szCs w:val="36"/>
        </w:rPr>
        <w:t xml:space="preserve">How to Use This Framework</w:t>
      </w:r>
    </w:p>
    <w:p>
      <w:pPr>
        <w:spacing w:after="80" w:before="80"/>
      </w:pPr>
      <w:r>
        <w:rPr>
          <w:rFonts w:ascii="Arial" w:cs="Arial" w:eastAsia="Arial" w:hAnsi="Arial"/>
          <w:sz w:val="22"/>
          <w:szCs w:val="22"/>
        </w:rPr>
        <w:t xml:space="preserve">This document is a practitioner's toolkit for planning and executing AI agent implementations in real organizations. It is organized into three parts:</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Part 1: The Implementation Strategy Framework — a 4-phase phased rollout model with objectives, activities, success criteria, risks, and timelines for each phase</w:t>
      </w:r>
    </w:p>
    <w:p>
      <w:pPr>
        <w:pStyle w:val="ListParagraph"/>
        <w:numPr>
          <w:ilvl w:val="0"/>
          <w:numId w:val="2"/>
        </w:numPr>
        <w:spacing w:after="40" w:before="40"/>
      </w:pPr>
      <w:r>
        <w:rPr>
          <w:rFonts w:ascii="Arial" w:cs="Arial" w:eastAsia="Arial" w:hAnsi="Arial"/>
          <w:sz w:val="22"/>
          <w:szCs w:val="22"/>
        </w:rPr>
        <w:t xml:space="preserve">Part 2: The Critical Success Factors Checklist — a go/no-go checklist keyed to each phase, drawn from documented success patterns</w:t>
      </w:r>
    </w:p>
    <w:p>
      <w:pPr>
        <w:pStyle w:val="ListParagraph"/>
        <w:numPr>
          <w:ilvl w:val="0"/>
          <w:numId w:val="2"/>
        </w:numPr>
        <w:spacing w:after="40" w:before="40"/>
      </w:pPr>
      <w:r>
        <w:rPr>
          <w:rFonts w:ascii="Arial" w:cs="Arial" w:eastAsia="Arial" w:hAnsi="Arial"/>
          <w:sz w:val="22"/>
          <w:szCs w:val="22"/>
        </w:rPr>
        <w:t xml:space="preserve">Part 3: Common Pitfalls to Avoid — 8 documented failure modes with prevention guidance and evidence from real case studies</w:t>
      </w:r>
    </w:p>
    <w:p>
      <w:pPr>
        <w:spacing w:after="60" w:before="0"/>
      </w:pPr>
      <w:r>
        <w:t xml:space="preserve"/>
      </w:r>
    </w:p>
    <w:p>
      <w:pPr>
        <w:spacing w:after="80" w:before="80"/>
      </w:pPr>
      <w:r>
        <w:rPr>
          <w:rFonts w:ascii="Arial" w:cs="Arial" w:eastAsia="Arial" w:hAnsi="Arial"/>
          <w:sz w:val="22"/>
          <w:szCs w:val="22"/>
        </w:rPr>
        <w:t xml:space="preserve">The framework is evidence-based, not prescriptive. Every element is sourced from at least one of the five case studies in the accompanying Research Summary document. Adapt it to your organizational context — particularly the timeline estimates, which will vary significantly by industry, regulatory environment, and technical complexity.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BBBBB" w:sz="1"/>
              <w:left w:val="single" w:color="BBBBBB" w:sz="1"/>
              <w:bottom w:val="single" w:color="BBBBBB" w:sz="1"/>
              <w:right w:val="single" w:color="BBBBBB" w:sz="1"/>
            </w:tcBorders>
            <w:shd w:fill="1F4E79"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Fintech / Financial Services</w:t>
            </w:r>
          </w:p>
          <w:p>
            <w:pPr>
              <w:jc w:val="center"/>
            </w:pPr>
            <w:r>
              <w:rPr>
                <w:rFonts w:ascii="Arial" w:cs="Arial" w:eastAsia="Arial" w:hAnsi="Arial"/>
                <w:color w:val="CCDDFF"/>
                <w:sz w:val="19"/>
                <w:szCs w:val="19"/>
              </w:rPr>
              <w:t xml:space="preserve">Klarna, Bank of America, UWM</w:t>
            </w:r>
          </w:p>
        </w:tc>
        <w:tc>
          <w:tcPr>
            <w:tcBorders>
              <w:top w:val="single" w:color="BBBBBB" w:sz="1"/>
              <w:left w:val="single" w:color="BBBBBB" w:sz="1"/>
              <w:bottom w:val="single" w:color="BBBBBB" w:sz="1"/>
              <w:right w:val="single" w:color="BBBBBB" w:sz="1"/>
            </w:tcBorders>
            <w:shd w:fill="1F4E79"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SaaS / Technology</w:t>
            </w:r>
          </w:p>
          <w:p>
            <w:pPr>
              <w:jc w:val="center"/>
            </w:pPr>
            <w:r>
              <w:rPr>
                <w:rFonts w:ascii="Arial" w:cs="Arial" w:eastAsia="Arial" w:hAnsi="Arial"/>
                <w:color w:val="CCDDFF"/>
                <w:sz w:val="19"/>
                <w:szCs w:val="19"/>
              </w:rPr>
              <w:t xml:space="preserve">Intercom Fin / Synthesia</w:t>
            </w:r>
          </w:p>
        </w:tc>
        <w:tc>
          <w:tcPr>
            <w:tcBorders>
              <w:top w:val="single" w:color="BBBBBB" w:sz="1"/>
              <w:left w:val="single" w:color="BBBBBB" w:sz="1"/>
              <w:bottom w:val="single" w:color="BBBBBB" w:sz="1"/>
              <w:right w:val="single" w:color="BBBBBB" w:sz="1"/>
            </w:tcBorders>
            <w:shd w:fill="1F4E79"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Industrial / Manufacturing</w:t>
            </w:r>
          </w:p>
          <w:p>
            <w:pPr>
              <w:jc w:val="center"/>
            </w:pPr>
            <w:r>
              <w:rPr>
                <w:rFonts w:ascii="Arial" w:cs="Arial" w:eastAsia="Arial" w:hAnsi="Arial"/>
                <w:color w:val="CCDDFF"/>
                <w:sz w:val="19"/>
                <w:szCs w:val="19"/>
              </w:rPr>
              <w:t xml:space="preserve">Aitomatic / IC Manufacturer</w:t>
            </w:r>
          </w:p>
        </w:tc>
      </w:tr>
      <w:tr>
        <w:tc>
          <w:tcPr>
            <w:gridSpan w:val="3"/>
            <w:tcBorders>
              <w:top w:val="single" w:color="BBBBBB" w:sz="1"/>
              <w:left w:val="single" w:color="BBBBBB" w:sz="1"/>
              <w:bottom w:val="single" w:color="BBBBBB" w:sz="1"/>
              <w:right w:val="single" w:color="BBBBBB" w:sz="1"/>
            </w:tcBorders>
            <w:shd w:fill="D5E8F0" w:val="clear"/>
            <w:tcMar>
              <w:top w:type="dxa" w:w="80"/>
              <w:left w:type="dxa" w:w="160"/>
              <w:bottom w:type="dxa" w:w="80"/>
              <w:right w:type="dxa" w:w="160"/>
            </w:tcMar>
          </w:tcPr>
          <w:p>
            <w:pPr>
              <w:jc w:val="center"/>
            </w:pPr>
            <w:r>
              <w:rPr>
                <w:rFonts w:ascii="Arial" w:cs="Arial" w:eastAsia="Arial" w:hAnsi="Arial"/>
                <w:i/>
                <w:iCs/>
                <w:color w:val="1F4E79"/>
                <w:sz w:val="20"/>
                <w:szCs w:val="20"/>
              </w:rPr>
              <w:t xml:space="preserve">Industries represented in the research underlying this framework</w:t>
            </w:r>
          </w:p>
        </w:tc>
      </w:tr>
    </w:tbl>
    <w:p>
      <w:pPr>
        <w:spacing w:after="120" w:before="0"/>
      </w:pPr>
      <w:r>
        <w:t xml:space="preserve"/>
      </w:r>
    </w:p>
    <w:p>
      <w:pPr>
        <w:pBdr>
          <w:bottom w:val="single" w:color="2E75B6" w:sz="4" w:space="1"/>
        </w:pBdr>
        <w:spacing w:after="120" w:before="120"/>
      </w:pPr>
      <w:r>
        <w:t xml:space="preserve"/>
      </w:r>
    </w:p>
    <w:p>
      <w:r>
        <w:br w:type="page"/>
      </w:r>
    </w:p>
    <w:p>
      <w:pPr>
        <w:spacing w:after="200" w:before="0"/>
        <w:jc w:val="center"/>
      </w:pPr>
      <w:r>
        <w:rPr>
          <w:rFonts w:ascii="Arial" w:cs="Arial" w:eastAsia="Arial" w:hAnsi="Arial"/>
          <w:b/>
          <w:bCs/>
          <w:color w:val="1F4E79"/>
          <w:sz w:val="32"/>
          <w:szCs w:val="32"/>
        </w:rPr>
        <w:t xml:space="preserve">PART 1: IMPLEMENTATION STRATEGY FRAMEWORK</w:t>
      </w:r>
    </w:p>
    <w:p>
      <w:pPr>
        <w:spacing w:after="80" w:before="80"/>
      </w:pPr>
      <w:r>
        <w:rPr>
          <w:rFonts w:ascii="Arial" w:cs="Arial" w:eastAsia="Arial" w:hAnsi="Arial"/>
          <w:sz w:val="22"/>
          <w:szCs w:val="22"/>
        </w:rPr>
        <w:t xml:space="preserve">The framework follows a 4-phase model. Organizations should treat phase gates as genuine decision points — advancing to the next phase requires meeting the success criteria of the current phase, not simply completing the activities.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240"/>
        <w:gridCol w:w="1680"/>
      </w:tblGrid>
      <w:tr>
        <w:tc>
          <w:tcPr>
            <w:tcW w:type="dxa" w:w="1440"/>
            <w:tcBorders>
              <w:top w:val="single" w:color="BBBBBB" w:sz="1"/>
              <w:left w:val="single" w:color="BBBBBB" w:sz="1"/>
              <w:bottom w:val="single" w:color="BBBBBB" w:sz="1"/>
              <w:right w:val="single" w:color="BBBBBB" w:sz="1"/>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1</w:t>
            </w:r>
          </w:p>
        </w:tc>
        <w:tc>
          <w:tcPr>
            <w:tcW w:type="dxa" w:w="6240"/>
            <w:tcBorders>
              <w:top w:val="single" w:color="BBBBBB" w:sz="1"/>
              <w:left w:val="single" w:color="BBBBBB" w:sz="1"/>
              <w:bottom w:val="single" w:color="BBBBBB" w:sz="1"/>
              <w:right w:val="single" w:color="BBBBBB" w:sz="1"/>
            </w:tcBorders>
            <w:shd w:fill="1F4E79" w:val="clear"/>
            <w:tcMar>
              <w:top w:type="dxa" w:w="120"/>
              <w:left w:type="dxa" w:w="160"/>
              <w:bottom w:type="dxa" w:w="120"/>
              <w:right w:type="dxa" w:w="120"/>
            </w:tcMar>
            <w:vAlign w:val="center"/>
          </w:tcPr>
          <w:p>
            <w:r>
              <w:rPr>
                <w:rFonts w:ascii="Arial" w:cs="Arial" w:eastAsia="Arial" w:hAnsi="Arial"/>
                <w:b/>
                <w:bCs/>
                <w:color w:val="FFFFFF"/>
                <w:sz w:val="28"/>
                <w:szCs w:val="28"/>
              </w:rPr>
              <w:t xml:space="preserve">Proof of Concept (PoC)</w:t>
            </w:r>
          </w:p>
        </w:tc>
        <w:tc>
          <w:tcPr>
            <w:tcW w:type="dxa" w:w="1680"/>
            <w:tcBorders>
              <w:top w:val="single" w:color="BBBBBB" w:sz="1"/>
              <w:left w:val="single" w:color="BBBBBB" w:sz="1"/>
              <w:bottom w:val="single" w:color="BBBBBB" w:sz="1"/>
              <w:right w:val="single" w:color="BBBBBB" w:sz="1"/>
            </w:tcBorders>
            <w:shd w:fill="FFFFFF" w:val="clear"/>
            <w:tcMar>
              <w:top w:type="dxa" w:w="120"/>
              <w:left w:type="dxa" w:w="120"/>
              <w:bottom w:type="dxa" w:w="120"/>
              <w:right w:type="dxa" w:w="120"/>
            </w:tcMar>
            <w:vAlign w:val="center"/>
          </w:tcPr>
          <w:p>
            <w:pPr>
              <w:jc w:val="center"/>
            </w:pPr>
            <w:r>
              <w:rPr>
                <w:rFonts w:ascii="Arial" w:cs="Arial" w:eastAsia="Arial" w:hAnsi="Arial"/>
                <w:b/>
                <w:bCs/>
                <w:color w:val="1F4E79"/>
                <w:sz w:val="18"/>
                <w:szCs w:val="18"/>
              </w:rPr>
              <w:t xml:space="preserve">Duration</w:t>
            </w:r>
          </w:p>
          <w:p>
            <w:pPr>
              <w:jc w:val="center"/>
            </w:pPr>
            <w:r>
              <w:rPr>
                <w:rFonts w:ascii="Arial" w:cs="Arial" w:eastAsia="Arial" w:hAnsi="Arial"/>
                <w:b/>
                <w:bCs/>
                <w:color w:val="1F4E79"/>
                <w:sz w:val="22"/>
                <w:szCs w:val="22"/>
              </w:rPr>
              <w:t xml:space="preserve">4–8 Weeks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Purpose</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Prove that the AI approach works technically and delivers business value in a controlled, low-risk setting before committing to broader deployment.</w:t>
            </w:r>
          </w:p>
        </w:tc>
      </w:tr>
      <w:tr>
        <w:tc>
          <w:tcPr>
            <w:tcW w:type="dxa" w:w="18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Key Activities</w:t>
            </w:r>
          </w:p>
        </w:tc>
        <w:tc>
          <w:tcPr>
            <w:tcW w:type="dxa" w:w="75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1. Map the target workflow end-to-end, documenting every decision point and handoff. 2. Audit and prepare the knowledge base or data sources the AI will rely on. 3. Define dual KPIs — one efficiency metric (e.g., resolution time, cost per query) and one quality metric (e.g., resolution rate, accuracy score). 4. Establish the human baseline: measure existing KPIs before any AI is introduced. 5. Build a minimal viable prototype scoped to a single, bounded use case. 6. Test prototype with internal team members only — not external customers.</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Success Criteria</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Prototype achieves &gt;70% accuracy on target use case in internal testing. All stakeholders agree on KPI definitions before Phase 2. Human baseline metrics are documented and locked. Data/knowledge base gaps are identified and have remediation plans.</w:t>
            </w:r>
          </w:p>
        </w:tc>
      </w:tr>
      <w:tr>
        <w:tc>
          <w:tcPr>
            <w:tcW w:type="dxa" w:w="18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Go/No-Go Decision</w:t>
            </w:r>
          </w:p>
        </w:tc>
        <w:tc>
          <w:tcPr>
            <w:tcW w:type="dxa" w:w="75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If accuracy is below threshold or KPI agreement is not achieved, extend Phase 1 rather than proceeding. The cost of a poor pilot is higher than the cost of a delayed PoC.</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Typical Risks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Over-scoping the PoC (trying to solve too many use cases). Skipping the knowledge base audit. Internal testers being too forgiving compared to real users.</w:t>
            </w:r>
          </w:p>
        </w:tc>
      </w:tr>
      <w:tr>
        <w:tc>
          <w:tcPr>
            <w:tcW w:type="dxa" w:w="18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F4E79"/>
                <w:sz w:val="20"/>
                <w:szCs w:val="20"/>
              </w:rPr>
              <w:t xml:space="preserve">Stakeholder Actions</w:t>
            </w:r>
          </w:p>
        </w:tc>
        <w:tc>
          <w:tcPr>
            <w:tcW w:type="dxa" w:w="75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Executive sponsor: define business goal and success criteria. Domain experts: validate prototype outputs. IT/Security: review integration and data handling requirements. Change management lead: begin internal communications strategy.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240"/>
        <w:gridCol w:w="1680"/>
      </w:tblGrid>
      <w:tr>
        <w:tc>
          <w:tcPr>
            <w:tcW w:type="dxa" w:w="1440"/>
            <w:tcBorders>
              <w:top w:val="single" w:color="BBBBBB" w:sz="1"/>
              <w:left w:val="single" w:color="BBBBBB" w:sz="1"/>
              <w:bottom w:val="single" w:color="BBBBBB" w:sz="1"/>
              <w:right w:val="single" w:color="BBBBBB"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2</w:t>
            </w:r>
          </w:p>
        </w:tc>
        <w:tc>
          <w:tcPr>
            <w:tcW w:type="dxa" w:w="6240"/>
            <w:tcBorders>
              <w:top w:val="single" w:color="BBBBBB" w:sz="1"/>
              <w:left w:val="single" w:color="BBBBBB" w:sz="1"/>
              <w:bottom w:val="single" w:color="BBBBBB" w:sz="1"/>
              <w:right w:val="single" w:color="BBBBBB" w:sz="1"/>
            </w:tcBorders>
            <w:shd w:fill="2E75B6" w:val="clear"/>
            <w:tcMar>
              <w:top w:type="dxa" w:w="120"/>
              <w:left w:type="dxa" w:w="160"/>
              <w:bottom w:type="dxa" w:w="120"/>
              <w:right w:type="dxa" w:w="120"/>
            </w:tcMar>
            <w:vAlign w:val="center"/>
          </w:tcPr>
          <w:p>
            <w:r>
              <w:rPr>
                <w:rFonts w:ascii="Arial" w:cs="Arial" w:eastAsia="Arial" w:hAnsi="Arial"/>
                <w:b/>
                <w:bCs/>
                <w:color w:val="FFFFFF"/>
                <w:sz w:val="28"/>
                <w:szCs w:val="28"/>
              </w:rPr>
              <w:t xml:space="preserve">Pilot Program</w:t>
            </w:r>
          </w:p>
        </w:tc>
        <w:tc>
          <w:tcPr>
            <w:tcW w:type="dxa" w:w="1680"/>
            <w:tcBorders>
              <w:top w:val="single" w:color="BBBBBB" w:sz="1"/>
              <w:left w:val="single" w:color="BBBBBB" w:sz="1"/>
              <w:bottom w:val="single" w:color="BBBBBB" w:sz="1"/>
              <w:right w:val="single" w:color="BBBBBB" w:sz="1"/>
            </w:tcBorders>
            <w:shd w:fill="FFFFFF" w:val="clear"/>
            <w:tcMar>
              <w:top w:type="dxa" w:w="120"/>
              <w:left w:type="dxa" w:w="120"/>
              <w:bottom w:type="dxa" w:w="120"/>
              <w:right w:type="dxa" w:w="120"/>
            </w:tcMar>
            <w:vAlign w:val="center"/>
          </w:tcPr>
          <w:p>
            <w:pPr>
              <w:jc w:val="center"/>
            </w:pPr>
            <w:r>
              <w:rPr>
                <w:rFonts w:ascii="Arial" w:cs="Arial" w:eastAsia="Arial" w:hAnsi="Arial"/>
                <w:b/>
                <w:bCs/>
                <w:color w:val="2E75B6"/>
                <w:sz w:val="18"/>
                <w:szCs w:val="18"/>
              </w:rPr>
              <w:t xml:space="preserve">Duration</w:t>
            </w:r>
          </w:p>
          <w:p>
            <w:pPr>
              <w:jc w:val="center"/>
            </w:pPr>
            <w:r>
              <w:rPr>
                <w:rFonts w:ascii="Arial" w:cs="Arial" w:eastAsia="Arial" w:hAnsi="Arial"/>
                <w:b/>
                <w:bCs/>
                <w:color w:val="2E75B6"/>
                <w:sz w:val="22"/>
                <w:szCs w:val="22"/>
              </w:rPr>
              <w:t xml:space="preserve">6–12 Weeks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Purpose</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Test the AI agent with a real but bounded user group. Establish that quality and efficiency gains hold together when real users — not just internal testers — interact with the system.</w:t>
            </w:r>
          </w:p>
        </w:tc>
      </w:tr>
      <w:tr>
        <w:tc>
          <w:tcPr>
            <w:tcW w:type="dxa" w:w="18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2E75B6"/>
                <w:sz w:val="20"/>
                <w:szCs w:val="20"/>
              </w:rPr>
              <w:t xml:space="preserve">Key Activities</w:t>
            </w:r>
          </w:p>
        </w:tc>
        <w:tc>
          <w:tcPr>
            <w:tcW w:type="dxa" w:w="75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1. Deploy to 5–10% of the target user base, selecting a representative cross-section (not just early adopters). 2. Preserve full human escalation paths — never remove the ability to reach a human in Phase 2. 3. Track both KPIs weekly, not monthly. 4. Conduct structured user interviews at Week 4 and Week 8. 5. Set a 12-month customer satisfaction floor: define the minimum satisfaction score that must be maintained throughout the program. 6. Log all AI decisions from Day 1 — API calls, inputs, outputs, confidence scores, escalations. 7. Establish an automated alert threshold for quality metrics.</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Success Criteria</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Efficiency KPI improves vs. human baseline by a pre-agreed percentage. Quality KPI does not degrade vs. human baseline. User adoption rate exceeds 60% in the pilot group. No unplanned surge in escalations. Qualitative feedback is net positive.</w:t>
            </w:r>
          </w:p>
        </w:tc>
      </w:tr>
      <w:tr>
        <w:tc>
          <w:tcPr>
            <w:tcW w:type="dxa" w:w="18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2E75B6"/>
                <w:sz w:val="20"/>
                <w:szCs w:val="20"/>
              </w:rPr>
              <w:t xml:space="preserve">Go/No-Go Decision</w:t>
            </w:r>
          </w:p>
        </w:tc>
        <w:tc>
          <w:tcPr>
            <w:tcW w:type="dxa" w:w="75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If quality KPI degrades even as efficiency improves, do not advance. Run a root cause analysis on quality degradation before proceeding. This is the most common failure point in the case studies.</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Typical Risks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Pilot group is not representative of the full user base. Incomplete escalation path design leaves complex cases stranded. Only aggregate metrics are reviewed — individual failure modes go undetected.</w:t>
            </w:r>
          </w:p>
        </w:tc>
      </w:tr>
      <w:tr>
        <w:tc>
          <w:tcPr>
            <w:tcW w:type="dxa" w:w="18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2E75B6"/>
                <w:sz w:val="20"/>
                <w:szCs w:val="20"/>
              </w:rPr>
              <w:t xml:space="preserve">Stakeholder Actions</w:t>
            </w:r>
          </w:p>
        </w:tc>
        <w:tc>
          <w:tcPr>
            <w:tcW w:type="dxa" w:w="75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Domain expert users: provide structured weekly feedback. Change management lead: communicate pilot framing to pilot group and wider organization. Executive sponsor: review weekly dashboard, not monthly summaries. IT: monitor system performance and logging completeness.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240"/>
        <w:gridCol w:w="1680"/>
      </w:tblGrid>
      <w:tr>
        <w:tc>
          <w:tcPr>
            <w:tcW w:type="dxa" w:w="1440"/>
            <w:tcBorders>
              <w:top w:val="single" w:color="BBBBBB" w:sz="1"/>
              <w:left w:val="single" w:color="BBBBBB" w:sz="1"/>
              <w:bottom w:val="single" w:color="BBBBBB" w:sz="1"/>
              <w:right w:val="single" w:color="BBBBBB" w:sz="1"/>
            </w:tcBorders>
            <w:shd w:fill="1E6B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3</w:t>
            </w:r>
          </w:p>
        </w:tc>
        <w:tc>
          <w:tcPr>
            <w:tcW w:type="dxa" w:w="6240"/>
            <w:tcBorders>
              <w:top w:val="single" w:color="BBBBBB" w:sz="1"/>
              <w:left w:val="single" w:color="BBBBBB" w:sz="1"/>
              <w:bottom w:val="single" w:color="BBBBBB" w:sz="1"/>
              <w:right w:val="single" w:color="BBBBBB" w:sz="1"/>
            </w:tcBorders>
            <w:shd w:fill="1E6B2E" w:val="clear"/>
            <w:tcMar>
              <w:top w:type="dxa" w:w="120"/>
              <w:left w:type="dxa" w:w="160"/>
              <w:bottom w:type="dxa" w:w="120"/>
              <w:right w:type="dxa" w:w="120"/>
            </w:tcMar>
            <w:vAlign w:val="center"/>
          </w:tcPr>
          <w:p>
            <w:r>
              <w:rPr>
                <w:rFonts w:ascii="Arial" w:cs="Arial" w:eastAsia="Arial" w:hAnsi="Arial"/>
                <w:b/>
                <w:bCs/>
                <w:color w:val="FFFFFF"/>
                <w:sz w:val="28"/>
                <w:szCs w:val="28"/>
              </w:rPr>
              <w:t xml:space="preserve">Limited Rollout</w:t>
            </w:r>
          </w:p>
        </w:tc>
        <w:tc>
          <w:tcPr>
            <w:tcW w:type="dxa" w:w="1680"/>
            <w:tcBorders>
              <w:top w:val="single" w:color="BBBBBB" w:sz="1"/>
              <w:left w:val="single" w:color="BBBBBB" w:sz="1"/>
              <w:bottom w:val="single" w:color="BBBBBB" w:sz="1"/>
              <w:right w:val="single" w:color="BBBBBB" w:sz="1"/>
            </w:tcBorders>
            <w:shd w:fill="FFFFFF" w:val="clear"/>
            <w:tcMar>
              <w:top w:type="dxa" w:w="120"/>
              <w:left w:type="dxa" w:w="120"/>
              <w:bottom w:type="dxa" w:w="120"/>
              <w:right w:type="dxa" w:w="120"/>
            </w:tcMar>
            <w:vAlign w:val="center"/>
          </w:tcPr>
          <w:p>
            <w:pPr>
              <w:jc w:val="center"/>
            </w:pPr>
            <w:r>
              <w:rPr>
                <w:rFonts w:ascii="Arial" w:cs="Arial" w:eastAsia="Arial" w:hAnsi="Arial"/>
                <w:b/>
                <w:bCs/>
                <w:color w:val="1E6B2E"/>
                <w:sz w:val="18"/>
                <w:szCs w:val="18"/>
              </w:rPr>
              <w:t xml:space="preserve">Duration</w:t>
            </w:r>
          </w:p>
          <w:p>
            <w:pPr>
              <w:jc w:val="center"/>
            </w:pPr>
            <w:r>
              <w:rPr>
                <w:rFonts w:ascii="Arial" w:cs="Arial" w:eastAsia="Arial" w:hAnsi="Arial"/>
                <w:b/>
                <w:bCs/>
                <w:color w:val="1E6B2E"/>
                <w:sz w:val="22"/>
                <w:szCs w:val="22"/>
              </w:rPr>
              <w:t xml:space="preserve">3–6 Months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6B2E"/>
                <w:sz w:val="20"/>
                <w:szCs w:val="20"/>
              </w:rPr>
              <w:t xml:space="preserve">Purpose</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Expand to 30–60% of the target user base across additional departments or regions, validating that quality and efficiency gains hold at increased scale and with new user groups.</w:t>
            </w:r>
          </w:p>
        </w:tc>
      </w:tr>
      <w:tr>
        <w:tc>
          <w:tcPr>
            <w:tcW w:type="dxa" w:w="18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E6B2E"/>
                <w:sz w:val="20"/>
                <w:szCs w:val="20"/>
              </w:rPr>
              <w:t xml:space="preserve">Key Activities</w:t>
            </w:r>
          </w:p>
        </w:tc>
        <w:tc>
          <w:tcPr>
            <w:tcW w:type="dxa" w:w="75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1. Expand by department or geographic region — not by function type — so you test with genuinely different user behaviors. 2. Refine knowledge base based on gaps identified in the pilot. 3. Tune escalation thresholds using real escalation data from Phase 2. 4. Run change management training for newly onboarded groups before they go live. 5. Implement automated quality monitoring alerts that fire weekly. 6. Begin building the governance model that will carry into full deployment.</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6B2E"/>
                <w:sz w:val="20"/>
                <w:szCs w:val="20"/>
              </w:rPr>
              <w:t xml:space="preserve">Success Criteria</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Both KPIs maintained or improved vs. pilot levels at expanded scale. User adoption rate exceeds 75% in newly onboarded groups. No quality alert thresholds breached in any rolling 4-week window. Knowledge base gap rate (queries returned without confident answer) declines vs. pilot baseline.</w:t>
            </w:r>
          </w:p>
        </w:tc>
      </w:tr>
      <w:tr>
        <w:tc>
          <w:tcPr>
            <w:tcW w:type="dxa" w:w="18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E6B2E"/>
                <w:sz w:val="20"/>
                <w:szCs w:val="20"/>
              </w:rPr>
              <w:t xml:space="preserve">Go/No-Go Decision</w:t>
            </w:r>
          </w:p>
        </w:tc>
        <w:tc>
          <w:tcPr>
            <w:tcW w:type="dxa" w:w="75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If adoption is below threshold in new groups, investigate change management gaps before expanding further. Scale without adoption is waste.</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6B2E"/>
                <w:sz w:val="20"/>
                <w:szCs w:val="20"/>
              </w:rPr>
              <w:t xml:space="preserve">Typical Risks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New user groups have different workflows that surface uncovered edge cases. Technical performance degrades under higher concurrent load. Knowledge base updates lag behind real-world changes.</w:t>
            </w:r>
          </w:p>
        </w:tc>
      </w:tr>
      <w:tr>
        <w:tc>
          <w:tcPr>
            <w:tcW w:type="dxa" w:w="18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1E6B2E"/>
                <w:sz w:val="20"/>
                <w:szCs w:val="20"/>
              </w:rPr>
              <w:t xml:space="preserve">Stakeholder Actions</w:t>
            </w:r>
          </w:p>
        </w:tc>
        <w:tc>
          <w:tcPr>
            <w:tcW w:type="dxa" w:w="75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Department heads: champion rollout within teams, share success stories. IT: capacity planning and performance monitoring at scale. Executive sponsor: monthly outcome report with both KPIs visible. Governance committee: initial setup and charter definition.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240"/>
        <w:gridCol w:w="1680"/>
      </w:tblGrid>
      <w:tr>
        <w:tc>
          <w:tcPr>
            <w:tcW w:type="dxa" w:w="1440"/>
            <w:tcBorders>
              <w:top w:val="single" w:color="BBBBBB" w:sz="1"/>
              <w:left w:val="single" w:color="BBBBBB" w:sz="1"/>
              <w:bottom w:val="single" w:color="BBBBBB" w:sz="1"/>
              <w:right w:val="single" w:color="BBBBBB" w:sz="1"/>
            </w:tcBorders>
            <w:shd w:fill="7F4F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4</w:t>
            </w:r>
          </w:p>
        </w:tc>
        <w:tc>
          <w:tcPr>
            <w:tcW w:type="dxa" w:w="6240"/>
            <w:tcBorders>
              <w:top w:val="single" w:color="BBBBBB" w:sz="1"/>
              <w:left w:val="single" w:color="BBBBBB" w:sz="1"/>
              <w:bottom w:val="single" w:color="BBBBBB" w:sz="1"/>
              <w:right w:val="single" w:color="BBBBBB" w:sz="1"/>
            </w:tcBorders>
            <w:shd w:fill="7F4F00" w:val="clear"/>
            <w:tcMar>
              <w:top w:type="dxa" w:w="120"/>
              <w:left w:type="dxa" w:w="160"/>
              <w:bottom w:type="dxa" w:w="120"/>
              <w:right w:type="dxa" w:w="120"/>
            </w:tcMar>
            <w:vAlign w:val="center"/>
          </w:tcPr>
          <w:p>
            <w:r>
              <w:rPr>
                <w:rFonts w:ascii="Arial" w:cs="Arial" w:eastAsia="Arial" w:hAnsi="Arial"/>
                <w:b/>
                <w:bCs/>
                <w:color w:val="FFFFFF"/>
                <w:sz w:val="28"/>
                <w:szCs w:val="28"/>
              </w:rPr>
              <w:t xml:space="preserve">Full Deployment &amp; Continuous Improvement</w:t>
            </w:r>
          </w:p>
        </w:tc>
        <w:tc>
          <w:tcPr>
            <w:tcW w:type="dxa" w:w="1680"/>
            <w:tcBorders>
              <w:top w:val="single" w:color="BBBBBB" w:sz="1"/>
              <w:left w:val="single" w:color="BBBBBB" w:sz="1"/>
              <w:bottom w:val="single" w:color="BBBBBB" w:sz="1"/>
              <w:right w:val="single" w:color="BBBBBB" w:sz="1"/>
            </w:tcBorders>
            <w:shd w:fill="FFFFFF" w:val="clear"/>
            <w:tcMar>
              <w:top w:type="dxa" w:w="120"/>
              <w:left w:type="dxa" w:w="120"/>
              <w:bottom w:type="dxa" w:w="120"/>
              <w:right w:type="dxa" w:w="120"/>
            </w:tcMar>
            <w:vAlign w:val="center"/>
          </w:tcPr>
          <w:p>
            <w:pPr>
              <w:jc w:val="center"/>
            </w:pPr>
            <w:r>
              <w:rPr>
                <w:rFonts w:ascii="Arial" w:cs="Arial" w:eastAsia="Arial" w:hAnsi="Arial"/>
                <w:b/>
                <w:bCs/>
                <w:color w:val="7F4F00"/>
                <w:sz w:val="18"/>
                <w:szCs w:val="18"/>
              </w:rPr>
              <w:t xml:space="preserve">Duration</w:t>
            </w:r>
          </w:p>
          <w:p>
            <w:pPr>
              <w:jc w:val="center"/>
            </w:pPr>
            <w:r>
              <w:rPr>
                <w:rFonts w:ascii="Arial" w:cs="Arial" w:eastAsia="Arial" w:hAnsi="Arial"/>
                <w:b/>
                <w:bCs/>
                <w:color w:val="7F4F00"/>
                <w:sz w:val="22"/>
                <w:szCs w:val="22"/>
              </w:rPr>
              <w:t xml:space="preserve">Ongoing (min. 12 months)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7F4F00"/>
                <w:sz w:val="20"/>
                <w:szCs w:val="20"/>
              </w:rPr>
              <w:t xml:space="preserve">Purpose</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Achieve full organizational coverage with embedded governance, feedback loops, and a continuous improvement pipeline that keeps the AI agent effective over time.</w:t>
            </w:r>
          </w:p>
        </w:tc>
      </w:tr>
      <w:tr>
        <w:tc>
          <w:tcPr>
            <w:tcW w:type="dxa" w:w="18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7F4F00"/>
                <w:sz w:val="20"/>
                <w:szCs w:val="20"/>
              </w:rPr>
              <w:t xml:space="preserve">Key Activities</w:t>
            </w:r>
          </w:p>
        </w:tc>
        <w:tc>
          <w:tcPr>
            <w:tcW w:type="dxa" w:w="75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1. Complete rollout to remaining users, with phase-appropriate change management. 2. Establish governance committee with a quarterly review cadence. 3. Implement continuous model improvement pipeline: real interaction data feeds back into knowledge base updates and model fine-tuning. 4. Review and potentially expand AI scope into adjacent use cases only when current use case has 6+ months of stable quality data. 5. Maintain the 12-month satisfaction floor with quarterly reviews. 6. Conduct annual strategic alignment review: does the AI agent still fit the organization's goals?</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7F4F00"/>
                <w:sz w:val="20"/>
                <w:szCs w:val="20"/>
              </w:rPr>
              <w:t xml:space="preserve">Success Criteria</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target KPIs met at full scale for a sustained 6-month window. Governance process is operational with quarterly reviews documented. Model improvement cycle running at regular cadence. 12-month satisfaction floor not breached in any rolling window.</w:t>
            </w:r>
          </w:p>
        </w:tc>
      </w:tr>
      <w:tr>
        <w:tc>
          <w:tcPr>
            <w:tcW w:type="dxa" w:w="1800"/>
            <w:tcBorders>
              <w:top w:val="single" w:color="BBBBBB" w:sz="1"/>
              <w:left w:val="single" w:color="BBBBBB" w:sz="1"/>
              <w:bottom w:val="single" w:color="BBBBBB" w:sz="1"/>
              <w:right w:val="single" w:color="BBBBBB" w:sz="1"/>
            </w:tcBorders>
            <w:shd w:fill="EAF3FB" w:val="clear"/>
            <w:tcMar>
              <w:top w:type="dxa" w:w="80"/>
              <w:left w:type="dxa" w:w="120"/>
              <w:bottom w:type="dxa" w:w="80"/>
              <w:right w:type="dxa" w:w="120"/>
            </w:tcMar>
          </w:tcPr>
          <w:p>
            <w:r>
              <w:rPr>
                <w:rFonts w:ascii="Arial" w:cs="Arial" w:eastAsia="Arial" w:hAnsi="Arial"/>
                <w:b/>
                <w:bCs/>
                <w:color w:val="7F4F00"/>
                <w:sz w:val="20"/>
                <w:szCs w:val="20"/>
              </w:rPr>
              <w:t xml:space="preserve">Typical Risks</w:t>
            </w:r>
          </w:p>
        </w:tc>
        <w:tc>
          <w:tcPr>
            <w:tcW w:type="dxa" w:w="7560"/>
            <w:tcBorders>
              <w:top w:val="single" w:color="BBBBBB" w:sz="1"/>
              <w:left w:val="single" w:color="BBBBBB" w:sz="1"/>
              <w:bottom w:val="single" w:color="BBBBBB" w:sz="1"/>
              <w:right w:val="single" w:color="BBBBBB" w:sz="1"/>
            </w:tcBorders>
            <w:shd w:fill="F9F9F9" w:val="clear"/>
            <w:tcMar>
              <w:top w:type="dxa" w:w="80"/>
              <w:left w:type="dxa" w:w="120"/>
              <w:bottom w:type="dxa" w:w="80"/>
              <w:right w:type="dxa" w:w="120"/>
            </w:tcMar>
          </w:tcPr>
          <w:p>
            <w:r>
              <w:rPr>
                <w:rFonts w:ascii="Arial" w:cs="Arial" w:eastAsia="Arial" w:hAnsi="Arial"/>
                <w:sz w:val="20"/>
                <w:szCs w:val="20"/>
              </w:rPr>
              <w:t xml:space="preserve">Complacency following initial success — governance reviews become perfunctory. Knowledge base becomes stale as products, policies, or regulations change. Scope creep into adjacent use cases before current use case is fully stable.</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7F4F00"/>
                <w:sz w:val="20"/>
                <w:szCs w:val="20"/>
              </w:rPr>
              <w:t xml:space="preserve">Stakeholder Actions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Governance committee: quarterly reviews with mandatory quality and efficiency reporting. End users: structured feedback via standardized channels. Executive sponsor: annual strategic alignment review. IT: ongoing performance and security monitoring.</w:t>
            </w:r>
          </w:p>
        </w:tc>
      </w:tr>
    </w:tbl>
    <w:p>
      <w:pPr>
        <w:spacing w:after="120" w:before="0"/>
      </w:pPr>
      <w:r>
        <w:t xml:space="preserve"/>
      </w:r>
    </w:p>
    <w:p>
      <w:pPr>
        <w:pBdr>
          <w:bottom w:val="single" w:color="2E75B6" w:sz="4" w:space="1"/>
        </w:pBdr>
        <w:spacing w:after="120" w:before="120"/>
      </w:pPr>
      <w:r>
        <w:t xml:space="preserve"/>
      </w:r>
    </w:p>
    <w:p>
      <w:r>
        <w:br w:type="page"/>
      </w:r>
    </w:p>
    <w:p>
      <w:pPr>
        <w:spacing w:after="200" w:before="0"/>
        <w:jc w:val="center"/>
      </w:pPr>
      <w:r>
        <w:rPr>
          <w:rFonts w:ascii="Arial" w:cs="Arial" w:eastAsia="Arial" w:hAnsi="Arial"/>
          <w:b/>
          <w:bCs/>
          <w:color w:val="1F4E79"/>
          <w:sz w:val="32"/>
          <w:szCs w:val="32"/>
        </w:rPr>
        <w:t xml:space="preserve">PART 2: CRITICAL SUCCESS FACTORS CHECKLIST</w:t>
      </w:r>
    </w:p>
    <w:p>
      <w:pPr>
        <w:spacing w:after="80" w:before="80"/>
      </w:pPr>
      <w:r>
        <w:rPr>
          <w:rFonts w:ascii="Arial" w:cs="Arial" w:eastAsia="Arial" w:hAnsi="Arial"/>
          <w:sz w:val="22"/>
          <w:szCs w:val="22"/>
        </w:rPr>
        <w:t xml:space="preserve">Use the following checklists as go/no-go gates before advancing between phases. Items marked with an asterisk (*) are non-negotiable — failure to complete them is a documented failure mode from the case studies.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1F4E79"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PHASE 1 — Proof of Concept Gate</w:t>
            </w:r>
          </w:p>
        </w:tc>
      </w:tr>
    </w:tbl>
    <w:p>
      <w:pPr>
        <w:spacing w:after="60" w:before="0"/>
      </w:pPr>
      <w:r>
        <w:t xml:space="preserve"/>
      </w:r>
    </w:p>
    <w:p>
      <w:pPr>
        <w:pStyle w:val="Heading3"/>
        <w:spacing w:after="80" w:before="200"/>
      </w:pPr>
      <w:r>
        <w:rPr>
          <w:rFonts w:ascii="Arial" w:cs="Arial" w:eastAsia="Arial" w:hAnsi="Arial"/>
          <w:b/>
          <w:bCs/>
          <w:color w:val="333333"/>
          <w:sz w:val="24"/>
          <w:szCs w:val="24"/>
        </w:rPr>
        <w:t xml:space="preserve">Scope &amp; Problem Definition</w:t>
      </w:r>
    </w:p>
    <w:p>
      <w:pPr>
        <w:pStyle w:val="ListParagraph"/>
        <w:numPr>
          <w:ilvl w:val="0"/>
          <w:numId w:val="3"/>
        </w:numPr>
        <w:spacing w:after="40" w:before="40"/>
      </w:pPr>
      <w:r>
        <w:rPr>
          <w:rFonts w:ascii="Arial" w:cs="Arial" w:eastAsia="Arial" w:hAnsi="Arial"/>
          <w:sz w:val="22"/>
          <w:szCs w:val="22"/>
        </w:rPr>
        <w:t xml:space="preserve">* Problem statement is written in plain language, not technology language</w:t>
      </w:r>
    </w:p>
    <w:p>
      <w:pPr>
        <w:pStyle w:val="ListParagraph"/>
        <w:numPr>
          <w:ilvl w:val="0"/>
          <w:numId w:val="3"/>
        </w:numPr>
        <w:spacing w:after="40" w:before="40"/>
      </w:pPr>
      <w:r>
        <w:rPr>
          <w:rFonts w:ascii="Arial" w:cs="Arial" w:eastAsia="Arial" w:hAnsi="Arial"/>
          <w:sz w:val="22"/>
          <w:szCs w:val="22"/>
        </w:rPr>
        <w:t xml:space="preserve">* Scope is limited to ONE primary use case for the PoC</w:t>
      </w:r>
    </w:p>
    <w:p>
      <w:pPr>
        <w:pStyle w:val="ListParagraph"/>
        <w:numPr>
          <w:ilvl w:val="0"/>
          <w:numId w:val="3"/>
        </w:numPr>
        <w:spacing w:after="40" w:before="40"/>
      </w:pPr>
      <w:r>
        <w:rPr>
          <w:rFonts w:ascii="Arial" w:cs="Arial" w:eastAsia="Arial" w:hAnsi="Arial"/>
          <w:sz w:val="22"/>
          <w:szCs w:val="22"/>
        </w:rPr>
        <w:t xml:space="preserve">Target workflow is fully mapped, including all decision points and handoffs</w:t>
      </w:r>
    </w:p>
    <w:p>
      <w:pPr>
        <w:pStyle w:val="ListParagraph"/>
        <w:numPr>
          <w:ilvl w:val="0"/>
          <w:numId w:val="3"/>
        </w:numPr>
        <w:spacing w:after="40" w:before="40"/>
      </w:pPr>
      <w:r>
        <w:rPr>
          <w:rFonts w:ascii="Arial" w:cs="Arial" w:eastAsia="Arial" w:hAnsi="Arial"/>
          <w:sz w:val="22"/>
          <w:szCs w:val="22"/>
        </w:rPr>
        <w:t xml:space="preserve">Boundaries are defined: what the AI will handle, what it will not handle</w:t>
      </w:r>
    </w:p>
    <w:p>
      <w:pPr>
        <w:spacing w:after="60" w:before="0"/>
      </w:pPr>
      <w:r>
        <w:t xml:space="preserve"/>
      </w:r>
    </w:p>
    <w:p>
      <w:pPr>
        <w:pStyle w:val="Heading3"/>
        <w:spacing w:after="80" w:before="200"/>
      </w:pPr>
      <w:r>
        <w:rPr>
          <w:rFonts w:ascii="Arial" w:cs="Arial" w:eastAsia="Arial" w:hAnsi="Arial"/>
          <w:b/>
          <w:bCs/>
          <w:color w:val="333333"/>
          <w:sz w:val="24"/>
          <w:szCs w:val="24"/>
        </w:rPr>
        <w:t xml:space="preserve">Data &amp; Knowledge Base</w:t>
      </w:r>
    </w:p>
    <w:p>
      <w:pPr>
        <w:pStyle w:val="ListParagraph"/>
        <w:numPr>
          <w:ilvl w:val="0"/>
          <w:numId w:val="3"/>
        </w:numPr>
        <w:spacing w:after="40" w:before="40"/>
      </w:pPr>
      <w:r>
        <w:rPr>
          <w:rFonts w:ascii="Arial" w:cs="Arial" w:eastAsia="Arial" w:hAnsi="Arial"/>
          <w:sz w:val="22"/>
          <w:szCs w:val="22"/>
        </w:rPr>
        <w:t xml:space="preserve">* Knowledge base / documentation audit is complete</w:t>
      </w:r>
    </w:p>
    <w:p>
      <w:pPr>
        <w:pStyle w:val="ListParagraph"/>
        <w:numPr>
          <w:ilvl w:val="0"/>
          <w:numId w:val="3"/>
        </w:numPr>
        <w:spacing w:after="40" w:before="40"/>
      </w:pPr>
      <w:r>
        <w:rPr>
          <w:rFonts w:ascii="Arial" w:cs="Arial" w:eastAsia="Arial" w:hAnsi="Arial"/>
          <w:sz w:val="22"/>
          <w:szCs w:val="22"/>
        </w:rPr>
        <w:t xml:space="preserve">* Data gaps are identified with remediation plans</w:t>
      </w:r>
    </w:p>
    <w:p>
      <w:pPr>
        <w:pStyle w:val="ListParagraph"/>
        <w:numPr>
          <w:ilvl w:val="0"/>
          <w:numId w:val="3"/>
        </w:numPr>
        <w:spacing w:after="40" w:before="40"/>
      </w:pPr>
      <w:r>
        <w:rPr>
          <w:rFonts w:ascii="Arial" w:cs="Arial" w:eastAsia="Arial" w:hAnsi="Arial"/>
          <w:sz w:val="22"/>
          <w:szCs w:val="22"/>
        </w:rPr>
        <w:t xml:space="preserve">Data privacy and regulatory requirements are reviewed with legal/compliance</w:t>
      </w:r>
    </w:p>
    <w:p>
      <w:pPr>
        <w:pStyle w:val="ListParagraph"/>
        <w:numPr>
          <w:ilvl w:val="0"/>
          <w:numId w:val="3"/>
        </w:numPr>
        <w:spacing w:after="40" w:before="40"/>
      </w:pPr>
      <w:r>
        <w:rPr>
          <w:rFonts w:ascii="Arial" w:cs="Arial" w:eastAsia="Arial" w:hAnsi="Arial"/>
          <w:sz w:val="22"/>
          <w:szCs w:val="22"/>
        </w:rPr>
        <w:t xml:space="preserve">Integration requirements with existing systems are documented</w:t>
      </w:r>
    </w:p>
    <w:p>
      <w:pPr>
        <w:spacing w:after="60" w:before="0"/>
      </w:pPr>
      <w:r>
        <w:t xml:space="preserve"/>
      </w:r>
    </w:p>
    <w:p>
      <w:pPr>
        <w:pStyle w:val="Heading3"/>
        <w:spacing w:after="80" w:before="200"/>
      </w:pPr>
      <w:r>
        <w:rPr>
          <w:rFonts w:ascii="Arial" w:cs="Arial" w:eastAsia="Arial" w:hAnsi="Arial"/>
          <w:b/>
          <w:bCs/>
          <w:color w:val="333333"/>
          <w:sz w:val="24"/>
          <w:szCs w:val="24"/>
        </w:rPr>
        <w:t xml:space="preserve">Metrics</w:t>
      </w:r>
    </w:p>
    <w:p>
      <w:pPr>
        <w:pStyle w:val="ListParagraph"/>
        <w:numPr>
          <w:ilvl w:val="0"/>
          <w:numId w:val="3"/>
        </w:numPr>
        <w:spacing w:after="40" w:before="40"/>
      </w:pPr>
      <w:r>
        <w:rPr>
          <w:rFonts w:ascii="Arial" w:cs="Arial" w:eastAsia="Arial" w:hAnsi="Arial"/>
          <w:sz w:val="22"/>
          <w:szCs w:val="22"/>
        </w:rPr>
        <w:t xml:space="preserve">* Efficiency KPI is defined with a clear measurement method</w:t>
      </w:r>
    </w:p>
    <w:p>
      <w:pPr>
        <w:pStyle w:val="ListParagraph"/>
        <w:numPr>
          <w:ilvl w:val="0"/>
          <w:numId w:val="3"/>
        </w:numPr>
        <w:spacing w:after="40" w:before="40"/>
      </w:pPr>
      <w:r>
        <w:rPr>
          <w:rFonts w:ascii="Arial" w:cs="Arial" w:eastAsia="Arial" w:hAnsi="Arial"/>
          <w:sz w:val="22"/>
          <w:szCs w:val="22"/>
        </w:rPr>
        <w:t xml:space="preserve">* Quality KPI is defined with a clear measurement method</w:t>
      </w:r>
    </w:p>
    <w:p>
      <w:pPr>
        <w:pStyle w:val="ListParagraph"/>
        <w:numPr>
          <w:ilvl w:val="0"/>
          <w:numId w:val="3"/>
        </w:numPr>
        <w:spacing w:after="40" w:before="40"/>
      </w:pPr>
      <w:r>
        <w:rPr>
          <w:rFonts w:ascii="Arial" w:cs="Arial" w:eastAsia="Arial" w:hAnsi="Arial"/>
          <w:sz w:val="22"/>
          <w:szCs w:val="22"/>
        </w:rPr>
        <w:t xml:space="preserve">* Human baseline for both KPIs is measured and documented</w:t>
      </w:r>
    </w:p>
    <w:p>
      <w:pPr>
        <w:pStyle w:val="ListParagraph"/>
        <w:numPr>
          <w:ilvl w:val="0"/>
          <w:numId w:val="3"/>
        </w:numPr>
        <w:spacing w:after="40" w:before="40"/>
      </w:pPr>
      <w:r>
        <w:rPr>
          <w:rFonts w:ascii="Arial" w:cs="Arial" w:eastAsia="Arial" w:hAnsi="Arial"/>
          <w:sz w:val="22"/>
          <w:szCs w:val="22"/>
        </w:rPr>
        <w:t xml:space="preserve">12-month satisfaction floor target is proposed (even if not final)</w:t>
      </w:r>
    </w:p>
    <w:p>
      <w:pPr>
        <w:spacing w:after="60" w:before="0"/>
      </w:pPr>
      <w:r>
        <w:t xml:space="preserve"/>
      </w:r>
    </w:p>
    <w:p>
      <w:pPr>
        <w:pStyle w:val="Heading3"/>
        <w:spacing w:after="80" w:before="200"/>
      </w:pPr>
      <w:r>
        <w:rPr>
          <w:rFonts w:ascii="Arial" w:cs="Arial" w:eastAsia="Arial" w:hAnsi="Arial"/>
          <w:b/>
          <w:bCs/>
          <w:color w:val="333333"/>
          <w:sz w:val="24"/>
          <w:szCs w:val="24"/>
        </w:rPr>
        <w:t xml:space="preserve">Stakeholders</w:t>
      </w:r>
    </w:p>
    <w:p>
      <w:pPr>
        <w:pStyle w:val="ListParagraph"/>
        <w:numPr>
          <w:ilvl w:val="0"/>
          <w:numId w:val="3"/>
        </w:numPr>
        <w:spacing w:after="40" w:before="40"/>
      </w:pPr>
      <w:r>
        <w:rPr>
          <w:rFonts w:ascii="Arial" w:cs="Arial" w:eastAsia="Arial" w:hAnsi="Arial"/>
          <w:sz w:val="22"/>
          <w:szCs w:val="22"/>
        </w:rPr>
        <w:t xml:space="preserve">Executive sponsor is named and has approved the business case</w:t>
      </w:r>
    </w:p>
    <w:p>
      <w:pPr>
        <w:pStyle w:val="ListParagraph"/>
        <w:numPr>
          <w:ilvl w:val="0"/>
          <w:numId w:val="3"/>
        </w:numPr>
        <w:spacing w:after="40" w:before="40"/>
      </w:pPr>
      <w:r>
        <w:rPr>
          <w:rFonts w:ascii="Arial" w:cs="Arial" w:eastAsia="Arial" w:hAnsi="Arial"/>
          <w:sz w:val="22"/>
          <w:szCs w:val="22"/>
        </w:rPr>
        <w:t xml:space="preserve">Domain experts have been briefed and committed to validation time</w:t>
      </w:r>
    </w:p>
    <w:p>
      <w:pPr>
        <w:pStyle w:val="ListParagraph"/>
        <w:numPr>
          <w:ilvl w:val="0"/>
          <w:numId w:val="3"/>
        </w:numPr>
        <w:spacing w:after="40" w:before="40"/>
      </w:pPr>
      <w:r>
        <w:rPr>
          <w:rFonts w:ascii="Arial" w:cs="Arial" w:eastAsia="Arial" w:hAnsi="Arial"/>
          <w:sz w:val="22"/>
          <w:szCs w:val="22"/>
        </w:rPr>
        <w:t xml:space="preserve">IT/Security has reviewed the proposed technology stack</w:t>
      </w:r>
    </w:p>
    <w:p>
      <w:pPr>
        <w:pStyle w:val="ListParagraph"/>
        <w:numPr>
          <w:ilvl w:val="0"/>
          <w:numId w:val="3"/>
        </w:numPr>
        <w:spacing w:after="40" w:before="40"/>
      </w:pPr>
      <w:r>
        <w:rPr>
          <w:rFonts w:ascii="Arial" w:cs="Arial" w:eastAsia="Arial" w:hAnsi="Arial"/>
          <w:sz w:val="22"/>
          <w:szCs w:val="22"/>
        </w:rPr>
        <w:t xml:space="preserve">Change management lead is identified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PHASE 2 — Pilot Program Gate</w:t>
            </w:r>
          </w:p>
        </w:tc>
      </w:tr>
    </w:tbl>
    <w:p>
      <w:pPr>
        <w:spacing w:after="60" w:before="0"/>
      </w:pPr>
      <w:r>
        <w:t xml:space="preserve"/>
      </w:r>
    </w:p>
    <w:p>
      <w:pPr>
        <w:pStyle w:val="Heading3"/>
        <w:spacing w:after="80" w:before="200"/>
      </w:pPr>
      <w:r>
        <w:rPr>
          <w:rFonts w:ascii="Arial" w:cs="Arial" w:eastAsia="Arial" w:hAnsi="Arial"/>
          <w:b/>
          <w:bCs/>
          <w:color w:val="333333"/>
          <w:sz w:val="24"/>
          <w:szCs w:val="24"/>
        </w:rPr>
        <w:t xml:space="preserve">Readiness</w:t>
      </w:r>
    </w:p>
    <w:p>
      <w:pPr>
        <w:pStyle w:val="ListParagraph"/>
        <w:numPr>
          <w:ilvl w:val="0"/>
          <w:numId w:val="3"/>
        </w:numPr>
        <w:spacing w:after="40" w:before="40"/>
      </w:pPr>
      <w:r>
        <w:rPr>
          <w:rFonts w:ascii="Arial" w:cs="Arial" w:eastAsia="Arial" w:hAnsi="Arial"/>
          <w:sz w:val="22"/>
          <w:szCs w:val="22"/>
        </w:rPr>
        <w:t xml:space="preserve">* PoC success criteria were all met before proceeding</w:t>
      </w:r>
    </w:p>
    <w:p>
      <w:pPr>
        <w:pStyle w:val="ListParagraph"/>
        <w:numPr>
          <w:ilvl w:val="0"/>
          <w:numId w:val="3"/>
        </w:numPr>
        <w:spacing w:after="40" w:before="40"/>
      </w:pPr>
      <w:r>
        <w:rPr>
          <w:rFonts w:ascii="Arial" w:cs="Arial" w:eastAsia="Arial" w:hAnsi="Arial"/>
          <w:sz w:val="22"/>
          <w:szCs w:val="22"/>
        </w:rPr>
        <w:t xml:space="preserve">* Human escalation paths are designed, tested, and confirmed functional</w:t>
      </w:r>
    </w:p>
    <w:p>
      <w:pPr>
        <w:pStyle w:val="ListParagraph"/>
        <w:numPr>
          <w:ilvl w:val="0"/>
          <w:numId w:val="3"/>
        </w:numPr>
        <w:spacing w:after="40" w:before="40"/>
      </w:pPr>
      <w:r>
        <w:rPr>
          <w:rFonts w:ascii="Arial" w:cs="Arial" w:eastAsia="Arial" w:hAnsi="Arial"/>
          <w:sz w:val="22"/>
          <w:szCs w:val="22"/>
        </w:rPr>
        <w:t xml:space="preserve">* AI decision logging is enabled from Day 1 (inputs, outputs, confidence, escalations)</w:t>
      </w:r>
    </w:p>
    <w:p>
      <w:pPr>
        <w:pStyle w:val="ListParagraph"/>
        <w:numPr>
          <w:ilvl w:val="0"/>
          <w:numId w:val="3"/>
        </w:numPr>
        <w:spacing w:after="40" w:before="40"/>
      </w:pPr>
      <w:r>
        <w:rPr>
          <w:rFonts w:ascii="Arial" w:cs="Arial" w:eastAsia="Arial" w:hAnsi="Arial"/>
          <w:sz w:val="22"/>
          <w:szCs w:val="22"/>
        </w:rPr>
        <w:t xml:space="preserve">Pilot user group is representative of the full user base — not just early adopters</w:t>
      </w:r>
    </w:p>
    <w:p>
      <w:pPr>
        <w:spacing w:after="60" w:before="0"/>
      </w:pPr>
      <w:r>
        <w:t xml:space="preserve"/>
      </w:r>
    </w:p>
    <w:p>
      <w:pPr>
        <w:pStyle w:val="Heading3"/>
        <w:spacing w:after="80" w:before="200"/>
      </w:pPr>
      <w:r>
        <w:rPr>
          <w:rFonts w:ascii="Arial" w:cs="Arial" w:eastAsia="Arial" w:hAnsi="Arial"/>
          <w:b/>
          <w:bCs/>
          <w:color w:val="333333"/>
          <w:sz w:val="24"/>
          <w:szCs w:val="24"/>
        </w:rPr>
        <w:t xml:space="preserve">Monitoring</w:t>
      </w:r>
    </w:p>
    <w:p>
      <w:pPr>
        <w:pStyle w:val="ListParagraph"/>
        <w:numPr>
          <w:ilvl w:val="0"/>
          <w:numId w:val="3"/>
        </w:numPr>
        <w:spacing w:after="40" w:before="40"/>
      </w:pPr>
      <w:r>
        <w:rPr>
          <w:rFonts w:ascii="Arial" w:cs="Arial" w:eastAsia="Arial" w:hAnsi="Arial"/>
          <w:sz w:val="22"/>
          <w:szCs w:val="22"/>
        </w:rPr>
        <w:t xml:space="preserve">* Weekly KPI dashboard is set up and responsibility is assigned</w:t>
      </w:r>
    </w:p>
    <w:p>
      <w:pPr>
        <w:pStyle w:val="ListParagraph"/>
        <w:numPr>
          <w:ilvl w:val="0"/>
          <w:numId w:val="3"/>
        </w:numPr>
        <w:spacing w:after="40" w:before="40"/>
      </w:pPr>
      <w:r>
        <w:rPr>
          <w:rFonts w:ascii="Arial" w:cs="Arial" w:eastAsia="Arial" w:hAnsi="Arial"/>
          <w:sz w:val="22"/>
          <w:szCs w:val="22"/>
        </w:rPr>
        <w:t xml:space="preserve">* Quality alert threshold is configured with notification owner named</w:t>
      </w:r>
    </w:p>
    <w:p>
      <w:pPr>
        <w:pStyle w:val="ListParagraph"/>
        <w:numPr>
          <w:ilvl w:val="0"/>
          <w:numId w:val="3"/>
        </w:numPr>
        <w:spacing w:after="40" w:before="40"/>
      </w:pPr>
      <w:r>
        <w:rPr>
          <w:rFonts w:ascii="Arial" w:cs="Arial" w:eastAsia="Arial" w:hAnsi="Arial"/>
          <w:sz w:val="22"/>
          <w:szCs w:val="22"/>
        </w:rPr>
        <w:t xml:space="preserve">* 12-month satisfaction floor is locked and documented</w:t>
      </w:r>
    </w:p>
    <w:p>
      <w:pPr>
        <w:pStyle w:val="ListParagraph"/>
        <w:numPr>
          <w:ilvl w:val="0"/>
          <w:numId w:val="3"/>
        </w:numPr>
        <w:spacing w:after="40" w:before="40"/>
      </w:pPr>
      <w:r>
        <w:rPr>
          <w:rFonts w:ascii="Arial" w:cs="Arial" w:eastAsia="Arial" w:hAnsi="Arial"/>
          <w:sz w:val="22"/>
          <w:szCs w:val="22"/>
        </w:rPr>
        <w:t xml:space="preserve">Structured user interview schedule is booked for Weeks 4 and 8</w:t>
      </w:r>
    </w:p>
    <w:p>
      <w:pPr>
        <w:spacing w:after="60" w:before="0"/>
      </w:pPr>
      <w:r>
        <w:t xml:space="preserve"/>
      </w:r>
    </w:p>
    <w:p>
      <w:pPr>
        <w:pStyle w:val="Heading3"/>
        <w:spacing w:after="80" w:before="200"/>
      </w:pPr>
      <w:r>
        <w:rPr>
          <w:rFonts w:ascii="Arial" w:cs="Arial" w:eastAsia="Arial" w:hAnsi="Arial"/>
          <w:b/>
          <w:bCs/>
          <w:color w:val="333333"/>
          <w:sz w:val="24"/>
          <w:szCs w:val="24"/>
        </w:rPr>
        <w:t xml:space="preserve">Change Management</w:t>
      </w:r>
    </w:p>
    <w:p>
      <w:pPr>
        <w:pStyle w:val="ListParagraph"/>
        <w:numPr>
          <w:ilvl w:val="0"/>
          <w:numId w:val="3"/>
        </w:numPr>
        <w:spacing w:after="40" w:before="40"/>
      </w:pPr>
      <w:r>
        <w:rPr>
          <w:rFonts w:ascii="Arial" w:cs="Arial" w:eastAsia="Arial" w:hAnsi="Arial"/>
          <w:sz w:val="22"/>
          <w:szCs w:val="22"/>
        </w:rPr>
        <w:t xml:space="preserve">Pilot group users have been briefed on what the AI can and cannot do</w:t>
      </w:r>
    </w:p>
    <w:p>
      <w:pPr>
        <w:pStyle w:val="ListParagraph"/>
        <w:numPr>
          <w:ilvl w:val="0"/>
          <w:numId w:val="3"/>
        </w:numPr>
        <w:spacing w:after="40" w:before="40"/>
      </w:pPr>
      <w:r>
        <w:rPr>
          <w:rFonts w:ascii="Arial" w:cs="Arial" w:eastAsia="Arial" w:hAnsi="Arial"/>
          <w:sz w:val="22"/>
          <w:szCs w:val="22"/>
        </w:rPr>
        <w:t xml:space="preserve">Escalation path is clearly communicated to pilot group users</w:t>
      </w:r>
    </w:p>
    <w:p>
      <w:pPr>
        <w:pStyle w:val="ListParagraph"/>
        <w:numPr>
          <w:ilvl w:val="0"/>
          <w:numId w:val="3"/>
        </w:numPr>
        <w:spacing w:after="40" w:before="40"/>
      </w:pPr>
      <w:r>
        <w:rPr>
          <w:rFonts w:ascii="Arial" w:cs="Arial" w:eastAsia="Arial" w:hAnsi="Arial"/>
          <w:sz w:val="22"/>
          <w:szCs w:val="22"/>
        </w:rPr>
        <w:t xml:space="preserve">Feedback channel (survey, Slack, etc.) is open and publicized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1E6B2E"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PHASE 3 — Limited Rollout Gate</w:t>
            </w:r>
          </w:p>
        </w:tc>
      </w:tr>
    </w:tbl>
    <w:p>
      <w:pPr>
        <w:spacing w:after="60" w:before="0"/>
      </w:pPr>
      <w:r>
        <w:t xml:space="preserve"/>
      </w:r>
    </w:p>
    <w:p>
      <w:pPr>
        <w:pStyle w:val="Heading3"/>
        <w:spacing w:after="80" w:before="200"/>
      </w:pPr>
      <w:r>
        <w:rPr>
          <w:rFonts w:ascii="Arial" w:cs="Arial" w:eastAsia="Arial" w:hAnsi="Arial"/>
          <w:b/>
          <w:bCs/>
          <w:color w:val="333333"/>
          <w:sz w:val="24"/>
          <w:szCs w:val="24"/>
        </w:rPr>
        <w:t xml:space="preserve">Quality Confirmation</w:t>
      </w:r>
    </w:p>
    <w:p>
      <w:pPr>
        <w:pStyle w:val="ListParagraph"/>
        <w:numPr>
          <w:ilvl w:val="0"/>
          <w:numId w:val="3"/>
        </w:numPr>
        <w:spacing w:after="40" w:before="40"/>
      </w:pPr>
      <w:r>
        <w:rPr>
          <w:rFonts w:ascii="Arial" w:cs="Arial" w:eastAsia="Arial" w:hAnsi="Arial"/>
          <w:sz w:val="22"/>
          <w:szCs w:val="22"/>
        </w:rPr>
        <w:t xml:space="preserve">* Both KPIs maintained or improved vs. human baseline across full pilot period</w:t>
      </w:r>
    </w:p>
    <w:p>
      <w:pPr>
        <w:pStyle w:val="ListParagraph"/>
        <w:numPr>
          <w:ilvl w:val="0"/>
          <w:numId w:val="3"/>
        </w:numPr>
        <w:spacing w:after="40" w:before="40"/>
      </w:pPr>
      <w:r>
        <w:rPr>
          <w:rFonts w:ascii="Arial" w:cs="Arial" w:eastAsia="Arial" w:hAnsi="Arial"/>
          <w:sz w:val="22"/>
          <w:szCs w:val="22"/>
        </w:rPr>
        <w:t xml:space="preserve">* No quality alerts fired in the final 4 weeks of the pilot</w:t>
      </w:r>
    </w:p>
    <w:p>
      <w:pPr>
        <w:pStyle w:val="ListParagraph"/>
        <w:numPr>
          <w:ilvl w:val="0"/>
          <w:numId w:val="3"/>
        </w:numPr>
        <w:spacing w:after="40" w:before="40"/>
      </w:pPr>
      <w:r>
        <w:rPr>
          <w:rFonts w:ascii="Arial" w:cs="Arial" w:eastAsia="Arial" w:hAnsi="Arial"/>
          <w:sz w:val="22"/>
          <w:szCs w:val="22"/>
        </w:rPr>
        <w:t xml:space="preserve">* Qualitative feedback from structured interviews is net positive</w:t>
      </w:r>
    </w:p>
    <w:p>
      <w:pPr>
        <w:pStyle w:val="ListParagraph"/>
        <w:numPr>
          <w:ilvl w:val="0"/>
          <w:numId w:val="3"/>
        </w:numPr>
        <w:spacing w:after="40" w:before="40"/>
      </w:pPr>
      <w:r>
        <w:rPr>
          <w:rFonts w:ascii="Arial" w:cs="Arial" w:eastAsia="Arial" w:hAnsi="Arial"/>
          <w:sz w:val="22"/>
          <w:szCs w:val="22"/>
        </w:rPr>
        <w:t xml:space="preserve">Knowledge base gaps from pilot have been addressed</w:t>
      </w:r>
    </w:p>
    <w:p>
      <w:pPr>
        <w:spacing w:after="60" w:before="0"/>
      </w:pPr>
      <w:r>
        <w:t xml:space="preserve"/>
      </w:r>
    </w:p>
    <w:p>
      <w:pPr>
        <w:pStyle w:val="Heading3"/>
        <w:spacing w:after="80" w:before="200"/>
      </w:pPr>
      <w:r>
        <w:rPr>
          <w:rFonts w:ascii="Arial" w:cs="Arial" w:eastAsia="Arial" w:hAnsi="Arial"/>
          <w:b/>
          <w:bCs/>
          <w:color w:val="333333"/>
          <w:sz w:val="24"/>
          <w:szCs w:val="24"/>
        </w:rPr>
        <w:t xml:space="preserve">Scaling Readiness</w:t>
      </w:r>
    </w:p>
    <w:p>
      <w:pPr>
        <w:pStyle w:val="ListParagraph"/>
        <w:numPr>
          <w:ilvl w:val="0"/>
          <w:numId w:val="3"/>
        </w:numPr>
        <w:spacing w:after="40" w:before="40"/>
      </w:pPr>
      <w:r>
        <w:rPr>
          <w:rFonts w:ascii="Arial" w:cs="Arial" w:eastAsia="Arial" w:hAnsi="Arial"/>
          <w:sz w:val="22"/>
          <w:szCs w:val="22"/>
        </w:rPr>
        <w:t xml:space="preserve">Escalation thresholds have been tuned using real pilot data — not theoretical estimates</w:t>
      </w:r>
    </w:p>
    <w:p>
      <w:pPr>
        <w:pStyle w:val="ListParagraph"/>
        <w:numPr>
          <w:ilvl w:val="0"/>
          <w:numId w:val="3"/>
        </w:numPr>
        <w:spacing w:after="40" w:before="40"/>
      </w:pPr>
      <w:r>
        <w:rPr>
          <w:rFonts w:ascii="Arial" w:cs="Arial" w:eastAsia="Arial" w:hAnsi="Arial"/>
          <w:sz w:val="22"/>
          <w:szCs w:val="22"/>
        </w:rPr>
        <w:t xml:space="preserve">Performance load testing has been completed for anticipated rollout volumes</w:t>
      </w:r>
    </w:p>
    <w:p>
      <w:pPr>
        <w:pStyle w:val="ListParagraph"/>
        <w:numPr>
          <w:ilvl w:val="0"/>
          <w:numId w:val="3"/>
        </w:numPr>
        <w:spacing w:after="40" w:before="40"/>
      </w:pPr>
      <w:r>
        <w:rPr>
          <w:rFonts w:ascii="Arial" w:cs="Arial" w:eastAsia="Arial" w:hAnsi="Arial"/>
          <w:sz w:val="22"/>
          <w:szCs w:val="22"/>
        </w:rPr>
        <w:t xml:space="preserve">IT capacity plan is in place for expanded user base</w:t>
      </w:r>
    </w:p>
    <w:p>
      <w:pPr>
        <w:spacing w:after="60" w:before="0"/>
      </w:pPr>
      <w:r>
        <w:t xml:space="preserve"/>
      </w:r>
    </w:p>
    <w:p>
      <w:pPr>
        <w:pStyle w:val="Heading3"/>
        <w:spacing w:after="80" w:before="200"/>
      </w:pPr>
      <w:r>
        <w:rPr>
          <w:rFonts w:ascii="Arial" w:cs="Arial" w:eastAsia="Arial" w:hAnsi="Arial"/>
          <w:b/>
          <w:bCs/>
          <w:color w:val="333333"/>
          <w:sz w:val="24"/>
          <w:szCs w:val="24"/>
        </w:rPr>
        <w:t xml:space="preserve">Change Management</w:t>
      </w:r>
    </w:p>
    <w:p>
      <w:pPr>
        <w:pStyle w:val="ListParagraph"/>
        <w:numPr>
          <w:ilvl w:val="0"/>
          <w:numId w:val="3"/>
        </w:numPr>
        <w:spacing w:after="40" w:before="40"/>
      </w:pPr>
      <w:r>
        <w:rPr>
          <w:rFonts w:ascii="Arial" w:cs="Arial" w:eastAsia="Arial" w:hAnsi="Arial"/>
          <w:sz w:val="22"/>
          <w:szCs w:val="22"/>
        </w:rPr>
        <w:t xml:space="preserve">Department heads in rollout scope are briefed and committed</w:t>
      </w:r>
    </w:p>
    <w:p>
      <w:pPr>
        <w:pStyle w:val="ListParagraph"/>
        <w:numPr>
          <w:ilvl w:val="0"/>
          <w:numId w:val="3"/>
        </w:numPr>
        <w:spacing w:after="40" w:before="40"/>
      </w:pPr>
      <w:r>
        <w:rPr>
          <w:rFonts w:ascii="Arial" w:cs="Arial" w:eastAsia="Arial" w:hAnsi="Arial"/>
          <w:sz w:val="22"/>
          <w:szCs w:val="22"/>
        </w:rPr>
        <w:t xml:space="preserve">Change management training materials are prepared for new user groups</w:t>
      </w:r>
    </w:p>
    <w:p>
      <w:pPr>
        <w:pStyle w:val="ListParagraph"/>
        <w:numPr>
          <w:ilvl w:val="0"/>
          <w:numId w:val="3"/>
        </w:numPr>
        <w:spacing w:after="40" w:before="40"/>
      </w:pPr>
      <w:r>
        <w:rPr>
          <w:rFonts w:ascii="Arial" w:cs="Arial" w:eastAsia="Arial" w:hAnsi="Arial"/>
          <w:sz w:val="22"/>
          <w:szCs w:val="22"/>
        </w:rPr>
        <w:t xml:space="preserve">Rollout schedule is communicated to all impacted departments in advance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7F4F00"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PHASE 4 — Full Deployment Gate</w:t>
            </w:r>
          </w:p>
        </w:tc>
      </w:tr>
    </w:tbl>
    <w:p>
      <w:pPr>
        <w:spacing w:after="60" w:before="0"/>
      </w:pPr>
      <w:r>
        <w:t xml:space="preserve"/>
      </w:r>
    </w:p>
    <w:p>
      <w:pPr>
        <w:pStyle w:val="Heading3"/>
        <w:spacing w:after="80" w:before="200"/>
      </w:pPr>
      <w:r>
        <w:rPr>
          <w:rFonts w:ascii="Arial" w:cs="Arial" w:eastAsia="Arial" w:hAnsi="Arial"/>
          <w:b/>
          <w:bCs/>
          <w:color w:val="333333"/>
          <w:sz w:val="24"/>
          <w:szCs w:val="24"/>
        </w:rPr>
        <w:t xml:space="preserve">Governance</w:t>
      </w:r>
    </w:p>
    <w:p>
      <w:pPr>
        <w:pStyle w:val="ListParagraph"/>
        <w:numPr>
          <w:ilvl w:val="0"/>
          <w:numId w:val="3"/>
        </w:numPr>
        <w:spacing w:after="40" w:before="40"/>
      </w:pPr>
      <w:r>
        <w:rPr>
          <w:rFonts w:ascii="Arial" w:cs="Arial" w:eastAsia="Arial" w:hAnsi="Arial"/>
          <w:sz w:val="22"/>
          <w:szCs w:val="22"/>
        </w:rPr>
        <w:t xml:space="preserve">* Governance committee is formed with named members and meeting cadence confirmed</w:t>
      </w:r>
    </w:p>
    <w:p>
      <w:pPr>
        <w:pStyle w:val="ListParagraph"/>
        <w:numPr>
          <w:ilvl w:val="0"/>
          <w:numId w:val="3"/>
        </w:numPr>
        <w:spacing w:after="40" w:before="40"/>
      </w:pPr>
      <w:r>
        <w:rPr>
          <w:rFonts w:ascii="Arial" w:cs="Arial" w:eastAsia="Arial" w:hAnsi="Arial"/>
          <w:sz w:val="22"/>
          <w:szCs w:val="22"/>
        </w:rPr>
        <w:t xml:space="preserve">* Quarterly review template is prepared with mandatory KPI and quality reporting</w:t>
      </w:r>
    </w:p>
    <w:p>
      <w:pPr>
        <w:pStyle w:val="ListParagraph"/>
        <w:numPr>
          <w:ilvl w:val="0"/>
          <w:numId w:val="3"/>
        </w:numPr>
        <w:spacing w:after="40" w:before="40"/>
      </w:pPr>
      <w:r>
        <w:rPr>
          <w:rFonts w:ascii="Arial" w:cs="Arial" w:eastAsia="Arial" w:hAnsi="Arial"/>
          <w:sz w:val="22"/>
          <w:szCs w:val="22"/>
        </w:rPr>
        <w:t xml:space="preserve">* Rollback criteria are defined in writing: specific conditions that trigger scope reduction</w:t>
      </w:r>
    </w:p>
    <w:p>
      <w:pPr>
        <w:pStyle w:val="ListParagraph"/>
        <w:numPr>
          <w:ilvl w:val="0"/>
          <w:numId w:val="3"/>
        </w:numPr>
        <w:spacing w:after="40" w:before="40"/>
      </w:pPr>
      <w:r>
        <w:rPr>
          <w:rFonts w:ascii="Arial" w:cs="Arial" w:eastAsia="Arial" w:hAnsi="Arial"/>
          <w:sz w:val="22"/>
          <w:szCs w:val="22"/>
        </w:rPr>
        <w:t xml:space="preserve">Annual strategic alignment review is scheduled</w:t>
      </w:r>
    </w:p>
    <w:p>
      <w:pPr>
        <w:spacing w:after="60" w:before="0"/>
      </w:pPr>
      <w:r>
        <w:t xml:space="preserve"/>
      </w:r>
    </w:p>
    <w:p>
      <w:pPr>
        <w:pStyle w:val="Heading3"/>
        <w:spacing w:after="80" w:before="200"/>
      </w:pPr>
      <w:r>
        <w:rPr>
          <w:rFonts w:ascii="Arial" w:cs="Arial" w:eastAsia="Arial" w:hAnsi="Arial"/>
          <w:b/>
          <w:bCs/>
          <w:color w:val="333333"/>
          <w:sz w:val="24"/>
          <w:szCs w:val="24"/>
        </w:rPr>
        <w:t xml:space="preserve">Continuous Improvement</w:t>
      </w:r>
    </w:p>
    <w:p>
      <w:pPr>
        <w:pStyle w:val="ListParagraph"/>
        <w:numPr>
          <w:ilvl w:val="0"/>
          <w:numId w:val="3"/>
        </w:numPr>
        <w:spacing w:after="40" w:before="40"/>
      </w:pPr>
      <w:r>
        <w:rPr>
          <w:rFonts w:ascii="Arial" w:cs="Arial" w:eastAsia="Arial" w:hAnsi="Arial"/>
          <w:sz w:val="22"/>
          <w:szCs w:val="22"/>
        </w:rPr>
        <w:t xml:space="preserve">Model improvement pipeline is operational — not just planned</w:t>
      </w:r>
    </w:p>
    <w:p>
      <w:pPr>
        <w:pStyle w:val="ListParagraph"/>
        <w:numPr>
          <w:ilvl w:val="0"/>
          <w:numId w:val="3"/>
        </w:numPr>
        <w:spacing w:after="40" w:before="40"/>
      </w:pPr>
      <w:r>
        <w:rPr>
          <w:rFonts w:ascii="Arial" w:cs="Arial" w:eastAsia="Arial" w:hAnsi="Arial"/>
          <w:sz w:val="22"/>
          <w:szCs w:val="22"/>
        </w:rPr>
        <w:t xml:space="preserve">Knowledge base update process is documented with an owner</w:t>
      </w:r>
    </w:p>
    <w:p>
      <w:pPr>
        <w:pStyle w:val="ListParagraph"/>
        <w:numPr>
          <w:ilvl w:val="0"/>
          <w:numId w:val="3"/>
        </w:numPr>
        <w:spacing w:after="40" w:before="40"/>
      </w:pPr>
      <w:r>
        <w:rPr>
          <w:rFonts w:ascii="Arial" w:cs="Arial" w:eastAsia="Arial" w:hAnsi="Arial"/>
          <w:sz w:val="22"/>
          <w:szCs w:val="22"/>
        </w:rPr>
        <w:t xml:space="preserve">Feedback loop from users to knowledge base updates is functional</w:t>
      </w:r>
    </w:p>
    <w:p>
      <w:pPr>
        <w:spacing w:after="60" w:before="0"/>
      </w:pPr>
      <w:r>
        <w:t xml:space="preserve"/>
      </w:r>
    </w:p>
    <w:p>
      <w:pPr>
        <w:pStyle w:val="Heading3"/>
        <w:spacing w:after="80" w:before="200"/>
      </w:pPr>
      <w:r>
        <w:rPr>
          <w:rFonts w:ascii="Arial" w:cs="Arial" w:eastAsia="Arial" w:hAnsi="Arial"/>
          <w:b/>
          <w:bCs/>
          <w:color w:val="333333"/>
          <w:sz w:val="24"/>
          <w:szCs w:val="24"/>
        </w:rPr>
        <w:t xml:space="preserve">Sustainability</w:t>
      </w:r>
    </w:p>
    <w:p>
      <w:pPr>
        <w:pStyle w:val="ListParagraph"/>
        <w:numPr>
          <w:ilvl w:val="0"/>
          <w:numId w:val="3"/>
        </w:numPr>
        <w:spacing w:after="40" w:before="40"/>
      </w:pPr>
      <w:r>
        <w:rPr>
          <w:rFonts w:ascii="Arial" w:cs="Arial" w:eastAsia="Arial" w:hAnsi="Arial"/>
          <w:sz w:val="22"/>
          <w:szCs w:val="22"/>
        </w:rPr>
        <w:t xml:space="preserve">Scope expansion criteria are defined: minimum months of stable data before adding new use cases</w:t>
      </w:r>
    </w:p>
    <w:p>
      <w:pPr>
        <w:pStyle w:val="ListParagraph"/>
        <w:numPr>
          <w:ilvl w:val="0"/>
          <w:numId w:val="3"/>
        </w:numPr>
        <w:spacing w:after="40" w:before="40"/>
      </w:pPr>
      <w:r>
        <w:rPr>
          <w:rFonts w:ascii="Arial" w:cs="Arial" w:eastAsia="Arial" w:hAnsi="Arial"/>
          <w:sz w:val="22"/>
          <w:szCs w:val="22"/>
        </w:rPr>
        <w:t xml:space="preserve">Employee training and upskilling plan is in place for users whose roles have changed</w:t>
      </w:r>
    </w:p>
    <w:p>
      <w:pPr>
        <w:pStyle w:val="ListParagraph"/>
        <w:numPr>
          <w:ilvl w:val="0"/>
          <w:numId w:val="3"/>
        </w:numPr>
        <w:spacing w:after="40" w:before="40"/>
      </w:pPr>
      <w:r>
        <w:rPr>
          <w:rFonts w:ascii="Arial" w:cs="Arial" w:eastAsia="Arial" w:hAnsi="Arial"/>
          <w:sz w:val="22"/>
          <w:szCs w:val="22"/>
        </w:rPr>
        <w:t xml:space="preserve">Vendor/technology dependency risks are assessed and mitigated</w:t>
      </w:r>
    </w:p>
    <w:p>
      <w:pPr>
        <w:spacing w:after="120" w:before="0"/>
      </w:pPr>
      <w:r>
        <w:t xml:space="preserve"/>
      </w:r>
    </w:p>
    <w:p>
      <w:pPr>
        <w:pBdr>
          <w:bottom w:val="single" w:color="2E75B6" w:sz="4" w:space="1"/>
        </w:pBdr>
        <w:spacing w:after="120" w:before="120"/>
      </w:pPr>
      <w:r>
        <w:t xml:space="preserve"/>
      </w:r>
    </w:p>
    <w:p>
      <w:r>
        <w:br w:type="page"/>
      </w:r>
    </w:p>
    <w:p>
      <w:pPr>
        <w:spacing w:after="200" w:before="0"/>
        <w:jc w:val="center"/>
      </w:pPr>
      <w:r>
        <w:rPr>
          <w:rFonts w:ascii="Arial" w:cs="Arial" w:eastAsia="Arial" w:hAnsi="Arial"/>
          <w:b/>
          <w:bCs/>
          <w:color w:val="C00000"/>
          <w:sz w:val="32"/>
          <w:szCs w:val="32"/>
        </w:rPr>
        <w:t xml:space="preserve">PART 3: COMMON PITFALLS TO AVOID</w:t>
      </w:r>
    </w:p>
    <w:p>
      <w:pPr>
        <w:spacing w:after="80" w:before="80"/>
      </w:pPr>
      <w:r>
        <w:rPr>
          <w:rFonts w:ascii="Arial" w:cs="Arial" w:eastAsia="Arial" w:hAnsi="Arial"/>
          <w:sz w:val="22"/>
          <w:szCs w:val="22"/>
        </w:rPr>
        <w:t xml:space="preserve">The following 8 pitfalls are directly evidenced in the case studies reviewed. They are not hypothetical risks — they are documented failure modes that have affected real organizations. Each includes a prevention strategy.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3360"/>
        <w:gridCol w:w="3360"/>
      </w:tblGrid>
      <w:tr>
        <w:tc>
          <w:tcPr>
            <w:tcBorders>
              <w:top w:val="single" w:color="BBBBBB" w:sz="1"/>
              <w:left w:val="single" w:color="BBBBBB" w:sz="1"/>
              <w:bottom w:val="single" w:color="BBBBBB" w:sz="1"/>
              <w:right w:val="single" w:color="BBBBBB" w:sz="1"/>
            </w:tcBorders>
            <w:shd w:fill="333333"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Borders>
              <w:top w:val="single" w:color="BBBBBB" w:sz="1"/>
              <w:left w:val="single" w:color="BBBBBB" w:sz="1"/>
              <w:bottom w:val="single" w:color="BBBBBB" w:sz="1"/>
              <w:right w:val="single" w:color="BBBBBB"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Pitfall Name</w:t>
            </w:r>
          </w:p>
        </w:tc>
        <w:tc>
          <w:tcPr>
            <w:tcBorders>
              <w:top w:val="single" w:color="BBBBBB" w:sz="1"/>
              <w:left w:val="single" w:color="BBBBBB" w:sz="1"/>
              <w:bottom w:val="single" w:color="BBBBBB" w:sz="1"/>
              <w:right w:val="single" w:color="BBBBBB"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What It Looks Like &amp; Why It Fails</w:t>
            </w:r>
          </w:p>
        </w:tc>
        <w:tc>
          <w:tcPr>
            <w:tcBorders>
              <w:top w:val="single" w:color="BBBBBB" w:sz="1"/>
              <w:left w:val="single" w:color="BBBBBB" w:sz="1"/>
              <w:bottom w:val="single" w:color="BBBBBB" w:sz="1"/>
              <w:right w:val="single" w:color="BBBBBB"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Prevention Strategy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3360"/>
        <w:gridCol w:w="3360"/>
      </w:tblGrid>
      <w:tr>
        <w:tc>
          <w:tcPr>
            <w:tcW w:type="dxa" w:w="480"/>
            <w:tcBorders>
              <w:top w:val="single" w:color="BBBBBB" w:sz="1"/>
              <w:left w:val="single" w:color="BBBBBB" w:sz="1"/>
              <w:bottom w:val="single" w:color="BBBBBB" w:sz="1"/>
              <w:right w:val="single" w:color="BBBBBB"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1</w:t>
            </w:r>
          </w:p>
        </w:tc>
        <w:tc>
          <w:tcPr>
            <w:tcW w:type="dxa" w:w="21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Cost-First Framing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implementation is planned around headcount reduction or deflection rate as the primary success metric. This creates a perverse incentive to over-automate, with quality concerns becoming secondary until damage is externally visible.</w:t>
            </w:r>
          </w:p>
        </w:tc>
        <w:tc>
          <w:tcPr>
            <w:tcW w:type="dxa" w:w="33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color w:val="1E6B2E"/>
                <w:sz w:val="20"/>
                <w:szCs w:val="20"/>
              </w:rPr>
              <w:t xml:space="preserve">Define dual KPIs (efficiency + quality) before launch. Tie any reported savings to a 12-month satisfaction floor. If satisfaction drops below the floor, savings reporting is paused. Source: Klarna CEO's public admission.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3360"/>
        <w:gridCol w:w="3360"/>
      </w:tblGrid>
      <w:tr>
        <w:tc>
          <w:tcPr>
            <w:tcW w:type="dxa" w:w="480"/>
            <w:tcBorders>
              <w:top w:val="single" w:color="BBBBBB" w:sz="1"/>
              <w:left w:val="single" w:color="BBBBBB" w:sz="1"/>
              <w:bottom w:val="single" w:color="BBBBBB" w:sz="1"/>
              <w:right w:val="single" w:color="BBBBBB"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2</w:t>
            </w:r>
          </w:p>
        </w:tc>
        <w:tc>
          <w:tcPr>
            <w:tcW w:type="dxa" w:w="21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Single Metric Reporting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Reporting '70% deflection rate' or '2.3M conversations handled' without corresponding resolution or quality data. Deflection and resolution are fundamentally different metrics; reporting only deflection hides quality erosion until it becomes a crisis.</w:t>
            </w:r>
          </w:p>
        </w:tc>
        <w:tc>
          <w:tcPr>
            <w:tcW w:type="dxa" w:w="33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color w:val="1E6B2E"/>
                <w:sz w:val="20"/>
                <w:szCs w:val="20"/>
              </w:rPr>
              <w:t xml:space="preserve">Every published metric must have a paired quality number. Dashboard design: efficiency metrics always appear in the same row as quality metrics. Ban single-number AI success announcements internally. Source: Klarna's 14-month quality lag.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3360"/>
        <w:gridCol w:w="3360"/>
      </w:tblGrid>
      <w:tr>
        <w:tc>
          <w:tcPr>
            <w:tcW w:type="dxa" w:w="480"/>
            <w:tcBorders>
              <w:top w:val="single" w:color="BBBBBB" w:sz="1"/>
              <w:left w:val="single" w:color="BBBBBB" w:sz="1"/>
              <w:bottom w:val="single" w:color="BBBBBB" w:sz="1"/>
              <w:right w:val="single" w:color="BBBBBB"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3</w:t>
            </w:r>
          </w:p>
        </w:tc>
        <w:tc>
          <w:tcPr>
            <w:tcW w:type="dxa" w:w="21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Removing Human Escalation Paths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Deploying AI that handles 100% of a workflow type with no practical path to a human. Complex, emotional, or non-standard cases always occur; without a human path, customers escalate to frustration, complaints, and churn.</w:t>
            </w:r>
          </w:p>
        </w:tc>
        <w:tc>
          <w:tcPr>
            <w:tcW w:type="dxa" w:w="33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color w:val="1E6B2E"/>
                <w:sz w:val="20"/>
                <w:szCs w:val="20"/>
              </w:rPr>
              <w:t xml:space="preserve">Preserve clear, easy-to-find human escalation paths at every phase — not just in Phase 1. Review escalation path effectiveness quarterly. Model human escalation volume; a sudden drop may indicate customers have given up, not that AI is succeeding. Source: Klarna, Bank of America contrast.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3360"/>
        <w:gridCol w:w="3360"/>
      </w:tblGrid>
      <w:tr>
        <w:tc>
          <w:tcPr>
            <w:tcW w:type="dxa" w:w="480"/>
            <w:tcBorders>
              <w:top w:val="single" w:color="BBBBBB" w:sz="1"/>
              <w:left w:val="single" w:color="BBBBBB" w:sz="1"/>
              <w:bottom w:val="single" w:color="BBBBBB" w:sz="1"/>
              <w:right w:val="single" w:color="BBBBBB"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4</w:t>
            </w:r>
          </w:p>
        </w:tc>
        <w:tc>
          <w:tcPr>
            <w:tcW w:type="dxa" w:w="21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Skipping the Knowledge Base Audit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Deploying a RAG-based AI directly onto existing documentation without first auditing quality, completeness, and currency. Outdated, inconsistent, or incomplete documentation produces confident-sounding wrong answers that erode user trust rapidly.</w:t>
            </w:r>
          </w:p>
        </w:tc>
        <w:tc>
          <w:tcPr>
            <w:tcW w:type="dxa" w:w="33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color w:val="1E6B2E"/>
                <w:sz w:val="20"/>
                <w:szCs w:val="20"/>
              </w:rPr>
              <w:t xml:space="preserve">Treat knowledge base quality as a first-class engineering deliverable in Phase 1. Assign a knowledge base owner with update responsibility. Track 'no confident answer' rate as a KPI — it is a direct proxy for knowledge base health. Source: Aitomatic expert capture phase, Intercom case.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3360"/>
        <w:gridCol w:w="3360"/>
      </w:tblGrid>
      <w:tr>
        <w:tc>
          <w:tcPr>
            <w:tcW w:type="dxa" w:w="480"/>
            <w:tcBorders>
              <w:top w:val="single" w:color="BBBBBB" w:sz="1"/>
              <w:left w:val="single" w:color="BBBBBB" w:sz="1"/>
              <w:bottom w:val="single" w:color="BBBBBB" w:sz="1"/>
              <w:right w:val="single" w:color="BBBBBB"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5</w:t>
            </w:r>
          </w:p>
        </w:tc>
        <w:tc>
          <w:tcPr>
            <w:tcW w:type="dxa" w:w="21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Big-Bang Launch Without Pilot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Deploying to the full user base on Day 1 to maximize the speed-to-value narrative. Eliminates the opportunity to collect clean quality data, catch systemic issues before they affect everyone, and build organizational confidence through demonstrated wins.</w:t>
            </w:r>
          </w:p>
        </w:tc>
        <w:tc>
          <w:tcPr>
            <w:tcW w:type="dxa" w:w="33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color w:val="1E6B2E"/>
                <w:sz w:val="20"/>
                <w:szCs w:val="20"/>
              </w:rPr>
              <w:t xml:space="preserve">Mandate a time-limited pilot (6-12 weeks minimum) as a non-negotiable process requirement — regardless of executive pressure for speed. Use the pilot to establish the baseline data that makes the full deployment case irrefutable. Source: Klarna vs. Bank of America comparison.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3360"/>
        <w:gridCol w:w="3360"/>
      </w:tblGrid>
      <w:tr>
        <w:tc>
          <w:tcPr>
            <w:tcW w:type="dxa" w:w="480"/>
            <w:tcBorders>
              <w:top w:val="single" w:color="BBBBBB" w:sz="1"/>
              <w:left w:val="single" w:color="BBBBBB" w:sz="1"/>
              <w:bottom w:val="single" w:color="BBBBBB" w:sz="1"/>
              <w:right w:val="single" w:color="BBBBBB"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6</w:t>
            </w:r>
          </w:p>
        </w:tc>
        <w:tc>
          <w:tcPr>
            <w:tcW w:type="dxa" w:w="21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Generic LLM Brand Voice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AI responds in default LLM phrasing ('I apologize for the inconvenience,' 'If you have any further questions...') rather than the organization's brand voice. Users notice, distrust the responses, and feel the brand is absent from the interaction.</w:t>
            </w:r>
          </w:p>
        </w:tc>
        <w:tc>
          <w:tcPr>
            <w:tcW w:type="dxa" w:w="33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color w:val="1E6B2E"/>
                <w:sz w:val="20"/>
                <w:szCs w:val="20"/>
              </w:rPr>
              <w:t xml:space="preserve">Treat brand voice as an engineering requirement, not a design preference. Build brand voice guidelines into the system prompt. Create a set of negative examples (phrases never to use) alongside positive examples. Conduct regular brand voice audits in quality review cycles. Source: Klarna chatbot brand analysis.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3360"/>
        <w:gridCol w:w="3360"/>
      </w:tblGrid>
      <w:tr>
        <w:tc>
          <w:tcPr>
            <w:tcW w:type="dxa" w:w="480"/>
            <w:tcBorders>
              <w:top w:val="single" w:color="BBBBBB" w:sz="1"/>
              <w:left w:val="single" w:color="BBBBBB" w:sz="1"/>
              <w:bottom w:val="single" w:color="BBBBBB" w:sz="1"/>
              <w:right w:val="single" w:color="BBBBBB"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7</w:t>
            </w:r>
          </w:p>
        </w:tc>
        <w:tc>
          <w:tcPr>
            <w:tcW w:type="dxa" w:w="21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No Documented Rollback Plan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Treating AI deployment as one-directional — a permanent step forward. When edge cases, quality issues, or external changes arise, the absence of a pre-defined rollback plan means the response is reactive, slow, and publicly visible.</w:t>
            </w:r>
          </w:p>
        </w:tc>
        <w:tc>
          <w:tcPr>
            <w:tcW w:type="dxa" w:w="33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color w:val="1E6B2E"/>
                <w:sz w:val="20"/>
                <w:szCs w:val="20"/>
              </w:rPr>
              <w:t xml:space="preserve">Before Phase 3, document specific, measurable conditions that trigger rollback or scope reduction. Assign ownership of rollback decision-making. Test rollback procedures before they are needed. Source: Klarna's reactive public reversal.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3360"/>
        <w:gridCol w:w="3360"/>
      </w:tblGrid>
      <w:tr>
        <w:tc>
          <w:tcPr>
            <w:tcW w:type="dxa" w:w="480"/>
            <w:tcBorders>
              <w:top w:val="single" w:color="BBBBBB" w:sz="1"/>
              <w:left w:val="single" w:color="BBBBBB" w:sz="1"/>
              <w:bottom w:val="single" w:color="BBBBBB" w:sz="1"/>
              <w:right w:val="single" w:color="BBBBBB"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8</w:t>
            </w:r>
          </w:p>
        </w:tc>
        <w:tc>
          <w:tcPr>
            <w:tcW w:type="dxa" w:w="21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Treating AI as a Project, Not an Operation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Declaring the AI agent 'done' after launch. No governance structure, no improvement pipeline, no ongoing quality monitoring. AI agents require continuous maintenance — knowledge bases become stale, model behavior drifts, and user needs evolve.</w:t>
            </w:r>
          </w:p>
        </w:tc>
        <w:tc>
          <w:tcPr>
            <w:tcW w:type="dxa" w:w="33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color w:val="1E6B2E"/>
                <w:sz w:val="20"/>
                <w:szCs w:val="20"/>
              </w:rPr>
              <w:t xml:space="preserve">Establish governance committee in Phase 4 before Full Deployment gate is passed — not after. Assign a permanent AI agent owner (not a project manager). Build knowledge base updates and model improvement into regular operational cycles. Source: Bank of America's 5-year continuous expansion model.</w:t>
            </w:r>
          </w:p>
        </w:tc>
      </w:tr>
    </w:tbl>
    <w:p>
      <w:pPr>
        <w:spacing w:after="180" w:before="0"/>
      </w:pPr>
      <w:r>
        <w:t xml:space="preserve"/>
      </w:r>
    </w:p>
    <w:p>
      <w:r>
        <w:br w:type="page"/>
      </w:r>
    </w:p>
    <w:p>
      <w:pPr>
        <w:pStyle w:val="Heading1"/>
        <w:spacing w:after="160" w:before="360"/>
      </w:pPr>
      <w:r>
        <w:rPr>
          <w:rFonts w:ascii="Arial" w:cs="Arial" w:eastAsia="Arial" w:hAnsi="Arial"/>
          <w:b/>
          <w:bCs/>
          <w:color w:val="1F4E79"/>
          <w:sz w:val="36"/>
          <w:szCs w:val="36"/>
        </w:rPr>
        <w:t xml:space="preserve">Quick Reference: The Non-Negotiables</w:t>
      </w:r>
    </w:p>
    <w:p>
      <w:pPr>
        <w:spacing w:after="80" w:before="80"/>
      </w:pPr>
      <w:r>
        <w:rPr>
          <w:rFonts w:ascii="Arial" w:cs="Arial" w:eastAsia="Arial" w:hAnsi="Arial"/>
          <w:sz w:val="22"/>
          <w:szCs w:val="22"/>
        </w:rPr>
        <w:t xml:space="preserve">If this framework must be reduced to a single page, these are the rules that cannot be broken without significant risk of failure. Each is directly evidenced in the case studies.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20"/>
            </w:tcMar>
          </w:tcPr>
          <w:p>
            <w:r>
              <w:rPr>
                <w:rFonts w:ascii="Arial" w:cs="Arial" w:eastAsia="Arial" w:hAnsi="Arial"/>
                <w:sz w:val="21"/>
                <w:szCs w:val="21"/>
              </w:rPr>
              <w:t xml:space="preserve">Always define BOTH an efficiency KPI and a quality KPI before any code is written. Never report one without the other.</w:t>
            </w:r>
          </w:p>
        </w:tc>
      </w:tr>
      <w:tr>
        <w:tc>
          <w:tcPr>
            <w:tcW w:type="dxa" w:w="480"/>
            <w:tcBorders>
              <w:top w:val="single" w:color="BBBBBB" w:sz="1"/>
              <w:left w:val="single" w:color="BBBBBB" w:sz="1"/>
              <w:bottom w:val="single" w:color="BBBBBB" w:sz="1"/>
              <w:right w:val="single" w:color="BBBBBB"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20"/>
            </w:tcMar>
          </w:tcPr>
          <w:p>
            <w:r>
              <w:rPr>
                <w:rFonts w:ascii="Arial" w:cs="Arial" w:eastAsia="Arial" w:hAnsi="Arial"/>
                <w:sz w:val="21"/>
                <w:szCs w:val="21"/>
              </w:rPr>
              <w:t xml:space="preserve">Always establish the human baseline before AI is introduced. You cannot prove improvement without a pre-AI benchmark.</w:t>
            </w:r>
          </w:p>
        </w:tc>
      </w:tr>
      <w:tr>
        <w:tc>
          <w:tcPr>
            <w:tcW w:type="dxa" w:w="480"/>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20"/>
            </w:tcMar>
          </w:tcPr>
          <w:p>
            <w:r>
              <w:rPr>
                <w:rFonts w:ascii="Arial" w:cs="Arial" w:eastAsia="Arial" w:hAnsi="Arial"/>
                <w:sz w:val="21"/>
                <w:szCs w:val="21"/>
              </w:rPr>
              <w:t xml:space="preserve">Always preserve human escalation paths through every phase. Removing them before quality data supports it is a documented failure mode.</w:t>
            </w:r>
          </w:p>
        </w:tc>
      </w:tr>
      <w:tr>
        <w:tc>
          <w:tcPr>
            <w:tcW w:type="dxa" w:w="480"/>
            <w:tcBorders>
              <w:top w:val="single" w:color="BBBBBB" w:sz="1"/>
              <w:left w:val="single" w:color="BBBBBB" w:sz="1"/>
              <w:bottom w:val="single" w:color="BBBBBB" w:sz="1"/>
              <w:right w:val="single" w:color="BBBBBB"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20"/>
            </w:tcMar>
          </w:tcPr>
          <w:p>
            <w:r>
              <w:rPr>
                <w:rFonts w:ascii="Arial" w:cs="Arial" w:eastAsia="Arial" w:hAnsi="Arial"/>
                <w:sz w:val="21"/>
                <w:szCs w:val="21"/>
              </w:rPr>
              <w:t xml:space="preserve">Always audit the knowledge base before building the AI. Poor documentation = poor AI output, regardless of model quality.</w:t>
            </w:r>
          </w:p>
        </w:tc>
      </w:tr>
      <w:tr>
        <w:tc>
          <w:tcPr>
            <w:tcW w:type="dxa" w:w="480"/>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20"/>
            </w:tcMar>
          </w:tcPr>
          <w:p>
            <w:r>
              <w:rPr>
                <w:rFonts w:ascii="Arial" w:cs="Arial" w:eastAsia="Arial" w:hAnsi="Arial"/>
                <w:sz w:val="21"/>
                <w:szCs w:val="21"/>
              </w:rPr>
              <w:t xml:space="preserve">Always run a time-limited pilot with real users before full deployment. Internal testers are too forgiving.</w:t>
            </w:r>
          </w:p>
        </w:tc>
      </w:tr>
      <w:tr>
        <w:tc>
          <w:tcPr>
            <w:tcW w:type="dxa" w:w="480"/>
            <w:tcBorders>
              <w:top w:val="single" w:color="BBBBBB" w:sz="1"/>
              <w:left w:val="single" w:color="BBBBBB" w:sz="1"/>
              <w:bottom w:val="single" w:color="BBBBBB" w:sz="1"/>
              <w:right w:val="single" w:color="BBBBBB"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20"/>
            </w:tcMar>
          </w:tcPr>
          <w:p>
            <w:r>
              <w:rPr>
                <w:rFonts w:ascii="Arial" w:cs="Arial" w:eastAsia="Arial" w:hAnsi="Arial"/>
                <w:sz w:val="21"/>
                <w:szCs w:val="21"/>
              </w:rPr>
              <w:t xml:space="preserve">Always set a 12-month satisfaction floor alongside efficiency targets. Customer satisfaction is a 6-12 month lagging indicator.</w:t>
            </w:r>
          </w:p>
        </w:tc>
      </w:tr>
      <w:tr>
        <w:tc>
          <w:tcPr>
            <w:tcW w:type="dxa" w:w="480"/>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20"/>
            </w:tcMar>
          </w:tcPr>
          <w:p>
            <w:r>
              <w:rPr>
                <w:rFonts w:ascii="Arial" w:cs="Arial" w:eastAsia="Arial" w:hAnsi="Arial"/>
                <w:sz w:val="21"/>
                <w:szCs w:val="21"/>
              </w:rPr>
              <w:t xml:space="preserve">Always log AI decisions from Day 1. Retroactive logging misses the early failure patterns that matter most.</w:t>
            </w:r>
          </w:p>
        </w:tc>
      </w:tr>
      <w:tr>
        <w:tc>
          <w:tcPr>
            <w:tcW w:type="dxa" w:w="480"/>
            <w:tcBorders>
              <w:top w:val="single" w:color="BBBBBB" w:sz="1"/>
              <w:left w:val="single" w:color="BBBBBB" w:sz="1"/>
              <w:bottom w:val="single" w:color="BBBBBB" w:sz="1"/>
              <w:right w:val="single" w:color="BBBBBB"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w:t>
            </w:r>
          </w:p>
        </w:tc>
        <w:tc>
          <w:tcPr>
            <w:tcW w:type="dxa" w:w="888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20"/>
            </w:tcMar>
          </w:tcPr>
          <w:p>
            <w:r>
              <w:rPr>
                <w:rFonts w:ascii="Arial" w:cs="Arial" w:eastAsia="Arial" w:hAnsi="Arial"/>
                <w:sz w:val="21"/>
                <w:szCs w:val="21"/>
              </w:rPr>
              <w:t xml:space="preserve">Always document rollback criteria before going to full deployment. Reactive reversals are expensive; planned adjustments are not.</w:t>
            </w:r>
          </w:p>
        </w:tc>
      </w:tr>
    </w:tbl>
    <w:p>
      <w:pPr>
        <w:spacing w:after="180" w:before="0"/>
      </w:pPr>
      <w:r>
        <w:t xml:space="preserve"/>
      </w:r>
    </w:p>
    <w:p>
      <w:pPr>
        <w:pBdr>
          <w:top w:val="single" w:color="2E75B6" w:sz="4" w:space="4"/>
        </w:pBdr>
        <w:spacing w:after="0" w:before="400"/>
        <w:jc w:val="center"/>
      </w:pPr>
      <w:r>
        <w:rPr>
          <w:rFonts w:ascii="Arial" w:cs="Arial" w:eastAsia="Arial" w:hAnsi="Arial"/>
          <w:color w:val="888888"/>
          <w:sz w:val="18"/>
          <w:szCs w:val="18"/>
        </w:rPr>
        <w:t xml:space="preserve">AI Agent Implementation Strategy Framework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2026-05-15T10:32:16.040Z</dcterms:created>
  <dcterms:modified xsi:type="dcterms:W3CDTF">2026-05-15T10:32:16.040Z</dcterms:modified>
</cp:coreProperties>
</file>

<file path=docProps/custom.xml><?xml version="1.0" encoding="utf-8"?>
<Properties xmlns="http://schemas.openxmlformats.org/officeDocument/2006/custom-properties" xmlns:vt="http://schemas.openxmlformats.org/officeDocument/2006/docPropsVTypes"/>
</file>