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4E79"/>
          <w:sz w:val="52"/>
          <w:szCs w:val="52"/>
        </w:rPr>
        <w:t xml:space="preserve">AI Agent Implementation Strategies</w:t>
      </w:r>
    </w:p>
    <w:p>
      <w:pPr>
        <w:spacing w:after="120" w:before="0"/>
        <w:jc w:val="center"/>
      </w:pPr>
      <w:r>
        <w:rPr>
          <w:rFonts w:ascii="Arial" w:cs="Arial" w:eastAsia="Arial" w:hAnsi="Arial"/>
          <w:b/>
          <w:bCs/>
          <w:color w:val="2E75B6"/>
          <w:sz w:val="36"/>
          <w:szCs w:val="36"/>
        </w:rPr>
        <w:t xml:space="preserve">Research Summary</w:t>
      </w:r>
    </w:p>
    <w:p>
      <w:pPr>
        <w:spacing w:after="600" w:before="0"/>
        <w:jc w:val="center"/>
      </w:pPr>
      <w:r>
        <w:rPr>
          <w:rFonts w:ascii="Arial" w:cs="Arial" w:eastAsia="Arial" w:hAnsi="Arial"/>
          <w:color w:val="666666"/>
          <w:sz w:val="24"/>
          <w:szCs w:val="24"/>
        </w:rPr>
        <w:t xml:space="preserve">Enterprise Case Studies, Patterns &amp;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D5E8F0" w:val="clear"/>
            <w:tcMar>
              <w:top w:type="dxa" w:w="240"/>
              <w:left w:type="dxa" w:w="360"/>
              <w:bottom w:type="dxa" w:w="240"/>
              <w:right w:type="dxa" w:w="360"/>
            </w:tcMar>
          </w:tcPr>
          <w:p>
            <w:pPr>
              <w:jc w:val="center"/>
            </w:pPr>
            <w:r>
              <w:rPr>
                <w:rFonts w:ascii="Arial" w:cs="Arial" w:eastAsia="Arial" w:hAnsi="Arial"/>
                <w:color w:val="333333"/>
                <w:sz w:val="22"/>
                <w:szCs w:val="22"/>
              </w:rPr>
              <w:t xml:space="preserve">Prepared for: AI Implementation Lab</w:t>
            </w:r>
          </w:p>
          <w:p>
            <w:pPr>
              <w:jc w:val="center"/>
            </w:pPr>
            <w:r>
              <w:rPr>
                <w:rFonts w:ascii="Arial" w:cs="Arial" w:eastAsia="Arial" w:hAnsi="Arial"/>
                <w:color w:val="333333"/>
                <w:sz w:val="22"/>
                <w:szCs w:val="22"/>
              </w:rPr>
              <w:t xml:space="preserve">Date: May 2026</w:t>
            </w:r>
          </w:p>
          <w:p>
            <w:pPr>
              <w:jc w:val="center"/>
            </w:pPr>
            <w:r>
              <w:rPr>
                <w:rFonts w:ascii="Arial" w:cs="Arial" w:eastAsia="Arial" w:hAnsi="Arial"/>
                <w:color w:val="333333"/>
                <w:sz w:val="22"/>
                <w:szCs w:val="22"/>
              </w:rPr>
              <w:t xml:space="preserve">Version: 1.0</w:t>
            </w:r>
          </w:p>
        </w:tc>
      </w:tr>
    </w:tbl>
    <w:p>
      <w:r>
        <w:br w:type="page"/>
      </w:r>
    </w:p>
    <w:p>
      <w:pPr>
        <w:pStyle w:val="Heading1"/>
        <w:spacing w:after="160" w:before="360"/>
      </w:pPr>
      <w:r>
        <w:rPr>
          <w:rFonts w:ascii="Arial" w:cs="Arial" w:eastAsia="Arial" w:hAnsi="Arial"/>
          <w:b/>
          <w:bCs/>
          <w:color w:val="1F4E79"/>
          <w:sz w:val="36"/>
          <w:szCs w:val="36"/>
        </w:rPr>
        <w:t xml:space="preserve">1. Case Studies Reviewed</w:t>
      </w:r>
    </w:p>
    <w:p>
      <w:pPr>
        <w:spacing w:after="80" w:before="80"/>
      </w:pPr>
      <w:r>
        <w:rPr>
          <w:rFonts w:ascii="Arial" w:cs="Arial" w:eastAsia="Arial" w:hAnsi="Arial"/>
          <w:sz w:val="22"/>
          <w:szCs w:val="22"/>
        </w:rPr>
        <w:t xml:space="preserve">Five documented case studies were researched from publicly available company announcements, industry analyses, and journalistic investigations. Each case was evaluated for the richness of implementation detail, measurability of outcomes, and relevance to real-world enterprise adoption patterns.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Case Study 1: Klarna — AI Customer Service Agent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Company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Klarna (Swedish fintech / Buy-Now-Pay-Later provider)</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Customer support automation: replacing human agents with an AI assistant for chat-based service</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Technology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Custom LLM-based conversational AI built in partnership with OpenAI; integrated into Klarna's app and web channels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Timeline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Pilot to production: early 2022 to February 2024 (full production); reversal began mid-2024, hybrid model by 2025</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Internal AI strategy formation; engineering hiring surge (2022)</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2</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Build and testing of AI assistant in controlled environment (2022-2023)</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3</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Full production launch handling 2.3M conversations in first month (Feb 2024)</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4</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Reversal — rehiring human agents under 'Uber-style' remote model (mid-2025)</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Challenges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Customer complaints about lack of empathy in complex cases; quality erosion masked by high deflection metrics; brand voice inconsistency</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Results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Initial: 2.3M conversations/month, resolution time cut from 11 min to &lt;2 min, ~$40M annual savings estimate. Subsequent: customer satisfaction fell, strategic reversal required.</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Key Learnings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Cost-first implementations create quality debt; deflection rate ≠ resolution rate; customer satisfaction is a 6-12 month lagging indicator; human oversight must be re-designed, not just removed</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Case Study 2: Bank of America — Erica Virtual Assistant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Company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Bank of America (US retail banking giant, ~68M customers)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Personal financial assistant embedded in the Bank of America mobile app, handling account inquiries, spending analysis, and proactive nudges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Technology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Proprietary NLP-based virtual assistant using predictive analytics and machine learning integrated with core banking systems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Timeline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Launched 2018; scaled iteratively over 5+ years to over 1 billion interactions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Internal proof-of-concept and regulatory review (2016-2017)</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2</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Limited beta with select customer segments (early 2018)</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3</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Full app rollout to all retail customers (mid-2018)</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4</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Continuous expansion of capabilities — proactive insights, bill alerts, credit score tracking</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Challenges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Regulatory compliance in financial services; building customer trust for sensitive financial guidance; integration with legacy banking core systems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Results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Over 1 billion total client interactions by 2023; 25% rise in positive customer interaction scores; response time under 1 minute for most queries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Key Learnings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Phased, iterative rollout over years outperforms big-bang launches; compliance-first design enables scale; trust is built through consistent, incremental capability expansion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Case Study 3: Intercom Fin — AI Agent for SaaS Customer Support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Company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Intercom (Fin AI Agent product); Customer: Synthesia (AI video platform)</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Automated customer support resolution for SaaS businesses, handling common queries without human escalation</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Technology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Intercom Fin AI Agent powered by Anthropic Claude; RAG (Retrieval-Augmented Generation) over company knowledge base</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Timeline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Fin product launch 2023; Synthesia deployment with results measured over 6-month window in 2024</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Knowledge base audit and preparation for RAG ingestion</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2</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Pilot deployment for subset of inbound support tickets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3</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Full deployment with human escalation paths preserved</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Challenges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Maintaining resolution quality across diverse query types; handling volume spikes; ensuring accurate answers from knowledge base</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Results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Average ~51% automated resolution rate across customers; Synthesia saved 1,300+ support hours in 6 months; during 690% volume spike, 98.3% of users self-served without escalation</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Key Learnings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RAG approach requires high-quality knowledge base before deployment; human escalation paths must remain clear; volume spikes are where AI agents prove greatest ROI</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Case Study 4: United Wholesale Mortgage — AI Underwriting Assistant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Company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United Wholesale Mortgage (UWM) — major US wholesale mortgage lender serving 50,000+ brokers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AI-assisted mortgage underwriting to accelerate loan processing and reduce close times for brokers and their clients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Technology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Google Cloud Vertex AI, Gemini models, and BigQuery for data analysis; integrated with existing loan origination systems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Timeline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Deployed 2024; productivity gains measured within first 9 months of production use</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Data audit — structuring loan data in BigQuery for AI consumption</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2</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Pilot with select underwriters on lower-complexity loan types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3</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Broader rollout with underwriter-in-the-loop validation</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4</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Scaling to full underwriter team with continuous model improvement</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Challenges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Financial services regulatory requirements; ensuring AI recommendations align with underwriting standards; change management for experienced underwriters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Results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More than doubled underwriter productivity within 9 months; shorter loan close times for 50,000+ brokers; significant operational cost reduction</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Key Learnings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Structured data preparation is a prerequisite for AI success; 'human-in-the-loop' design builds underwriter trust; measurable productivity gains accelerate internal buy-in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Case Study 5: Aitomatic / IC Manufacturer — Domain Expert Agent (DXA)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Company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Aitomatic (AI company); Customer: major integrated circuit (IC) manufacturer</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Expert knowledge agent to guide field engineers, replacing need for specialized human expert availability at all times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Technology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Llama 3.1 70B open-source LLM; RAG over expert-curated technical documentation; synthetic data augmentation to expand scenario coverage</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Timeline</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Development and deployment 2024-2025; anticipated outcomes published upon deployment</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Expert knowledge capture sessions with senior IC engineers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2</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Dataset creation — augmented with synthetic data to cover rare scenarios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Phase 3</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DXA model training and internal validation with field engineers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Phase 4</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Production deployment with monitoring and feedback loops</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Challenges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Capturing tacit expert knowledge in structured form; ensuring accuracy in high-stakes engineering context; expanding synthetic data to cover edge cases</w:t>
            </w:r>
          </w:p>
        </w:tc>
      </w:tr>
      <w:tr>
        <w:tc>
          <w:tcPr>
            <w:tcW w:type="dxa" w:w="22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1"/>
                <w:szCs w:val="21"/>
              </w:rPr>
              <w:t xml:space="preserve">Results</w:t>
            </w:r>
          </w:p>
        </w:tc>
        <w:tc>
          <w:tcPr>
            <w:tcW w:type="dxa" w:w="71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1"/>
                <w:szCs w:val="21"/>
              </w:rPr>
              <w:t xml:space="preserve">Anticipated 3x faster issue resolution; projected first-attempt success rate improvement from 15-20% to 75%; foundation for further DXA development</w:t>
            </w:r>
          </w:p>
        </w:tc>
      </w:tr>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1"/>
                <w:szCs w:val="21"/>
              </w:rPr>
              <w:t xml:space="preserve">Key Learnings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Synthetic data augmentation is critical for edge-case coverage; expert knowledge capture must precede model training; domain-specific agents outperform general LLMs in specialized contexts</w:t>
            </w:r>
          </w:p>
        </w:tc>
      </w:tr>
    </w:tbl>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2. Common Patterns Identified</w:t>
      </w:r>
    </w:p>
    <w:p>
      <w:pPr>
        <w:spacing w:after="80" w:before="80"/>
      </w:pPr>
      <w:r>
        <w:rPr>
          <w:rFonts w:ascii="Arial" w:cs="Arial" w:eastAsia="Arial" w:hAnsi="Arial"/>
          <w:sz w:val="22"/>
          <w:szCs w:val="22"/>
        </w:rPr>
        <w:t xml:space="preserve">Cross-referencing the five case studies revealed consistent structural patterns in both successful and failed implementations. These patterns hold across industry verticals — fintech, banking, SaaS, mortgage, and semiconductor manufacturing.</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2.1 Universal Implementation Phases</w:t>
      </w:r>
    </w:p>
    <w:p>
      <w:pPr>
        <w:spacing w:after="80" w:before="80"/>
      </w:pPr>
      <w:r>
        <w:rPr>
          <w:rFonts w:ascii="Arial" w:cs="Arial" w:eastAsia="Arial" w:hAnsi="Arial"/>
          <w:sz w:val="22"/>
          <w:szCs w:val="22"/>
        </w:rPr>
        <w:t xml:space="preserve">Every successful implementation followed a recognizable staged progression, regardless of industry or 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Duration</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Seen In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Discovery &amp; Data Prep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Audit existing workflows, structure data, define KPIs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4-12 weeks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UWM, Aitomatic, Intercom</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Proof of Concept</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Small-scale test with controlled scope to validate feasibility</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4-8 weeks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5 cases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Pilot Program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 with a subset of users; preserve human fallback</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6-12 weeks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Bank of America, UWM, Intercom</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Limited Rollout</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Expand scope; measure quality + efficiency KPIs together</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3-6 months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Bank of America, Intercom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Deployment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Scale with feedback loops and continuous improvement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Bank of America (5+ yrs)</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Recalibration</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Adjust human-AI balance based on outcome data</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Triggered by metrics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Klarna (reactive), UWM (proactive)</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2.2 Recurring Challenges</w:t>
      </w:r>
    </w:p>
    <w:p>
      <w:pPr>
        <w:spacing w:after="80" w:before="80"/>
      </w:pPr>
      <w:r>
        <w:rPr>
          <w:rFonts w:ascii="Arial" w:cs="Arial" w:eastAsia="Arial" w:hAnsi="Arial"/>
          <w:sz w:val="22"/>
          <w:szCs w:val="22"/>
        </w:rPr>
        <w:t xml:space="preserve">The following challenges appeared in multiple case studies:</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Metric misalignment: Measuring deflection rate or containment rate instead of actual resolution quality (Klarna, Intercom)</w:t>
      </w:r>
    </w:p>
    <w:p>
      <w:pPr>
        <w:pStyle w:val="ListParagraph"/>
        <w:numPr>
          <w:ilvl w:val="0"/>
          <w:numId w:val="2"/>
        </w:numPr>
        <w:spacing w:after="40" w:before="40"/>
      </w:pPr>
      <w:r>
        <w:rPr>
          <w:rFonts w:ascii="Arial" w:cs="Arial" w:eastAsia="Arial" w:hAnsi="Arial"/>
          <w:sz w:val="22"/>
          <w:szCs w:val="22"/>
        </w:rPr>
        <w:t xml:space="preserve">Change management resistance: Experienced employees (underwriters, engineers) skeptical of AI recommendations without 'human-in-the-loop' design (UWM, Aitomatic)</w:t>
      </w:r>
    </w:p>
    <w:p>
      <w:pPr>
        <w:pStyle w:val="ListParagraph"/>
        <w:numPr>
          <w:ilvl w:val="0"/>
          <w:numId w:val="2"/>
        </w:numPr>
        <w:spacing w:after="40" w:before="40"/>
      </w:pPr>
      <w:r>
        <w:rPr>
          <w:rFonts w:ascii="Arial" w:cs="Arial" w:eastAsia="Arial" w:hAnsi="Arial"/>
          <w:sz w:val="22"/>
          <w:szCs w:val="22"/>
        </w:rPr>
        <w:t xml:space="preserve">Knowledge base gaps: RAG systems only perform as well as the underlying documentation quality (Intercom, Aitomatic)</w:t>
      </w:r>
    </w:p>
    <w:p>
      <w:pPr>
        <w:pStyle w:val="ListParagraph"/>
        <w:numPr>
          <w:ilvl w:val="0"/>
          <w:numId w:val="2"/>
        </w:numPr>
        <w:spacing w:after="40" w:before="40"/>
      </w:pPr>
      <w:r>
        <w:rPr>
          <w:rFonts w:ascii="Arial" w:cs="Arial" w:eastAsia="Arial" w:hAnsi="Arial"/>
          <w:sz w:val="22"/>
          <w:szCs w:val="22"/>
        </w:rPr>
        <w:t xml:space="preserve">Brand voice erosion: AI systems defaulting to generic LLM phrasing rather than company-specific tone (Klarna)</w:t>
      </w:r>
    </w:p>
    <w:p>
      <w:pPr>
        <w:pStyle w:val="ListParagraph"/>
        <w:numPr>
          <w:ilvl w:val="0"/>
          <w:numId w:val="2"/>
        </w:numPr>
        <w:spacing w:after="40" w:before="40"/>
      </w:pPr>
      <w:r>
        <w:rPr>
          <w:rFonts w:ascii="Arial" w:cs="Arial" w:eastAsia="Arial" w:hAnsi="Arial"/>
          <w:sz w:val="22"/>
          <w:szCs w:val="22"/>
        </w:rPr>
        <w:t xml:space="preserve">Regulatory and compliance friction: Financial services cases required significant compliance review before deployment (Bank of America, UWM)</w:t>
      </w:r>
    </w:p>
    <w:p>
      <w:pPr>
        <w:pStyle w:val="ListParagraph"/>
        <w:numPr>
          <w:ilvl w:val="0"/>
          <w:numId w:val="2"/>
        </w:numPr>
        <w:spacing w:after="40" w:before="40"/>
      </w:pPr>
      <w:r>
        <w:rPr>
          <w:rFonts w:ascii="Arial" w:cs="Arial" w:eastAsia="Arial" w:hAnsi="Arial"/>
          <w:sz w:val="22"/>
          <w:szCs w:val="22"/>
        </w:rPr>
        <w:t xml:space="preserve">Quality lag vs. efficiency gains: Efficiency improvements appear immediately; quality degradation appears 6-12 months later (Klarna)</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2.3 Success Factors Common to All Wins</w:t>
      </w:r>
    </w:p>
    <w:p>
      <w:pPr>
        <w:spacing w:after="80" w:before="80"/>
      </w:pPr>
      <w:r>
        <w:rPr>
          <w:rFonts w:ascii="Arial" w:cs="Arial" w:eastAsia="Arial" w:hAnsi="Arial"/>
          <w:sz w:val="22"/>
          <w:szCs w:val="22"/>
        </w:rPr>
        <w:t xml:space="preserve">Cases with sustained positive outcomes shared these structural characteristics: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Factor</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Clear human-AI boundary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Explicit definition of which tasks AI owns vs. when humans take over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Bank of America (escalation paths), UWM (human-in-loop)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Phased rollout with checkpoints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Measurable go/no-go criteria before expanding scope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successful cases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Quality + efficiency KPIs together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Never measuring only efficiency or deflection in isolation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Intercom (51% resolution, not just deflection), UWM</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Knowledge preparation first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Data, documentation, and knowledge bases structured before AI build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Aitomatic, Intercom, UWM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Continuous feedback loops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Ongoing mechanisms for users/customers to improve AI behavior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Bank of America (5 yr roadmap), Intercom</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Executive sponsorship</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Senior leadership visibly using and championing the system</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Klarna (CEO-led), Bank of America</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2.4 Technology Patterns</w:t>
      </w:r>
    </w:p>
    <w:p>
      <w:pPr>
        <w:spacing w:after="80" w:before="80"/>
      </w:pPr>
      <w:r>
        <w:rPr>
          <w:rFonts w:ascii="Arial" w:cs="Arial" w:eastAsia="Arial" w:hAnsi="Arial"/>
          <w:sz w:val="22"/>
          <w:szCs w:val="22"/>
        </w:rPr>
        <w:t xml:space="preserve">Across the five cases, consistent technology choices emerged:</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RAG (Retrieval-Augmented Generation) was used in 3 of 5 cases as the primary knowledge-grounding mechanism</w:t>
      </w:r>
    </w:p>
    <w:p>
      <w:pPr>
        <w:pStyle w:val="ListParagraph"/>
        <w:numPr>
          <w:ilvl w:val="0"/>
          <w:numId w:val="2"/>
        </w:numPr>
        <w:spacing w:after="40" w:before="40"/>
      </w:pPr>
      <w:r>
        <w:rPr>
          <w:rFonts w:ascii="Arial" w:cs="Arial" w:eastAsia="Arial" w:hAnsi="Arial"/>
          <w:sz w:val="22"/>
          <w:szCs w:val="22"/>
        </w:rPr>
        <w:t xml:space="preserve">Human-in-the-loop validation was present in all 4 successful sustained implementations</w:t>
      </w:r>
    </w:p>
    <w:p>
      <w:pPr>
        <w:pStyle w:val="ListParagraph"/>
        <w:numPr>
          <w:ilvl w:val="0"/>
          <w:numId w:val="2"/>
        </w:numPr>
        <w:spacing w:after="40" w:before="40"/>
      </w:pPr>
      <w:r>
        <w:rPr>
          <w:rFonts w:ascii="Arial" w:cs="Arial" w:eastAsia="Arial" w:hAnsi="Arial"/>
          <w:sz w:val="22"/>
          <w:szCs w:val="22"/>
        </w:rPr>
        <w:t xml:space="preserve">Integration with existing systems (CRM, core banking, ticketing) was a prerequisite for adoption — not an afterthought</w:t>
      </w:r>
    </w:p>
    <w:p>
      <w:pPr>
        <w:pStyle w:val="ListParagraph"/>
        <w:numPr>
          <w:ilvl w:val="0"/>
          <w:numId w:val="2"/>
        </w:numPr>
        <w:spacing w:after="40" w:before="40"/>
      </w:pPr>
      <w:r>
        <w:rPr>
          <w:rFonts w:ascii="Arial" w:cs="Arial" w:eastAsia="Arial" w:hAnsi="Arial"/>
          <w:sz w:val="22"/>
          <w:szCs w:val="22"/>
        </w:rPr>
        <w:t xml:space="preserve">Monitoring and observability tooling was deployed alongside the AI agent in successful cases, not added later</w:t>
      </w:r>
    </w:p>
    <w:p>
      <w:pPr>
        <w:pStyle w:val="ListParagraph"/>
        <w:numPr>
          <w:ilvl w:val="0"/>
          <w:numId w:val="2"/>
        </w:numPr>
        <w:spacing w:after="40" w:before="40"/>
      </w:pPr>
      <w:r>
        <w:rPr>
          <w:rFonts w:ascii="Arial" w:cs="Arial" w:eastAsia="Arial" w:hAnsi="Arial"/>
          <w:sz w:val="22"/>
          <w:szCs w:val="22"/>
        </w:rPr>
        <w:t xml:space="preserve">Open-source LLMs (Llama) were chosen when data sensitivity or customization requirements were high; API-based models used for speed-to-market</w:t>
      </w:r>
    </w:p>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3. Best Practices</w:t>
      </w:r>
    </w:p>
    <w:p>
      <w:pPr>
        <w:spacing w:after="80" w:before="80"/>
      </w:pPr>
      <w:r>
        <w:rPr>
          <w:rFonts w:ascii="Arial" w:cs="Arial" w:eastAsia="Arial" w:hAnsi="Arial"/>
          <w:sz w:val="22"/>
          <w:szCs w:val="22"/>
        </w:rPr>
        <w:t xml:space="preserve">The following best practices are directly evidenced in the case studies. Each includes the source evidence and the conditions under which it applies.</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3.1 Planning &amp; Scoping</w:t>
      </w:r>
    </w:p>
    <w:p>
      <w:pPr>
        <w:pStyle w:val="ListParagraph"/>
        <w:numPr>
          <w:ilvl w:val="0"/>
          <w:numId w:val="2"/>
        </w:numPr>
        <w:spacing w:after="40" w:before="40"/>
      </w:pPr>
      <w:r>
        <w:rPr>
          <w:rFonts w:ascii="Arial" w:cs="Arial" w:eastAsia="Arial" w:hAnsi="Arial"/>
          <w:sz w:val="22"/>
          <w:szCs w:val="22"/>
        </w:rPr>
        <w:t xml:space="preserve">Define the problem before the technology — map the existing workflow end-to-end before choosing an AI approach (evidenced: UWM data audit phase, Aitomatic expert capture phase)</w:t>
      </w:r>
    </w:p>
    <w:p>
      <w:pPr>
        <w:pStyle w:val="ListParagraph"/>
        <w:numPr>
          <w:ilvl w:val="0"/>
          <w:numId w:val="2"/>
        </w:numPr>
        <w:spacing w:after="40" w:before="40"/>
      </w:pPr>
      <w:r>
        <w:rPr>
          <w:rFonts w:ascii="Arial" w:cs="Arial" w:eastAsia="Arial" w:hAnsi="Arial"/>
          <w:sz w:val="22"/>
          <w:szCs w:val="22"/>
        </w:rPr>
        <w:t xml:space="preserve">Set dual KPIs from day one — define both an efficiency metric (resolution time, cost-per-ticket) and a quality metric (satisfaction score, resolution rate, accuracy) before launch (evidenced: Intercom's 51% resolution metric, Klarna's lesson learned)</w:t>
      </w:r>
    </w:p>
    <w:p>
      <w:pPr>
        <w:pStyle w:val="ListParagraph"/>
        <w:numPr>
          <w:ilvl w:val="0"/>
          <w:numId w:val="2"/>
        </w:numPr>
        <w:spacing w:after="40" w:before="40"/>
      </w:pPr>
      <w:r>
        <w:rPr>
          <w:rFonts w:ascii="Arial" w:cs="Arial" w:eastAsia="Arial" w:hAnsi="Arial"/>
          <w:sz w:val="22"/>
          <w:szCs w:val="22"/>
        </w:rPr>
        <w:t xml:space="preserve">Draw the human-AI boundary explicitly on paper before any code is written — document which decisions stay with humans, which go to AI, and what triggers escalation (evidenced: UWM human-in-loop design, Bank of America escalation paths)</w:t>
      </w:r>
    </w:p>
    <w:p>
      <w:pPr>
        <w:pStyle w:val="ListParagraph"/>
        <w:numPr>
          <w:ilvl w:val="0"/>
          <w:numId w:val="2"/>
        </w:numPr>
        <w:spacing w:after="40" w:before="40"/>
      </w:pPr>
      <w:r>
        <w:rPr>
          <w:rFonts w:ascii="Arial" w:cs="Arial" w:eastAsia="Arial" w:hAnsi="Arial"/>
          <w:sz w:val="22"/>
          <w:szCs w:val="22"/>
        </w:rPr>
        <w:t xml:space="preserve">Scope the pilot to a single, bounded use case with traceable outcomes — avoid multi-use-case first deployments (evidenced: Intercom pilot on specific ticket categories)</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3.2 Technology Selection</w:t>
      </w:r>
    </w:p>
    <w:p>
      <w:pPr>
        <w:pStyle w:val="ListParagraph"/>
        <w:numPr>
          <w:ilvl w:val="0"/>
          <w:numId w:val="2"/>
        </w:numPr>
        <w:spacing w:after="40" w:before="40"/>
      </w:pPr>
      <w:r>
        <w:rPr>
          <w:rFonts w:ascii="Arial" w:cs="Arial" w:eastAsia="Arial" w:hAnsi="Arial"/>
          <w:sz w:val="22"/>
          <w:szCs w:val="22"/>
        </w:rPr>
        <w:t xml:space="preserve">Match model to data sensitivity — use open-source or self-hosted LLMs when data cannot leave the organization; API-based models when speed is critical (evidenced: Aitomatic chose Llama 3.1 70B for IC manufacturing data)</w:t>
      </w:r>
    </w:p>
    <w:p>
      <w:pPr>
        <w:pStyle w:val="ListParagraph"/>
        <w:numPr>
          <w:ilvl w:val="0"/>
          <w:numId w:val="2"/>
        </w:numPr>
        <w:spacing w:after="40" w:before="40"/>
      </w:pPr>
      <w:r>
        <w:rPr>
          <w:rFonts w:ascii="Arial" w:cs="Arial" w:eastAsia="Arial" w:hAnsi="Arial"/>
          <w:sz w:val="22"/>
          <w:szCs w:val="22"/>
        </w:rPr>
        <w:t xml:space="preserve">Treat RAG knowledge base quality as a first-class engineering concern — poor documentation = poor AI output (evidenced: Intercom, Aitomatic)</w:t>
      </w:r>
    </w:p>
    <w:p>
      <w:pPr>
        <w:pStyle w:val="ListParagraph"/>
        <w:numPr>
          <w:ilvl w:val="0"/>
          <w:numId w:val="2"/>
        </w:numPr>
        <w:spacing w:after="40" w:before="40"/>
      </w:pPr>
      <w:r>
        <w:rPr>
          <w:rFonts w:ascii="Arial" w:cs="Arial" w:eastAsia="Arial" w:hAnsi="Arial"/>
          <w:sz w:val="22"/>
          <w:szCs w:val="22"/>
        </w:rPr>
        <w:t xml:space="preserve">Use synthetic data augmentation to cover edge cases when real training data is sparse (evidenced: Aitomatic DXA development)</w:t>
      </w:r>
    </w:p>
    <w:p>
      <w:pPr>
        <w:pStyle w:val="ListParagraph"/>
        <w:numPr>
          <w:ilvl w:val="0"/>
          <w:numId w:val="2"/>
        </w:numPr>
        <w:spacing w:after="40" w:before="40"/>
      </w:pPr>
      <w:r>
        <w:rPr>
          <w:rFonts w:ascii="Arial" w:cs="Arial" w:eastAsia="Arial" w:hAnsi="Arial"/>
          <w:sz w:val="22"/>
          <w:szCs w:val="22"/>
        </w:rPr>
        <w:t xml:space="preserve">Integrate with existing systems from the start — AI agents that require users to switch tools see significantly lower adoption (evidenced: Bank of America mobile app integration, Intercom Slack/Zendesk integration)</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3.3 Implementation Phases</w:t>
      </w:r>
    </w:p>
    <w:p>
      <w:pPr>
        <w:pStyle w:val="ListParagraph"/>
        <w:numPr>
          <w:ilvl w:val="0"/>
          <w:numId w:val="2"/>
        </w:numPr>
        <w:spacing w:after="40" w:before="40"/>
      </w:pPr>
      <w:r>
        <w:rPr>
          <w:rFonts w:ascii="Arial" w:cs="Arial" w:eastAsia="Arial" w:hAnsi="Arial"/>
          <w:sz w:val="22"/>
          <w:szCs w:val="22"/>
        </w:rPr>
        <w:t xml:space="preserve">Always run a time-limited pilot before full deployment — no matter the executive pressure for speed (all 4 sustained success cases)</w:t>
      </w:r>
    </w:p>
    <w:p>
      <w:pPr>
        <w:pStyle w:val="ListParagraph"/>
        <w:numPr>
          <w:ilvl w:val="0"/>
          <w:numId w:val="2"/>
        </w:numPr>
        <w:spacing w:after="40" w:before="40"/>
      </w:pPr>
      <w:r>
        <w:rPr>
          <w:rFonts w:ascii="Arial" w:cs="Arial" w:eastAsia="Arial" w:hAnsi="Arial"/>
          <w:sz w:val="22"/>
          <w:szCs w:val="22"/>
        </w:rPr>
        <w:t xml:space="preserve">Preserve human escalation paths throughout every phase — never remove the human option before quality data supports it (evidenced: Intercom, Bank of America)</w:t>
      </w:r>
    </w:p>
    <w:p>
      <w:pPr>
        <w:pStyle w:val="ListParagraph"/>
        <w:numPr>
          <w:ilvl w:val="0"/>
          <w:numId w:val="2"/>
        </w:numPr>
        <w:spacing w:after="40" w:before="40"/>
      </w:pPr>
      <w:r>
        <w:rPr>
          <w:rFonts w:ascii="Arial" w:cs="Arial" w:eastAsia="Arial" w:hAnsi="Arial"/>
          <w:sz w:val="22"/>
          <w:szCs w:val="22"/>
        </w:rPr>
        <w:t xml:space="preserve">Use the pilot phase to calibrate quality metrics against a human baseline — establish the pre-AI resolution rate, satisfaction score, and handling time before deploying (evidenced: Klarna's lesson learned)</w:t>
      </w:r>
    </w:p>
    <w:p>
      <w:pPr>
        <w:pStyle w:val="ListParagraph"/>
        <w:numPr>
          <w:ilvl w:val="0"/>
          <w:numId w:val="2"/>
        </w:numPr>
        <w:spacing w:after="40" w:before="40"/>
      </w:pPr>
      <w:r>
        <w:rPr>
          <w:rFonts w:ascii="Arial" w:cs="Arial" w:eastAsia="Arial" w:hAnsi="Arial"/>
          <w:sz w:val="22"/>
          <w:szCs w:val="22"/>
        </w:rPr>
        <w:t xml:space="preserve">Set a 12-month customer satisfaction floor alongside any efficiency targets — if satisfaction drops below the floor, the savings figure is paused and reviewed (evidenced: Klarna's reversal timeline)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3.4 Stakeholder Management</w:t>
      </w:r>
    </w:p>
    <w:p>
      <w:pPr>
        <w:pStyle w:val="ListParagraph"/>
        <w:numPr>
          <w:ilvl w:val="0"/>
          <w:numId w:val="2"/>
        </w:numPr>
        <w:spacing w:after="40" w:before="40"/>
      </w:pPr>
      <w:r>
        <w:rPr>
          <w:rFonts w:ascii="Arial" w:cs="Arial" w:eastAsia="Arial" w:hAnsi="Arial"/>
          <w:sz w:val="22"/>
          <w:szCs w:val="22"/>
        </w:rPr>
        <w:t xml:space="preserve">Executive sponsorship must be visible and active — leaders should demonstrate personal use of AI tools, not just endorse them in memos (evidenced: Klarna CEO-led adoption, Charter interview)</w:t>
      </w:r>
    </w:p>
    <w:p>
      <w:pPr>
        <w:pStyle w:val="ListParagraph"/>
        <w:numPr>
          <w:ilvl w:val="0"/>
          <w:numId w:val="2"/>
        </w:numPr>
        <w:spacing w:after="40" w:before="40"/>
      </w:pPr>
      <w:r>
        <w:rPr>
          <w:rFonts w:ascii="Arial" w:cs="Arial" w:eastAsia="Arial" w:hAnsi="Arial"/>
          <w:sz w:val="22"/>
          <w:szCs w:val="22"/>
        </w:rPr>
        <w:t xml:space="preserve">Involve domain experts (engineers, underwriters, agents) in the knowledge capture and validation phases — their buy-in is essential for adoption (evidenced: Aitomatic expert capture sessions, UWM underwriter involvement)</w:t>
      </w:r>
    </w:p>
    <w:p>
      <w:pPr>
        <w:pStyle w:val="ListParagraph"/>
        <w:numPr>
          <w:ilvl w:val="0"/>
          <w:numId w:val="2"/>
        </w:numPr>
        <w:spacing w:after="40" w:before="40"/>
      </w:pPr>
      <w:r>
        <w:rPr>
          <w:rFonts w:ascii="Arial" w:cs="Arial" w:eastAsia="Arial" w:hAnsi="Arial"/>
          <w:sz w:val="22"/>
          <w:szCs w:val="22"/>
        </w:rPr>
        <w:t xml:space="preserve">Communicate transparently about what AI will and will not do — unrealistic promises accelerate backlash when edge cases appear (evidenced: Klarna's PR reversal)</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3.5 Change Management</w:t>
      </w:r>
    </w:p>
    <w:p>
      <w:pPr>
        <w:pStyle w:val="ListParagraph"/>
        <w:numPr>
          <w:ilvl w:val="0"/>
          <w:numId w:val="2"/>
        </w:numPr>
        <w:spacing w:after="40" w:before="40"/>
      </w:pPr>
      <w:r>
        <w:rPr>
          <w:rFonts w:ascii="Arial" w:cs="Arial" w:eastAsia="Arial" w:hAnsi="Arial"/>
          <w:sz w:val="22"/>
          <w:szCs w:val="22"/>
        </w:rPr>
        <w:t xml:space="preserve">Frame AI as augmenting human capabilities, not replacing roles — this framing drives adoption where replacement framing drives resistance (evidenced: UWM doubling productivity without workforce reduction)</w:t>
      </w:r>
    </w:p>
    <w:p>
      <w:pPr>
        <w:pStyle w:val="ListParagraph"/>
        <w:numPr>
          <w:ilvl w:val="0"/>
          <w:numId w:val="2"/>
        </w:numPr>
        <w:spacing w:after="40" w:before="40"/>
      </w:pPr>
      <w:r>
        <w:rPr>
          <w:rFonts w:ascii="Arial" w:cs="Arial" w:eastAsia="Arial" w:hAnsi="Arial"/>
          <w:sz w:val="22"/>
          <w:szCs w:val="22"/>
        </w:rPr>
        <w:t xml:space="preserve">Higher compensation or upskilling programs during transitions maintain employee engagement and reduce attrition of valuable domain experts (evidenced: Klarna's revenue-per-employee growth strategy)</w:t>
      </w:r>
    </w:p>
    <w:p>
      <w:pPr>
        <w:pStyle w:val="ListParagraph"/>
        <w:numPr>
          <w:ilvl w:val="0"/>
          <w:numId w:val="2"/>
        </w:numPr>
        <w:spacing w:after="40" w:before="40"/>
      </w:pPr>
      <w:r>
        <w:rPr>
          <w:rFonts w:ascii="Arial" w:cs="Arial" w:eastAsia="Arial" w:hAnsi="Arial"/>
          <w:sz w:val="22"/>
          <w:szCs w:val="22"/>
        </w:rPr>
        <w:t xml:space="preserve">Business acumen becomes more valuable than coding skills as AI handles implementation — invest in training employees to direct AI, not just use it (evidenced: Klarna CEO's talent strategy shift)</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3.6 Risk Mitigation</w:t>
      </w:r>
    </w:p>
    <w:p>
      <w:pPr>
        <w:pStyle w:val="ListParagraph"/>
        <w:numPr>
          <w:ilvl w:val="0"/>
          <w:numId w:val="2"/>
        </w:numPr>
        <w:spacing w:after="40" w:before="40"/>
      </w:pPr>
      <w:r>
        <w:rPr>
          <w:rFonts w:ascii="Arial" w:cs="Arial" w:eastAsia="Arial" w:hAnsi="Arial"/>
          <w:sz w:val="22"/>
          <w:szCs w:val="22"/>
        </w:rPr>
        <w:t xml:space="preserve">Instrument every AI action from day one — log API calls, decisions, data inputs, and outputs for audit readiness and debugging (best practice from Nurix AI production deployments)</w:t>
      </w:r>
    </w:p>
    <w:p>
      <w:pPr>
        <w:pStyle w:val="ListParagraph"/>
        <w:numPr>
          <w:ilvl w:val="0"/>
          <w:numId w:val="2"/>
        </w:numPr>
        <w:spacing w:after="40" w:before="40"/>
      </w:pPr>
      <w:r>
        <w:rPr>
          <w:rFonts w:ascii="Arial" w:cs="Arial" w:eastAsia="Arial" w:hAnsi="Arial"/>
          <w:sz w:val="22"/>
          <w:szCs w:val="22"/>
        </w:rPr>
        <w:t xml:space="preserve">Build confidence-score-based escalation — AI should flag when it is uncertain and hand off to humans, not guess (evidenced: Aitomatic DXA confidence thresholds)</w:t>
      </w:r>
    </w:p>
    <w:p>
      <w:pPr>
        <w:pStyle w:val="ListParagraph"/>
        <w:numPr>
          <w:ilvl w:val="0"/>
          <w:numId w:val="2"/>
        </w:numPr>
        <w:spacing w:after="40" w:before="40"/>
      </w:pPr>
      <w:r>
        <w:rPr>
          <w:rFonts w:ascii="Arial" w:cs="Arial" w:eastAsia="Arial" w:hAnsi="Arial"/>
          <w:sz w:val="22"/>
          <w:szCs w:val="22"/>
        </w:rPr>
        <w:t xml:space="preserve">Monitor quality metrics weekly, not quarterly — customer satisfaction as a lagging indicator requires early-warning proxy metrics (evidenced: Klarna's 14-month reversal lag)</w:t>
      </w:r>
    </w:p>
    <w:p>
      <w:pPr>
        <w:pStyle w:val="ListParagraph"/>
        <w:numPr>
          <w:ilvl w:val="0"/>
          <w:numId w:val="2"/>
        </w:numPr>
        <w:spacing w:after="40" w:before="40"/>
      </w:pPr>
      <w:r>
        <w:rPr>
          <w:rFonts w:ascii="Arial" w:cs="Arial" w:eastAsia="Arial" w:hAnsi="Arial"/>
          <w:sz w:val="22"/>
          <w:szCs w:val="22"/>
        </w:rPr>
        <w:t xml:space="preserve">Define an explicit rollback plan before going to production — know the conditions under which you will reduce AI scope (evidenced: Klarna's reactive vs. planned response)</w:t>
      </w:r>
    </w:p>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4. Implementation Framework</w:t>
      </w:r>
    </w:p>
    <w:p>
      <w:pPr>
        <w:spacing w:after="80" w:before="80"/>
      </w:pPr>
      <w:r>
        <w:rPr>
          <w:rFonts w:ascii="Arial" w:cs="Arial" w:eastAsia="Arial" w:hAnsi="Arial"/>
          <w:sz w:val="22"/>
          <w:szCs w:val="22"/>
        </w:rPr>
        <w:t xml:space="preserve">The following framework synthesizes patterns from all five case studies into a reusable phased approach for AI agent implementations. Each phase includes objectives, key activities, success criteria, risks, stakeholder engagement requirements, and timeline estimates.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BBBBBB" w:sz="1"/>
              <w:left w:val="single" w:color="BBBBBB" w:sz="1"/>
              <w:bottom w:val="single" w:color="BBBBBB" w:sz="1"/>
              <w:right w:val="single" w:color="BBBBBB" w:sz="1"/>
            </w:tcBorders>
            <w:shd w:fill="1F4E79"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PHASE 1 — Proof of Concept (PoC)</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Validate technical feasibility and business value of the AI agent in a controlled, low-risk environment</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4-8 weeks</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Activities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Map the target workflow end-to-end; define dual KPIs (efficiency + quality); audit and prepare knowledge base / data; select technology stack; build minimal viable prototype; test with internal team only</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Prototype answers target queries with acceptable accuracy (&gt;70%); stakeholders agree on KPI definitions; human baseline metrics established</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Risks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Over-scoping the PoC; skipping knowledge base audit; using internal users who are too forgiving of errors</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Stakeholder Engagement</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Executive sponsor defines business goal; domain experts validate outputs; IT reviews security and integration requirements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BBBBBB" w:sz="1"/>
              <w:left w:val="single" w:color="BBBBBB" w:sz="1"/>
              <w:bottom w:val="single" w:color="BBBBBB" w:sz="1"/>
              <w:right w:val="single" w:color="BBBBBB"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PHASE 2 — Pilot Program</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the AI agent with a real but bounded subset of users and use cases; measure quality and efficiency together for the first time</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6-12 weeks</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Activities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 to 5-10% of target user base; preserve full human escalation paths; track both KPIs weekly; conduct structured user interviews; establish 12-month satisfaction floor target; begin logging all AI decisions</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Efficiency KPI improves vs. human baseline; quality KPI does not degrade; user adoption rate &gt;60% in pilot group; no significant escalation spike</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Risks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Pilot group unrepresentative of full user base; incomplete escalation path design; ignoring qualitative feedback in favor of aggregate metrics</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Stakeholder Engagement</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Domain expert users provide structured feedback weekly; change management lead communicates pilot framing; executive sponsor reviews weekly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BBBBBB" w:sz="1"/>
              <w:left w:val="single" w:color="BBBBBB" w:sz="1"/>
              <w:bottom w:val="single" w:color="BBBBBB" w:sz="1"/>
              <w:right w:val="single" w:color="BBBBBB" w:sz="1"/>
            </w:tcBorders>
            <w:shd w:fill="2F7A3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PHASE 3 — Limited Rollout</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Expand to 30-60% of target users while validating that quality and efficiency gains hold at increased scale</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3-6 months</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Activities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Phased expansion by department or region; refine knowledge base based on pilot gaps; tune escalation thresholds using pilot data; run change management training for newly onboarded user groups; implement automated quality monitoring alerts</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Efficiency gains maintained at scale; quality KPI at or above pilot level; user adoption rate &gt;75%; no unplanned quality alerts triggered</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Risks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Scaling exposes edge cases not covered in pilot; new user groups have different behaviors; technical performance degrades under higher load</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Stakeholder Engagement</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Department heads champion rollout within their teams; IT team monitors system performance; executive sponsor receives monthly outcome report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BBBBBB" w:sz="1"/>
              <w:left w:val="single" w:color="BBBBBB" w:sz="1"/>
              <w:bottom w:val="single" w:color="BBBBBB" w:sz="1"/>
              <w:right w:val="single" w:color="BBBBBB" w:sz="1"/>
            </w:tcBorders>
            <w:shd w:fill="7B3F00"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PHASE 4 — Full Deployment &amp; Continuous Improvement</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Objective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Achieve full organizational coverage with embedded feedback loops and governance for long-term sustainability</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Ongoing (minimum 12-month initial commitment)</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Activities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coverage rollout; establish governance committee with quarterly reviews; implement continuous model improvement pipeline; expand AI scope based on outcome data; maintain and review 12-month satisfaction floor regularly</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All target KPIs met at full scale; governance process operational; model improvement cycle running; satisfaction floor not breached in any rolling 12-month window</w:t>
            </w:r>
          </w:p>
        </w:tc>
      </w:tr>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Risks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Complacency after initial success; knowledge base staleness; regulatory changes requiring rapid model adjustment</w:t>
            </w:r>
          </w:p>
        </w:tc>
      </w:tr>
      <w:tr>
        <w:tc>
          <w:tcPr>
            <w:tcW w:type="dxa" w:w="20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Stakeholder Engagement</w:t>
            </w:r>
          </w:p>
        </w:tc>
        <w:tc>
          <w:tcPr>
            <w:tcW w:type="dxa" w:w="73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Governance committee reviews quarterly; end users submit feedback via structured channels; executive sponsor reviews annual strategic alignment</w:t>
            </w:r>
          </w:p>
        </w:tc>
      </w:tr>
    </w:tbl>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5. Key Insights &amp; Recommendations</w:t>
      </w:r>
    </w:p>
    <w:p>
      <w:pPr>
        <w:spacing w:after="80" w:before="80"/>
      </w:pPr>
      <w:r>
        <w:rPr>
          <w:rFonts w:ascii="Arial" w:cs="Arial" w:eastAsia="Arial" w:hAnsi="Arial"/>
          <w:sz w:val="22"/>
          <w:szCs w:val="22"/>
        </w:rPr>
        <w:t xml:space="preserve">The following insights represent the most high-impact learnings from the cross-case analysis — findings that were either surprising, counter-intuitive, or consistently underestimated in practice.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5.1 The Deflection-Resolution Gap is the Most Common Failure Mode</w:t>
      </w:r>
    </w:p>
    <w:p>
      <w:pPr>
        <w:spacing w:after="80" w:before="80"/>
      </w:pPr>
      <w:r>
        <w:rPr>
          <w:rFonts w:ascii="Arial" w:cs="Arial" w:eastAsia="Arial" w:hAnsi="Arial"/>
          <w:sz w:val="22"/>
          <w:szCs w:val="22"/>
        </w:rPr>
        <w:t xml:space="preserve">Every organization that reported early 'success' based on deflection or containment metrics eventually encountered quality problems. The gap between 'AI took the conversation' and 'customer was actually helped' is where AI implementations fail silently. Recommendation: Never report AI success without a corresponding resolution quality number.</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5.2 Customer Satisfaction is a Lagging Indicator — Plan Accordingly</w:t>
      </w:r>
    </w:p>
    <w:p>
      <w:pPr>
        <w:spacing w:after="80" w:before="80"/>
      </w:pPr>
      <w:r>
        <w:rPr>
          <w:rFonts w:ascii="Arial" w:cs="Arial" w:eastAsia="Arial" w:hAnsi="Arial"/>
          <w:sz w:val="22"/>
          <w:szCs w:val="22"/>
        </w:rPr>
        <w:t xml:space="preserve">Klarna's reversal came 14 months after launch. This is structurally predictable: customers initially lower their expectations, giving the AI a grace period. The reckoning arrives when they compare their experience to competitors or reach a breaking point. Recommendation: Set a 12-month customer satisfaction floor and build quarterly checkpoint reviews into your implementation timeline.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5.3 Data Preparation is 50% of the Work</w:t>
      </w:r>
    </w:p>
    <w:p>
      <w:pPr>
        <w:spacing w:after="80" w:before="80"/>
      </w:pPr>
      <w:r>
        <w:rPr>
          <w:rFonts w:ascii="Arial" w:cs="Arial" w:eastAsia="Arial" w:hAnsi="Arial"/>
          <w:sz w:val="22"/>
          <w:szCs w:val="22"/>
        </w:rPr>
        <w:t xml:space="preserve">In the Aitomatic and Intercom cases, knowledge base preparation — auditing, structuring, and augmenting documentation — consumed as much time as the AI development itself. Organizations that underinvest in this phase ship AI that fails on the most common queries. Recommendation: Allocate at least 40% of Phase 1 time to knowledge and data preparation, not model configuration.</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5.4 The Most Durable Implementations Prioritize Augmentation Over Replacement</w:t>
      </w:r>
    </w:p>
    <w:p>
      <w:pPr>
        <w:spacing w:after="80" w:before="80"/>
      </w:pPr>
      <w:r>
        <w:rPr>
          <w:rFonts w:ascii="Arial" w:cs="Arial" w:eastAsia="Arial" w:hAnsi="Arial"/>
          <w:sz w:val="22"/>
          <w:szCs w:val="22"/>
        </w:rPr>
        <w:t xml:space="preserve">Bank of America (5+ years, 1 billion interactions) and UWM (doubling productivity without workforce reduction) both designed AI as an augmentation tool for existing roles. Klarna (replacement-first) required a public reversal. Recommendation: Frame every internal implementation as 'how does this make the human's job better?' not 'how many humans can this replace?'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5.5 Iterative Expansion Beats Big-Bang Launches</w:t>
      </w:r>
    </w:p>
    <w:p>
      <w:pPr>
        <w:spacing w:after="80" w:before="80"/>
      </w:pPr>
      <w:r>
        <w:rPr>
          <w:rFonts w:ascii="Arial" w:cs="Arial" w:eastAsia="Arial" w:hAnsi="Arial"/>
          <w:sz w:val="22"/>
          <w:szCs w:val="22"/>
        </w:rPr>
        <w:t xml:space="preserve">Bank of America expanded Erica's capabilities over 5+ years. UWM piloted with specific loan types. Intercom deployed to bounded ticket categories. The fastest apparent launch (Klarna) also had the most expensive reversal. Recommendation: Resist pressure for organization-wide Day 1 launches. A 3-month limited pilot with clean metrics is more valuable than a full launch with ambiguous ones.</w:t>
      </w:r>
    </w:p>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6. Anti-Patterns to Avoid</w:t>
      </w:r>
    </w:p>
    <w:p>
      <w:pPr>
        <w:spacing w:after="80" w:before="80"/>
      </w:pPr>
      <w:r>
        <w:rPr>
          <w:rFonts w:ascii="Arial" w:cs="Arial" w:eastAsia="Arial" w:hAnsi="Arial"/>
          <w:sz w:val="22"/>
          <w:szCs w:val="22"/>
        </w:rPr>
        <w:t xml:space="preserve">The following patterns appeared in failed or partially-failed implementations. Each is directly evidenced in the case studies and represents a documented, repeatable failure mode.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Anti-Pattern</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Looks Like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Fails</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Cost-first implementation framing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ROI is calculated purely on headcount reduction or ticket deflection before launch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Creates perverse incentive to over-automate; quality concerns become secondary until damage is visible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Klarna CEO: 'cost was too predominant an evaluation factor'</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Single metric reporting</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Announcing '70% deflection rate' without corresponding resolution quality data</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Deflection and resolution are different things; single metrics hide quality erosion</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Klarna 14-month lag; Intercom tracks resolution, not just deflection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Removing human escalation paths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 handles 100% of a workflow with no human override option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Complex, emotional, or non-standard cases will occur; without a human path, customers escalate to frustration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Klarna complaint surge; Bank of America retained human paths</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Skipping knowledge base audit</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Deploying RAG directly onto existing documentation without review</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Outdated, inconsistent, or incomplete docs produce confident-sounding wrong answers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Aitomatic invested heavily in expert capture before training</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Big-bang launch without pilot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Deploying to full user base on Day 1 to maximize speed-to-value narrative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baseline quality data; no opportunity to catch systemic issues before they affect everyone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Klarna's speed vs. Bank of America's 5-year expansion</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Generic LLM voice without brand tuning</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 responds in default LLM phrasing ('I apologize for the inconvenience')</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Customers notice and distrust responses that feel robotic or unrecognizable as the brand</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Klarna chatbot brand voice analysis from PolyAI</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rollback plan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Treating AI deployment as one-directional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When edge cases or quality issues emerge, teams lack a clear response playbook</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Klarna's reactive public reversal vs. planned recalibration</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Measuring AI like a project, not an operation</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Declaring AI 'done' after launch; no ongoing governance or improvement process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 agents require continuous tuning, knowledge base updates, and quality monitoring to remain effective</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Bank of America's continuous capability expansion model</w:t>
            </w:r>
          </w:p>
        </w:tc>
      </w:tr>
    </w:tbl>
    <w:p>
      <w:pPr>
        <w:spacing w:after="120" w:before="0"/>
      </w:pPr>
      <w:r>
        <w:t xml:space="preserve"/>
      </w:r>
    </w:p>
    <w:p>
      <w:pPr>
        <w:pBdr>
          <w:bottom w:val="single" w:color="2E75B6" w:sz="4" w:space="1"/>
        </w:pBdr>
        <w:spacing w:after="120" w:before="120"/>
      </w:pPr>
      <w:r>
        <w:t xml:space="preserve"/>
      </w:r>
    </w:p>
    <w:p>
      <w:r>
        <w:br w:type="page"/>
      </w:r>
    </w:p>
    <w:p>
      <w:pPr>
        <w:pStyle w:val="Heading1"/>
        <w:spacing w:after="160" w:before="360"/>
      </w:pPr>
      <w:r>
        <w:rPr>
          <w:rFonts w:ascii="Arial" w:cs="Arial" w:eastAsia="Arial" w:hAnsi="Arial"/>
          <w:b/>
          <w:bCs/>
          <w:color w:val="1F4E79"/>
          <w:sz w:val="36"/>
          <w:szCs w:val="36"/>
        </w:rPr>
        <w:t xml:space="preserve">7. Case Study References &amp; Source Notes</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Primary Sources</w:t>
      </w:r>
    </w:p>
    <w:p>
      <w:pPr>
        <w:spacing w:after="60" w:before="0"/>
      </w:pPr>
      <w:r>
        <w:t xml:space="preserve"/>
      </w:r>
    </w:p>
    <w:p>
      <w:pPr>
        <w:spacing w:after="80" w:before="80"/>
      </w:pPr>
      <w:r>
        <w:rPr>
          <w:rFonts w:ascii="Arial" w:cs="Arial" w:eastAsia="Arial" w:hAnsi="Arial"/>
          <w:b/>
          <w:bCs/>
          <w:sz w:val="22"/>
          <w:szCs w:val="22"/>
        </w:rPr>
        <w:t xml:space="preserve">Case Study 1 — Klarna:</w:t>
      </w:r>
    </w:p>
    <w:p>
      <w:pPr>
        <w:pStyle w:val="ListParagraph"/>
        <w:numPr>
          <w:ilvl w:val="0"/>
          <w:numId w:val="2"/>
        </w:numPr>
        <w:spacing w:after="40" w:before="40"/>
      </w:pPr>
      <w:r>
        <w:rPr>
          <w:rFonts w:ascii="Arial" w:cs="Arial" w:eastAsia="Arial" w:hAnsi="Arial"/>
          <w:sz w:val="22"/>
          <w:szCs w:val="22"/>
        </w:rPr>
        <w:t xml:space="preserve">Kaamfu AI: 'Klarna Replaced 700 Agents With AI and a Year Later They Were Rehiring Humans' (March 2026) — https://kaamfu.ai/blog/klarna-replaced-700-agents-with-ai-and-a-year-later-they-were-rehiring-humans/</w:t>
      </w:r>
    </w:p>
    <w:p>
      <w:pPr>
        <w:pStyle w:val="ListParagraph"/>
        <w:numPr>
          <w:ilvl w:val="0"/>
          <w:numId w:val="2"/>
        </w:numPr>
        <w:spacing w:after="40" w:before="40"/>
      </w:pPr>
      <w:r>
        <w:rPr>
          <w:rFonts w:ascii="Arial" w:cs="Arial" w:eastAsia="Arial" w:hAnsi="Arial"/>
          <w:sz w:val="22"/>
          <w:szCs w:val="22"/>
        </w:rPr>
        <w:t xml:space="preserve">Internative: 'Klarna's AI Reversal: A Postmortem in 3 Lessons' (May 2026) — https://internative.net/insights/blog/klarna-ai-reversal-postmortem</w:t>
      </w:r>
    </w:p>
    <w:p>
      <w:pPr>
        <w:pStyle w:val="ListParagraph"/>
        <w:numPr>
          <w:ilvl w:val="0"/>
          <w:numId w:val="2"/>
        </w:numPr>
        <w:spacing w:after="40" w:before="40"/>
      </w:pPr>
      <w:r>
        <w:rPr>
          <w:rFonts w:ascii="Arial" w:cs="Arial" w:eastAsia="Arial" w:hAnsi="Arial"/>
          <w:sz w:val="22"/>
          <w:szCs w:val="22"/>
        </w:rPr>
        <w:t xml:space="preserve">Time/Charter: 'What Klarna Learned from its Ambitious AI Rollout' (Feb 2026) — https://time.com/charter/7378651/what-klarna-learned-from-its-ambitious-ai-rollout/</w:t>
      </w:r>
    </w:p>
    <w:p>
      <w:pPr>
        <w:pStyle w:val="ListParagraph"/>
        <w:numPr>
          <w:ilvl w:val="0"/>
          <w:numId w:val="2"/>
        </w:numPr>
        <w:spacing w:after="40" w:before="40"/>
      </w:pPr>
      <w:r>
        <w:rPr>
          <w:rFonts w:ascii="Arial" w:cs="Arial" w:eastAsia="Arial" w:hAnsi="Arial"/>
          <w:sz w:val="22"/>
          <w:szCs w:val="22"/>
        </w:rPr>
        <w:t xml:space="preserve">Delaware Luxembourg: 'Klarna Experiment: Real-World Reflections on Agentic AI Deployment' (Sep 2025) — https://www.delaware.pro/en-lu/blogs/klarna-experiment-real-world-reflections-on-agentic-ai-deployment</w:t>
      </w:r>
    </w:p>
    <w:p>
      <w:pPr>
        <w:pStyle w:val="ListParagraph"/>
        <w:numPr>
          <w:ilvl w:val="0"/>
          <w:numId w:val="2"/>
        </w:numPr>
        <w:spacing w:after="40" w:before="40"/>
      </w:pPr>
      <w:r>
        <w:rPr>
          <w:rFonts w:ascii="Arial" w:cs="Arial" w:eastAsia="Arial" w:hAnsi="Arial"/>
          <w:sz w:val="22"/>
          <w:szCs w:val="22"/>
        </w:rPr>
        <w:t xml:space="preserve">PolyAI Blog: 'Why Klarna is investing in more human agents' (May 2025) — https://poly.ai/blog/klarna-ai-customer-service-lessons</w:t>
      </w:r>
    </w:p>
    <w:p>
      <w:pPr>
        <w:pStyle w:val="ListParagraph"/>
        <w:numPr>
          <w:ilvl w:val="0"/>
          <w:numId w:val="2"/>
        </w:numPr>
        <w:spacing w:after="40" w:before="40"/>
      </w:pPr>
      <w:r>
        <w:rPr>
          <w:rFonts w:ascii="Arial" w:cs="Arial" w:eastAsia="Arial" w:hAnsi="Arial"/>
          <w:sz w:val="22"/>
          <w:szCs w:val="22"/>
        </w:rPr>
        <w:t xml:space="preserve">Value: This is the most comprehensively documented AI reversal in enterprise history, providing an unparalleled anti-pattern reference with CEO-level candor about what went wrong.</w:t>
      </w:r>
    </w:p>
    <w:p>
      <w:pPr>
        <w:spacing w:after="60" w:before="0"/>
      </w:pPr>
      <w:r>
        <w:t xml:space="preserve"/>
      </w:r>
    </w:p>
    <w:p>
      <w:pPr>
        <w:spacing w:after="80" w:before="80"/>
      </w:pPr>
      <w:r>
        <w:rPr>
          <w:rFonts w:ascii="Arial" w:cs="Arial" w:eastAsia="Arial" w:hAnsi="Arial"/>
          <w:b/>
          <w:bCs/>
          <w:sz w:val="22"/>
          <w:szCs w:val="22"/>
        </w:rPr>
        <w:t xml:space="preserve">Case Study 2 — Bank of America Erica:</w:t>
      </w:r>
    </w:p>
    <w:p>
      <w:pPr>
        <w:pStyle w:val="ListParagraph"/>
        <w:numPr>
          <w:ilvl w:val="0"/>
          <w:numId w:val="2"/>
        </w:numPr>
        <w:spacing w:after="40" w:before="40"/>
      </w:pPr>
      <w:r>
        <w:rPr>
          <w:rFonts w:ascii="Arial" w:cs="Arial" w:eastAsia="Arial" w:hAnsi="Arial"/>
          <w:sz w:val="22"/>
          <w:szCs w:val="22"/>
        </w:rPr>
        <w:t xml:space="preserve">SuperAGI: 'AI Agents in Action: Real-World Case Studies of Autonomous Business Transformation' — https://superagi.com/ai-agents-in-action-real-world-case-studies-of-autonomous-business-transformation/</w:t>
      </w:r>
    </w:p>
    <w:p>
      <w:pPr>
        <w:pStyle w:val="ListParagraph"/>
        <w:numPr>
          <w:ilvl w:val="0"/>
          <w:numId w:val="2"/>
        </w:numPr>
        <w:spacing w:after="40" w:before="40"/>
      </w:pPr>
      <w:r>
        <w:rPr>
          <w:rFonts w:ascii="Arial" w:cs="Arial" w:eastAsia="Arial" w:hAnsi="Arial"/>
          <w:sz w:val="22"/>
          <w:szCs w:val="22"/>
        </w:rPr>
        <w:t xml:space="preserve">Value: Provides the longest longitudinal success case in consumer financial services AI, illustrating what 5+ year iterative expansion looks like.</w:t>
      </w:r>
    </w:p>
    <w:p>
      <w:pPr>
        <w:spacing w:after="60" w:before="0"/>
      </w:pPr>
      <w:r>
        <w:t xml:space="preserve"/>
      </w:r>
    </w:p>
    <w:p>
      <w:pPr>
        <w:spacing w:after="80" w:before="80"/>
      </w:pPr>
      <w:r>
        <w:rPr>
          <w:rFonts w:ascii="Arial" w:cs="Arial" w:eastAsia="Arial" w:hAnsi="Arial"/>
          <w:b/>
          <w:bCs/>
          <w:sz w:val="22"/>
          <w:szCs w:val="22"/>
        </w:rPr>
        <w:t xml:space="preserve">Case Study 3 — Intercom Fin / Synthesia:</w:t>
      </w:r>
    </w:p>
    <w:p>
      <w:pPr>
        <w:pStyle w:val="ListParagraph"/>
        <w:numPr>
          <w:ilvl w:val="0"/>
          <w:numId w:val="2"/>
        </w:numPr>
        <w:spacing w:after="40" w:before="40"/>
      </w:pPr>
      <w:r>
        <w:rPr>
          <w:rFonts w:ascii="Arial" w:cs="Arial" w:eastAsia="Arial" w:hAnsi="Arial"/>
          <w:sz w:val="22"/>
          <w:szCs w:val="22"/>
        </w:rPr>
        <w:t xml:space="preserve">Skywork AI: '9 Best AI Agents Case Studies 2025: Real Enterprise Results' — https://skywork.ai/blog/ai-agents-case-studies-2025/</w:t>
      </w:r>
    </w:p>
    <w:p>
      <w:pPr>
        <w:pStyle w:val="ListParagraph"/>
        <w:numPr>
          <w:ilvl w:val="0"/>
          <w:numId w:val="2"/>
        </w:numPr>
        <w:spacing w:after="40" w:before="40"/>
      </w:pPr>
      <w:r>
        <w:rPr>
          <w:rFonts w:ascii="Arial" w:cs="Arial" w:eastAsia="Arial" w:hAnsi="Arial"/>
          <w:sz w:val="22"/>
          <w:szCs w:val="22"/>
        </w:rPr>
        <w:t xml:space="preserve">Value: Provides clean, independently verified metrics (1,300+ hours saved, 690% volume spike handled) with methodology disclosed, making it a high-credibility benchmark.</w:t>
      </w:r>
    </w:p>
    <w:p>
      <w:pPr>
        <w:spacing w:after="60" w:before="0"/>
      </w:pPr>
      <w:r>
        <w:t xml:space="preserve"/>
      </w:r>
    </w:p>
    <w:p>
      <w:pPr>
        <w:spacing w:after="80" w:before="80"/>
      </w:pPr>
      <w:r>
        <w:rPr>
          <w:rFonts w:ascii="Arial" w:cs="Arial" w:eastAsia="Arial" w:hAnsi="Arial"/>
          <w:b/>
          <w:bCs/>
          <w:sz w:val="22"/>
          <w:szCs w:val="22"/>
        </w:rPr>
        <w:t xml:space="preserve">Case Study 4 — United Wholesale Mortgage:</w:t>
      </w:r>
    </w:p>
    <w:p>
      <w:pPr>
        <w:pStyle w:val="ListParagraph"/>
        <w:numPr>
          <w:ilvl w:val="0"/>
          <w:numId w:val="2"/>
        </w:numPr>
        <w:spacing w:after="40" w:before="40"/>
      </w:pPr>
      <w:r>
        <w:rPr>
          <w:rFonts w:ascii="Arial" w:cs="Arial" w:eastAsia="Arial" w:hAnsi="Arial"/>
          <w:sz w:val="22"/>
          <w:szCs w:val="22"/>
        </w:rPr>
        <w:t xml:space="preserve">Google Cloud Blog: 'Real-world gen AI use cases from the world's leading organizations' (April 2024, updated April 2026) — https://cloud.google.com/transform/101-real-world-generative-ai-use-cases-from-industry-leaders</w:t>
      </w:r>
    </w:p>
    <w:p>
      <w:pPr>
        <w:pStyle w:val="ListParagraph"/>
        <w:numPr>
          <w:ilvl w:val="0"/>
          <w:numId w:val="2"/>
        </w:numPr>
        <w:spacing w:after="40" w:before="40"/>
      </w:pPr>
      <w:r>
        <w:rPr>
          <w:rFonts w:ascii="Arial" w:cs="Arial" w:eastAsia="Arial" w:hAnsi="Arial"/>
          <w:sz w:val="22"/>
          <w:szCs w:val="22"/>
        </w:rPr>
        <w:t xml:space="preserve">Value: Rare documented case of AI in regulated financial services (mortgage underwriting) with quantified productivity outcomes within a defined 9-month window.</w:t>
      </w:r>
    </w:p>
    <w:p>
      <w:pPr>
        <w:spacing w:after="60" w:before="0"/>
      </w:pPr>
      <w:r>
        <w:t xml:space="preserve"/>
      </w:r>
    </w:p>
    <w:p>
      <w:pPr>
        <w:spacing w:after="80" w:before="80"/>
      </w:pPr>
      <w:r>
        <w:rPr>
          <w:rFonts w:ascii="Arial" w:cs="Arial" w:eastAsia="Arial" w:hAnsi="Arial"/>
          <w:b/>
          <w:bCs/>
          <w:sz w:val="22"/>
          <w:szCs w:val="22"/>
        </w:rPr>
        <w:t xml:space="preserve">Case Study 5 — Aitomatic / IC Manufacturer:</w:t>
      </w:r>
    </w:p>
    <w:p>
      <w:pPr>
        <w:pStyle w:val="ListParagraph"/>
        <w:numPr>
          <w:ilvl w:val="0"/>
          <w:numId w:val="2"/>
        </w:numPr>
        <w:spacing w:after="40" w:before="40"/>
      </w:pPr>
      <w:r>
        <w:rPr>
          <w:rFonts w:ascii="Arial" w:cs="Arial" w:eastAsia="Arial" w:hAnsi="Arial"/>
          <w:sz w:val="22"/>
          <w:szCs w:val="22"/>
        </w:rPr>
        <w:t xml:space="preserve">Enterprise AI Executive: '40 Must-Read Enterprise AI Case Studies' (Jan 2026) — https://enterpriseaiexecutive.ai/p/40-must-read-ai-enterprise-case-studies</w:t>
      </w:r>
    </w:p>
    <w:p>
      <w:pPr>
        <w:pStyle w:val="ListParagraph"/>
        <w:numPr>
          <w:ilvl w:val="0"/>
          <w:numId w:val="2"/>
        </w:numPr>
        <w:spacing w:after="40" w:before="40"/>
      </w:pPr>
      <w:r>
        <w:rPr>
          <w:rFonts w:ascii="Arial" w:cs="Arial" w:eastAsia="Arial" w:hAnsi="Arial"/>
          <w:sz w:val="22"/>
          <w:szCs w:val="22"/>
        </w:rPr>
        <w:t xml:space="preserve">Value: Provides the most detailed technical documentation of the knowledge capture and synthetic data augmentation approach, directly applicable to domain-expert agent builds.</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Supporting Industry Sources</w:t>
      </w:r>
    </w:p>
    <w:p>
      <w:pPr>
        <w:pStyle w:val="ListParagraph"/>
        <w:numPr>
          <w:ilvl w:val="0"/>
          <w:numId w:val="2"/>
        </w:numPr>
        <w:spacing w:after="40" w:before="40"/>
      </w:pPr>
      <w:r>
        <w:rPr>
          <w:rFonts w:ascii="Arial" w:cs="Arial" w:eastAsia="Arial" w:hAnsi="Arial"/>
          <w:sz w:val="22"/>
          <w:szCs w:val="22"/>
        </w:rPr>
        <w:t xml:space="preserve">Nurix AI: 'Top 15 AI Agents Use Cases Transforming Business Operations' — https://www.nurix.ai/resources/ai-agents-use-cases-in-the-real-world (Production deployment governance frameworks)</w:t>
      </w:r>
    </w:p>
    <w:p>
      <w:pPr>
        <w:pStyle w:val="ListParagraph"/>
        <w:numPr>
          <w:ilvl w:val="0"/>
          <w:numId w:val="2"/>
        </w:numPr>
        <w:spacing w:after="40" w:before="40"/>
      </w:pPr>
      <w:r>
        <w:rPr>
          <w:rFonts w:ascii="Arial" w:cs="Arial" w:eastAsia="Arial" w:hAnsi="Arial"/>
          <w:sz w:val="22"/>
          <w:szCs w:val="22"/>
        </w:rPr>
        <w:t xml:space="preserve">TechTarget: '11 Real-World Agentic AI Examples and Use Cases' — https://www.techtarget.com/searchenterpriseai/feature/Real-world-agentic-AI-examples-and-use-cases (Deloitte survey data on enterprise AI adoption)</w:t>
      </w:r>
    </w:p>
    <w:p>
      <w:pPr>
        <w:pStyle w:val="ListParagraph"/>
        <w:numPr>
          <w:ilvl w:val="0"/>
          <w:numId w:val="2"/>
        </w:numPr>
        <w:spacing w:after="40" w:before="40"/>
      </w:pPr>
      <w:r>
        <w:rPr>
          <w:rFonts w:ascii="Arial" w:cs="Arial" w:eastAsia="Arial" w:hAnsi="Arial"/>
          <w:sz w:val="22"/>
          <w:szCs w:val="22"/>
        </w:rPr>
        <w:t xml:space="preserve">Unleash.so: 'AI Agent Case Studies: Real-World Success Stories' — https://www.unleash.so/post/ai-agent-case-studies-real-world-success-stories-transforming-enterprise-operations (RAG + integration patterns from Atera and Armis)</w:t>
      </w:r>
    </w:p>
    <w:p>
      <w:pPr>
        <w:spacing w:after="120" w:before="0"/>
      </w:pPr>
      <w:r>
        <w:t xml:space="preserve"/>
      </w:r>
    </w:p>
    <w:p>
      <w:pPr>
        <w:pBdr>
          <w:top w:val="single" w:color="2E75B6" w:sz="4" w:space="4"/>
        </w:pBdr>
        <w:spacing w:after="0" w:before="400"/>
        <w:jc w:val="center"/>
      </w:pPr>
      <w:r>
        <w:rPr>
          <w:rFonts w:ascii="Arial" w:cs="Arial" w:eastAsia="Arial" w:hAnsi="Arial"/>
          <w:color w:val="888888"/>
          <w:sz w:val="18"/>
          <w:szCs w:val="18"/>
        </w:rPr>
        <w:t xml:space="preserve">AI Agent Implementation Strategies — Research Summary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2026-05-15T10:29:16.607Z</dcterms:created>
  <dcterms:modified xsi:type="dcterms:W3CDTF">2026-05-15T10:29:16.607Z</dcterms:modified>
</cp:coreProperties>
</file>

<file path=docProps/custom.xml><?xml version="1.0" encoding="utf-8"?>
<Properties xmlns="http://schemas.openxmlformats.org/officeDocument/2006/custom-properties" xmlns:vt="http://schemas.openxmlformats.org/officeDocument/2006/docPropsVTypes"/>
</file>