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30B7D" w14:textId="77777777" w:rsidR="005414BE" w:rsidRDefault="00000000">
      <w:pPr>
        <w:spacing w:before="480" w:after="120"/>
        <w:jc w:val="center"/>
      </w:pPr>
      <w:r>
        <w:rPr>
          <w:b/>
          <w:bCs/>
          <w:color w:val="1F3864"/>
          <w:sz w:val="48"/>
          <w:szCs w:val="48"/>
        </w:rPr>
        <w:t>EU AI Act Approval Pack</w:t>
      </w:r>
    </w:p>
    <w:p w14:paraId="3FECAD47" w14:textId="77777777" w:rsidR="005414BE" w:rsidRDefault="00000000">
      <w:pPr>
        <w:spacing w:after="80"/>
        <w:jc w:val="center"/>
      </w:pPr>
      <w:r>
        <w:rPr>
          <w:color w:val="555555"/>
          <w:sz w:val="26"/>
          <w:szCs w:val="26"/>
        </w:rPr>
        <w:t>AI Consultant Lab — Week 8</w:t>
      </w:r>
    </w:p>
    <w:p w14:paraId="75C041B9" w14:textId="77777777" w:rsidR="005414BE" w:rsidRDefault="00000000">
      <w:pPr>
        <w:spacing w:after="600"/>
        <w:jc w:val="center"/>
      </w:pPr>
      <w:r>
        <w:rPr>
          <w:i/>
          <w:iCs/>
          <w:color w:val="777777"/>
        </w:rPr>
        <w:t>Four Hidden Client Scenarios + Consulting Review</w:t>
      </w:r>
    </w:p>
    <w:p w14:paraId="6BA65A9A" w14:textId="77777777" w:rsidR="005414BE" w:rsidRDefault="005414BE">
      <w:pPr>
        <w:pBdr>
          <w:bottom w:val="single" w:sz="4" w:space="0" w:color="2E5496"/>
        </w:pBdr>
        <w:spacing w:before="120" w:after="120"/>
      </w:pPr>
    </w:p>
    <w:p w14:paraId="67EEC4A6" w14:textId="77777777" w:rsidR="005414BE" w:rsidRDefault="005414BE">
      <w:pPr>
        <w:spacing w:after="120"/>
      </w:pPr>
    </w:p>
    <w:p w14:paraId="4DFAF423" w14:textId="77777777" w:rsidR="005414BE" w:rsidRDefault="00000000">
      <w:pPr>
        <w:spacing w:before="200" w:after="120"/>
      </w:pPr>
      <w:r>
        <w:rPr>
          <w:b/>
          <w:bCs/>
          <w:color w:val="C00000"/>
          <w:sz w:val="32"/>
          <w:szCs w:val="32"/>
        </w:rPr>
        <w:t>PART A — PRIVATE ANSWER KEY</w:t>
      </w:r>
    </w:p>
    <w:p w14:paraId="2F74C8C5" w14:textId="77777777" w:rsidR="005414BE" w:rsidRDefault="00000000">
      <w:pPr>
        <w:spacing w:before="40" w:after="80"/>
      </w:pPr>
      <w:r>
        <w:rPr>
          <w:i/>
          <w:iCs/>
        </w:rPr>
        <w:t>(Author's internal record. Not shared with the review partner.)</w:t>
      </w:r>
    </w:p>
    <w:p w14:paraId="2E46F02E" w14:textId="77777777" w:rsidR="005414BE" w:rsidRDefault="005414BE">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
        <w:gridCol w:w="3167"/>
        <w:gridCol w:w="1885"/>
        <w:gridCol w:w="4190"/>
      </w:tblGrid>
      <w:tr w:rsidR="005414BE" w14:paraId="11AF952F" w14:textId="77777777">
        <w:tblPrEx>
          <w:tblCellMar>
            <w:top w:w="0" w:type="dxa"/>
            <w:bottom w:w="0" w:type="dxa"/>
          </w:tblCellMar>
        </w:tblPrEx>
        <w:tc>
          <w:tcPr>
            <w:tcW w:w="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278DA8B" w14:textId="77777777" w:rsidR="005414BE" w:rsidRDefault="00000000">
            <w:r>
              <w:rPr>
                <w:b/>
                <w:bCs/>
                <w:color w:val="FFFFFF"/>
                <w:sz w:val="20"/>
                <w:szCs w:val="20"/>
              </w:rPr>
              <w:t>#</w:t>
            </w:r>
          </w:p>
        </w:tc>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164EB6D" w14:textId="77777777" w:rsidR="005414BE" w:rsidRDefault="00000000">
            <w:r>
              <w:rPr>
                <w:b/>
                <w:bCs/>
                <w:color w:val="FFFFFF"/>
                <w:sz w:val="20"/>
                <w:szCs w:val="20"/>
              </w:rPr>
              <w:t>Client Brief Summary</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7A881D9" w14:textId="77777777" w:rsidR="005414BE" w:rsidRDefault="00000000">
            <w:r>
              <w:rPr>
                <w:b/>
                <w:bCs/>
                <w:color w:val="FFFFFF"/>
                <w:sz w:val="20"/>
                <w:szCs w:val="20"/>
              </w:rPr>
              <w:t>Intended Category</w:t>
            </w:r>
          </w:p>
        </w:tc>
        <w:tc>
          <w:tcPr>
            <w:tcW w:w="4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68A4616" w14:textId="77777777" w:rsidR="005414BE" w:rsidRDefault="00000000">
            <w:r>
              <w:rPr>
                <w:b/>
                <w:bCs/>
                <w:color w:val="FFFFFF"/>
                <w:sz w:val="20"/>
                <w:szCs w:val="20"/>
              </w:rPr>
              <w:t>Why This Category</w:t>
            </w:r>
          </w:p>
        </w:tc>
      </w:tr>
      <w:tr w:rsidR="005414BE" w14:paraId="546EF183"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AE1BA" w14:textId="77777777" w:rsidR="005414BE" w:rsidRDefault="00000000">
            <w:r>
              <w:rPr>
                <w:color w:val="111111"/>
                <w:sz w:val="20"/>
                <w:szCs w:val="20"/>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25226" w14:textId="77777777" w:rsidR="005414BE" w:rsidRDefault="00000000">
            <w:r>
              <w:rPr>
                <w:color w:val="111111"/>
                <w:sz w:val="20"/>
                <w:szCs w:val="20"/>
              </w:rPr>
              <w:t>InsureCore — behavioural scoring for claimants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62A68" w14:textId="77777777" w:rsidR="005414BE" w:rsidRDefault="00000000">
            <w:r>
              <w:rPr>
                <w:color w:val="111111"/>
                <w:sz w:val="20"/>
                <w:szCs w:val="20"/>
              </w:rPr>
              <w:t>PROHIBITED</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5D73D" w14:textId="77777777" w:rsidR="005414BE" w:rsidRDefault="00000000">
            <w:r>
              <w:rPr>
                <w:color w:val="111111"/>
                <w:sz w:val="20"/>
                <w:szCs w:val="20"/>
              </w:rPr>
              <w:t>Infers psychological traits to predict fraudulent intent — social scoring + profiling for risk of offending</w:t>
            </w:r>
          </w:p>
        </w:tc>
      </w:tr>
      <w:tr w:rsidR="005414BE" w14:paraId="120E5E50"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40AD4" w14:textId="77777777" w:rsidR="005414BE" w:rsidRDefault="00000000">
            <w:r>
              <w:rPr>
                <w:color w:val="111111"/>
                <w:sz w:val="20"/>
                <w:szCs w:val="20"/>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90317E" w14:textId="77777777" w:rsidR="005414BE" w:rsidRDefault="00000000">
            <w:r>
              <w:rPr>
                <w:color w:val="111111"/>
                <w:sz w:val="20"/>
                <w:szCs w:val="20"/>
              </w:rPr>
              <w:t>MediPath — AI triage and treatment pathway tool in hospital A&amp;E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79DBF" w14:textId="77777777" w:rsidR="005414BE" w:rsidRDefault="00000000">
            <w:r>
              <w:rPr>
                <w:color w:val="111111"/>
                <w:sz w:val="20"/>
                <w:szCs w:val="20"/>
              </w:rPr>
              <w:t>HIGH RISK</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B5C3D" w14:textId="77777777" w:rsidR="005414BE" w:rsidRDefault="00000000">
            <w:r>
              <w:rPr>
                <w:color w:val="111111"/>
                <w:sz w:val="20"/>
                <w:szCs w:val="20"/>
              </w:rPr>
              <w:t>Medical device / patient safety component; affects clinical decisions and patient outcomes</w:t>
            </w:r>
          </w:p>
        </w:tc>
      </w:tr>
      <w:tr w:rsidR="005414BE" w14:paraId="183B519A"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44E7D9" w14:textId="77777777" w:rsidR="005414BE" w:rsidRDefault="00000000">
            <w:r>
              <w:rPr>
                <w:color w:val="111111"/>
                <w:sz w:val="20"/>
                <w:szCs w:val="20"/>
              </w:rPr>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7F3FEF" w14:textId="77777777" w:rsidR="005414BE" w:rsidRDefault="00000000">
            <w:r>
              <w:rPr>
                <w:color w:val="111111"/>
                <w:sz w:val="20"/>
                <w:szCs w:val="20"/>
              </w:rPr>
              <w:t>ShopBot — e-commerce AI customer chat assistant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46DF8" w14:textId="77777777" w:rsidR="005414BE" w:rsidRDefault="00000000">
            <w:r>
              <w:rPr>
                <w:color w:val="111111"/>
                <w:sz w:val="20"/>
                <w:szCs w:val="20"/>
              </w:rPr>
              <w:t>LIMITED RISK / TRANSPARENCY</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B9B22" w14:textId="77777777" w:rsidR="005414BE" w:rsidRDefault="00000000">
            <w:r>
              <w:rPr>
                <w:color w:val="111111"/>
                <w:sz w:val="20"/>
                <w:szCs w:val="20"/>
              </w:rPr>
              <w:t>Interacts with humans posing as a service agent; Article 50 AI-identity disclosure required</w:t>
            </w:r>
          </w:p>
        </w:tc>
      </w:tr>
      <w:tr w:rsidR="005414BE" w14:paraId="7FE087E0"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64A27" w14:textId="77777777" w:rsidR="005414BE" w:rsidRDefault="00000000">
            <w:r>
              <w:rPr>
                <w:color w:val="111111"/>
                <w:sz w:val="20"/>
                <w:szCs w:val="20"/>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477F68" w14:textId="77777777" w:rsidR="005414BE" w:rsidRDefault="00000000">
            <w:r>
              <w:rPr>
                <w:color w:val="111111"/>
                <w:sz w:val="20"/>
                <w:szCs w:val="20"/>
              </w:rPr>
              <w:t>GreenSort — factory waste-stream classification system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F65F6" w14:textId="77777777" w:rsidR="005414BE" w:rsidRDefault="00000000">
            <w:r>
              <w:rPr>
                <w:color w:val="111111"/>
                <w:sz w:val="20"/>
                <w:szCs w:val="20"/>
              </w:rPr>
              <w:t>MINIMAL RISK</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77C83" w14:textId="77777777" w:rsidR="005414BE" w:rsidRDefault="00000000">
            <w:r>
              <w:rPr>
                <w:color w:val="111111"/>
                <w:sz w:val="20"/>
                <w:szCs w:val="20"/>
              </w:rPr>
              <w:t>Classifies physical objects in an automated industrial process; no decisions affecting persons</w:t>
            </w:r>
          </w:p>
        </w:tc>
      </w:tr>
    </w:tbl>
    <w:p w14:paraId="63C997DB" w14:textId="77777777" w:rsidR="005414BE" w:rsidRDefault="005414BE">
      <w:pPr>
        <w:spacing w:after="120"/>
      </w:pPr>
    </w:p>
    <w:p w14:paraId="47D39396" w14:textId="77777777" w:rsidR="005414BE" w:rsidRDefault="00000000">
      <w:pPr>
        <w:spacing w:before="260" w:after="100"/>
      </w:pPr>
      <w:r>
        <w:rPr>
          <w:b/>
          <w:bCs/>
          <w:color w:val="2E5496"/>
          <w:sz w:val="24"/>
          <w:szCs w:val="24"/>
        </w:rPr>
        <w:t>Case 1 — Private Brief (InsureCore)</w:t>
      </w:r>
    </w:p>
    <w:p w14:paraId="1AD1B1F8" w14:textId="77777777" w:rsidR="005414BE" w:rsidRDefault="00000000">
      <w:pPr>
        <w:spacing w:before="40" w:after="60"/>
      </w:pPr>
      <w:r>
        <w:rPr>
          <w:b/>
          <w:bCs/>
        </w:rPr>
        <w:t xml:space="preserve">Industry: </w:t>
      </w:r>
      <w:r>
        <w:t>Property and casualty insurance</w:t>
      </w:r>
    </w:p>
    <w:p w14:paraId="79A52DB7" w14:textId="77777777" w:rsidR="005414BE" w:rsidRDefault="00000000">
      <w:pPr>
        <w:spacing w:before="40" w:after="60"/>
      </w:pPr>
      <w:r>
        <w:rPr>
          <w:b/>
          <w:bCs/>
        </w:rPr>
        <w:t xml:space="preserve">Business problem: </w:t>
      </w:r>
      <w:r>
        <w:t>InsureCore processes 40,000 household insurance claims per year. Loss-adjustment fraud costs the company roughly €12 million annually. The claims operations team wants a faster way to flag suspicious files before a human investigator reviews them.</w:t>
      </w:r>
    </w:p>
    <w:p w14:paraId="50D7AF47" w14:textId="77777777" w:rsidR="005414BE" w:rsidRDefault="00000000">
      <w:pPr>
        <w:spacing w:before="40" w:after="60"/>
      </w:pPr>
      <w:r>
        <w:rPr>
          <w:b/>
          <w:bCs/>
        </w:rPr>
        <w:t xml:space="preserve">Proposed AI behaviour: </w:t>
      </w:r>
      <w:r>
        <w:t>A behavioural scoring engine analyses written claim submissions, call-centre transcripts, and claimant social-media activity. It assigns each claimant a 'fraud-propensity score' from 0–100, derived from linguistic patterns, response latency, and inferred emotional state. Claims scoring above 70 are automatically deprioritised for payment and routed to a specialist investigation queue. No human reviews the score before the deprioritisation decision is applied.</w:t>
      </w:r>
    </w:p>
    <w:p w14:paraId="7D6C22E9" w14:textId="77777777" w:rsidR="005414BE" w:rsidRDefault="00000000">
      <w:pPr>
        <w:spacing w:before="40" w:after="60"/>
      </w:pPr>
      <w:r>
        <w:rPr>
          <w:b/>
          <w:bCs/>
        </w:rPr>
        <w:t xml:space="preserve">Data / signals used: </w:t>
      </w:r>
      <w:r>
        <w:t>Claim text, recorded call audio (speech-to-text), claimant social-media posts, historical loss data, postcode-level socio-economic indicators.</w:t>
      </w:r>
    </w:p>
    <w:p w14:paraId="388448F8" w14:textId="77777777" w:rsidR="005414BE" w:rsidRDefault="00000000">
      <w:pPr>
        <w:spacing w:before="40" w:after="60"/>
      </w:pPr>
      <w:r>
        <w:rPr>
          <w:b/>
          <w:bCs/>
        </w:rPr>
        <w:t xml:space="preserve">People affected: </w:t>
      </w:r>
      <w:r>
        <w:t>Private individuals making insurance claims, disproportionately those in lower-income postcodes flagged by the socio-economic signal.</w:t>
      </w:r>
    </w:p>
    <w:p w14:paraId="45F02364" w14:textId="77777777" w:rsidR="005414BE" w:rsidRDefault="00000000">
      <w:pPr>
        <w:spacing w:before="40" w:after="60"/>
      </w:pPr>
      <w:r>
        <w:rPr>
          <w:b/>
          <w:bCs/>
        </w:rPr>
        <w:lastRenderedPageBreak/>
        <w:t xml:space="preserve">Human review: </w:t>
      </w:r>
      <w:r>
        <w:t>Human investigators review files after deprioritisation, but the routing decision itself is fully automated. Claimants are not notified of the scoring.</w:t>
      </w:r>
    </w:p>
    <w:p w14:paraId="288A903E" w14:textId="77777777" w:rsidR="005414BE" w:rsidRDefault="00000000">
      <w:pPr>
        <w:spacing w:before="40" w:after="60"/>
      </w:pPr>
      <w:r>
        <w:rPr>
          <w:b/>
          <w:bCs/>
        </w:rPr>
        <w:t xml:space="preserve">Intended category: </w:t>
      </w:r>
      <w:r>
        <w:t>PROHIBITED</w:t>
      </w:r>
    </w:p>
    <w:p w14:paraId="66CC56FD" w14:textId="77777777" w:rsidR="005414BE" w:rsidRDefault="00000000">
      <w:pPr>
        <w:spacing w:before="40" w:after="60"/>
      </w:pPr>
      <w:r>
        <w:rPr>
          <w:b/>
          <w:bCs/>
        </w:rPr>
        <w:t xml:space="preserve">Why: </w:t>
      </w:r>
      <w:r>
        <w:t>The system profiles individuals based on personality traits and inferred emotional state to assess their risk of committing fraud (analogous to predicting criminal offence risk). It also uses socio-economic postcode data to score individuals, which constitutes social scoring causing detrimental treatment. Both Article 5(1)(c) and 5(1)(d) are engaged. The automated deprioritisation without disclosure or human pre-review compounds the harm.</w:t>
      </w:r>
    </w:p>
    <w:p w14:paraId="48321827" w14:textId="77777777" w:rsidR="005414BE" w:rsidRDefault="005414BE">
      <w:pPr>
        <w:spacing w:after="120"/>
      </w:pPr>
    </w:p>
    <w:p w14:paraId="44D56DC1" w14:textId="77777777" w:rsidR="005414BE" w:rsidRDefault="00000000">
      <w:pPr>
        <w:spacing w:before="260" w:after="100"/>
      </w:pPr>
      <w:r>
        <w:rPr>
          <w:b/>
          <w:bCs/>
          <w:color w:val="2E5496"/>
          <w:sz w:val="24"/>
          <w:szCs w:val="24"/>
        </w:rPr>
        <w:t>Case 2 — Private Brief (MediPath)</w:t>
      </w:r>
    </w:p>
    <w:p w14:paraId="4AE059EF" w14:textId="77777777" w:rsidR="005414BE" w:rsidRDefault="00000000">
      <w:pPr>
        <w:spacing w:before="40" w:after="60"/>
      </w:pPr>
      <w:r>
        <w:rPr>
          <w:b/>
          <w:bCs/>
        </w:rPr>
        <w:t xml:space="preserve">Industry: </w:t>
      </w:r>
      <w:r>
        <w:t>Acute-care hospital (NHS trust equivalent, private sector)</w:t>
      </w:r>
    </w:p>
    <w:p w14:paraId="1BE6F0FB" w14:textId="77777777" w:rsidR="005414BE" w:rsidRDefault="00000000">
      <w:pPr>
        <w:spacing w:before="40" w:after="60"/>
      </w:pPr>
      <w:r>
        <w:rPr>
          <w:b/>
          <w:bCs/>
        </w:rPr>
        <w:t xml:space="preserve">Business problem: </w:t>
      </w:r>
      <w:r>
        <w:t>The A&amp;E department sees 300 patients per shift. Triage nurses spend an average of 8 minutes per patient on initial assessment. The hospital wants to reduce that to under 3 minutes by using AI to generate a provisional acuity score and recommend a treatment pathway.</w:t>
      </w:r>
    </w:p>
    <w:p w14:paraId="05B787C8" w14:textId="77777777" w:rsidR="005414BE" w:rsidRDefault="00000000">
      <w:pPr>
        <w:spacing w:before="40" w:after="60"/>
      </w:pPr>
      <w:r>
        <w:rPr>
          <w:b/>
          <w:bCs/>
        </w:rPr>
        <w:t xml:space="preserve">Proposed AI behaviour: </w:t>
      </w:r>
      <w:r>
        <w:t>MediPath ingests vital signs from connected monitoring devices, the patient's presenting complaint (free text), and prior EHR records. It outputs an acuity category (1–5, following the Manchester Triage System) and a recommended clinical pathway. The triage nurse sees the recommendation on a tablet and can override it.</w:t>
      </w:r>
    </w:p>
    <w:p w14:paraId="6CE0B8C7" w14:textId="77777777" w:rsidR="005414BE" w:rsidRDefault="00000000">
      <w:pPr>
        <w:spacing w:before="40" w:after="60"/>
      </w:pPr>
      <w:r>
        <w:rPr>
          <w:b/>
          <w:bCs/>
        </w:rPr>
        <w:t xml:space="preserve">Data / signals used: </w:t>
      </w:r>
      <w:r>
        <w:t>Real-time biometrics (heart rate, SpO2, blood pressure), free-text chief complaint, historical diagnosis codes, medication list.</w:t>
      </w:r>
    </w:p>
    <w:p w14:paraId="041DA22F" w14:textId="77777777" w:rsidR="005414BE" w:rsidRDefault="00000000">
      <w:pPr>
        <w:spacing w:before="40" w:after="60"/>
      </w:pPr>
      <w:r>
        <w:rPr>
          <w:b/>
          <w:bCs/>
        </w:rPr>
        <w:t xml:space="preserve">People affected: </w:t>
      </w:r>
      <w:r>
        <w:t>All A&amp;E patients, including vulnerable individuals (elderly, children, those in acute distress).</w:t>
      </w:r>
    </w:p>
    <w:p w14:paraId="7FE38A29" w14:textId="77777777" w:rsidR="005414BE" w:rsidRDefault="00000000">
      <w:pPr>
        <w:spacing w:before="40" w:after="60"/>
      </w:pPr>
      <w:r>
        <w:rPr>
          <w:b/>
          <w:bCs/>
        </w:rPr>
        <w:t xml:space="preserve">Human review: </w:t>
      </w:r>
      <w:r>
        <w:t>Triage nurse reviews the AI output and may override before the pathway is confirmed. Override rate is approximately 15%.</w:t>
      </w:r>
    </w:p>
    <w:p w14:paraId="573843B9" w14:textId="77777777" w:rsidR="005414BE" w:rsidRDefault="00000000">
      <w:pPr>
        <w:spacing w:before="40" w:after="60"/>
      </w:pPr>
      <w:r>
        <w:rPr>
          <w:b/>
          <w:bCs/>
        </w:rPr>
        <w:t xml:space="preserve">Intended category: </w:t>
      </w:r>
      <w:r>
        <w:t>HIGH RISK</w:t>
      </w:r>
    </w:p>
    <w:p w14:paraId="248B0193" w14:textId="77777777" w:rsidR="005414BE" w:rsidRDefault="00000000">
      <w:pPr>
        <w:spacing w:before="40" w:after="60"/>
      </w:pPr>
      <w:r>
        <w:rPr>
          <w:b/>
          <w:bCs/>
        </w:rPr>
        <w:t xml:space="preserve">Why: </w:t>
      </w:r>
      <w:r>
        <w:t>AI used as a safety component in a medical device context — directly influencing clinical decisions about patient care. Falls under Annex III area 5 (access to essential services) and, if meeting the medical device definition, Annex I (EU MDR). Even with nurse override, the system shapes patient pathway allocation in an acute safety setting.</w:t>
      </w:r>
    </w:p>
    <w:p w14:paraId="03C8376D" w14:textId="77777777" w:rsidR="005414BE" w:rsidRDefault="005414BE">
      <w:pPr>
        <w:spacing w:after="120"/>
      </w:pPr>
    </w:p>
    <w:p w14:paraId="33030DF7" w14:textId="77777777" w:rsidR="005414BE" w:rsidRDefault="00000000">
      <w:pPr>
        <w:spacing w:before="260" w:after="100"/>
      </w:pPr>
      <w:r>
        <w:rPr>
          <w:b/>
          <w:bCs/>
          <w:color w:val="2E5496"/>
          <w:sz w:val="24"/>
          <w:szCs w:val="24"/>
        </w:rPr>
        <w:t>Case 3 — Private Brief (ShopBot)</w:t>
      </w:r>
    </w:p>
    <w:p w14:paraId="173B8D82" w14:textId="77777777" w:rsidR="005414BE" w:rsidRDefault="00000000">
      <w:pPr>
        <w:spacing w:before="40" w:after="60"/>
      </w:pPr>
      <w:r>
        <w:rPr>
          <w:b/>
          <w:bCs/>
        </w:rPr>
        <w:t xml:space="preserve">Industry: </w:t>
      </w:r>
      <w:r>
        <w:t>Multi-brand e-commerce marketplace</w:t>
      </w:r>
    </w:p>
    <w:p w14:paraId="62B0605C" w14:textId="77777777" w:rsidR="005414BE" w:rsidRDefault="00000000">
      <w:pPr>
        <w:spacing w:before="40" w:after="60"/>
      </w:pPr>
      <w:r>
        <w:rPr>
          <w:b/>
          <w:bCs/>
        </w:rPr>
        <w:t xml:space="preserve">Business problem: </w:t>
      </w:r>
      <w:r>
        <w:t>Customer-service queues peak at 4× during promotions. The marketplace wants to handle routine enquiries (order tracking, returns, sizing) without expanding its support headcount.</w:t>
      </w:r>
    </w:p>
    <w:p w14:paraId="236D82BD" w14:textId="77777777" w:rsidR="005414BE" w:rsidRDefault="00000000">
      <w:pPr>
        <w:spacing w:before="40" w:after="60"/>
      </w:pPr>
      <w:r>
        <w:rPr>
          <w:b/>
          <w:bCs/>
        </w:rPr>
        <w:t xml:space="preserve">Proposed AI behaviour: </w:t>
      </w:r>
      <w:r>
        <w:t>ShopBot is a conversational AI assistant embedded in the website and mobile app. It is powered by a fine-tuned LLM and handles returns, order-status queries, and product questions. It can escalate to a human agent if it cannot resolve the query. The bot uses the persona name 'Mia' with a profile photo. There is no disclosure that Mia is an AI.</w:t>
      </w:r>
    </w:p>
    <w:p w14:paraId="3B3D53EB" w14:textId="77777777" w:rsidR="005414BE" w:rsidRDefault="00000000">
      <w:pPr>
        <w:spacing w:before="40" w:after="60"/>
      </w:pPr>
      <w:r>
        <w:rPr>
          <w:b/>
          <w:bCs/>
        </w:rPr>
        <w:t xml:space="preserve">Data / signals used: </w:t>
      </w:r>
      <w:r>
        <w:t>Order history, product catalogue, customer account data, live session context.</w:t>
      </w:r>
    </w:p>
    <w:p w14:paraId="3AC92E3F" w14:textId="77777777" w:rsidR="005414BE" w:rsidRDefault="00000000">
      <w:pPr>
        <w:spacing w:before="40" w:after="60"/>
      </w:pPr>
      <w:r>
        <w:rPr>
          <w:b/>
          <w:bCs/>
        </w:rPr>
        <w:t xml:space="preserve">People affected: </w:t>
      </w:r>
      <w:r>
        <w:t>All customers who initiate a chat — potentially millions of EU consumers.</w:t>
      </w:r>
    </w:p>
    <w:p w14:paraId="52FFF27D" w14:textId="77777777" w:rsidR="005414BE" w:rsidRDefault="00000000">
      <w:pPr>
        <w:spacing w:before="40" w:after="60"/>
      </w:pPr>
      <w:r>
        <w:rPr>
          <w:b/>
          <w:bCs/>
        </w:rPr>
        <w:t xml:space="preserve">Human review: </w:t>
      </w:r>
      <w:r>
        <w:t>Human agent available on escalation; routine conversations are fully automated.</w:t>
      </w:r>
    </w:p>
    <w:p w14:paraId="400689D0" w14:textId="77777777" w:rsidR="005414BE" w:rsidRDefault="00000000">
      <w:pPr>
        <w:spacing w:before="40" w:after="60"/>
      </w:pPr>
      <w:r>
        <w:rPr>
          <w:b/>
          <w:bCs/>
        </w:rPr>
        <w:t xml:space="preserve">Intended category: </w:t>
      </w:r>
      <w:r>
        <w:t>LIMITED RISK / TRANSPARENCY</w:t>
      </w:r>
    </w:p>
    <w:p w14:paraId="55E1D9B0" w14:textId="77777777" w:rsidR="005414BE" w:rsidRDefault="00000000">
      <w:pPr>
        <w:spacing w:before="40" w:after="60"/>
      </w:pPr>
      <w:r>
        <w:rPr>
          <w:b/>
          <w:bCs/>
        </w:rPr>
        <w:t xml:space="preserve">Why: </w:t>
      </w:r>
      <w:r>
        <w:t xml:space="preserve">The system is an AI interacting with humans who may not know they are talking to a machine. Article 50(1) requires that chatbots inform users they are interacting with an AI, unless the </w:t>
      </w:r>
      <w:r>
        <w:lastRenderedPageBreak/>
        <w:t>context makes it obvious. The human persona 'Mia' with a photo actively conceals the AI nature, creating a clear Article 50 breach.</w:t>
      </w:r>
    </w:p>
    <w:p w14:paraId="546908B5" w14:textId="77777777" w:rsidR="005414BE" w:rsidRDefault="005414BE">
      <w:pPr>
        <w:spacing w:after="120"/>
      </w:pPr>
    </w:p>
    <w:p w14:paraId="5C7FE470" w14:textId="77777777" w:rsidR="005414BE" w:rsidRDefault="00000000">
      <w:pPr>
        <w:spacing w:before="260" w:after="100"/>
      </w:pPr>
      <w:r>
        <w:rPr>
          <w:b/>
          <w:bCs/>
          <w:color w:val="2E5496"/>
          <w:sz w:val="24"/>
          <w:szCs w:val="24"/>
        </w:rPr>
        <w:t>Case 4 — Private Brief (GreenSort)</w:t>
      </w:r>
    </w:p>
    <w:p w14:paraId="316B90FA" w14:textId="77777777" w:rsidR="005414BE" w:rsidRDefault="00000000">
      <w:pPr>
        <w:spacing w:before="40" w:after="60"/>
      </w:pPr>
      <w:r>
        <w:rPr>
          <w:b/>
          <w:bCs/>
        </w:rPr>
        <w:t xml:space="preserve">Industry: </w:t>
      </w:r>
      <w:r>
        <w:t>Industrial waste management and recycling</w:t>
      </w:r>
    </w:p>
    <w:p w14:paraId="06A59D11" w14:textId="77777777" w:rsidR="005414BE" w:rsidRDefault="00000000">
      <w:pPr>
        <w:spacing w:before="40" w:after="60"/>
      </w:pPr>
      <w:r>
        <w:rPr>
          <w:b/>
          <w:bCs/>
        </w:rPr>
        <w:t xml:space="preserve">Business problem: </w:t>
      </w:r>
      <w:r>
        <w:t>A recycling facility processes 800 tonnes of mixed waste per day. Manual sorting is slow and exposes workers to hazardous materials. The facility wants to automate material classification on the conveyor belt.</w:t>
      </w:r>
    </w:p>
    <w:p w14:paraId="1A874B47" w14:textId="77777777" w:rsidR="005414BE" w:rsidRDefault="00000000">
      <w:pPr>
        <w:spacing w:before="40" w:after="60"/>
      </w:pPr>
      <w:r>
        <w:rPr>
          <w:b/>
          <w:bCs/>
        </w:rPr>
        <w:t xml:space="preserve">Proposed AI behaviour: </w:t>
      </w:r>
      <w:r>
        <w:t>GreenSort uses computer vision to classify waste items on a conveyor into streams (glass, cardboard, HDPE plastic, organic, hazardous). A robotic arm then diverts items to the correct stream. The system operates continuously with no human in the loop during normal operation. A supervisor monitors the classification dashboard and can halt the line.</w:t>
      </w:r>
    </w:p>
    <w:p w14:paraId="535F9BD0" w14:textId="77777777" w:rsidR="005414BE" w:rsidRDefault="00000000">
      <w:pPr>
        <w:spacing w:before="40" w:after="60"/>
      </w:pPr>
      <w:r>
        <w:rPr>
          <w:b/>
          <w:bCs/>
        </w:rPr>
        <w:t xml:space="preserve">Data / signals used: </w:t>
      </w:r>
      <w:r>
        <w:t>Conveyor camera feeds (RGB + near-infrared), item weight sensor, historical classification data.</w:t>
      </w:r>
    </w:p>
    <w:p w14:paraId="15E95D2C" w14:textId="77777777" w:rsidR="005414BE" w:rsidRDefault="00000000">
      <w:pPr>
        <w:spacing w:before="40" w:after="60"/>
      </w:pPr>
      <w:r>
        <w:rPr>
          <w:b/>
          <w:bCs/>
        </w:rPr>
        <w:t xml:space="preserve">People affected: </w:t>
      </w:r>
      <w:r>
        <w:t>No individual persons are subject to the system's outputs. Indirect beneficiaries are facility workers (reduced exposure) and the environment.</w:t>
      </w:r>
    </w:p>
    <w:p w14:paraId="34A815F6" w14:textId="77777777" w:rsidR="005414BE" w:rsidRDefault="00000000">
      <w:pPr>
        <w:spacing w:before="40" w:after="60"/>
      </w:pPr>
      <w:r>
        <w:rPr>
          <w:b/>
          <w:bCs/>
        </w:rPr>
        <w:t xml:space="preserve">Human review: </w:t>
      </w:r>
      <w:r>
        <w:t>Supervisor can halt the line but does not review individual classification decisions.</w:t>
      </w:r>
    </w:p>
    <w:p w14:paraId="2F5F41F4" w14:textId="77777777" w:rsidR="005414BE" w:rsidRDefault="00000000">
      <w:pPr>
        <w:spacing w:before="40" w:after="60"/>
      </w:pPr>
      <w:r>
        <w:rPr>
          <w:b/>
          <w:bCs/>
        </w:rPr>
        <w:t xml:space="preserve">Intended category: </w:t>
      </w:r>
      <w:r>
        <w:t>MINIMAL RISK</w:t>
      </w:r>
    </w:p>
    <w:p w14:paraId="74720155" w14:textId="77777777" w:rsidR="005414BE" w:rsidRDefault="00000000">
      <w:pPr>
        <w:spacing w:before="40" w:after="60"/>
      </w:pPr>
      <w:r>
        <w:rPr>
          <w:b/>
          <w:bCs/>
        </w:rPr>
        <w:t xml:space="preserve">Why: </w:t>
      </w:r>
      <w:r>
        <w:t>The system classifies physical objects in an industrial process. No individual person is affected by any single output. It does not fall within any Annex III area, is not a safety component under an Annex I regulated product, and does not interact with humans. GDPR note: no personal data processed.</w:t>
      </w:r>
    </w:p>
    <w:p w14:paraId="54AA15F6" w14:textId="77777777" w:rsidR="005414BE" w:rsidRDefault="005414BE">
      <w:pPr>
        <w:spacing w:after="120"/>
      </w:pPr>
    </w:p>
    <w:p w14:paraId="1C19506B" w14:textId="77777777" w:rsidR="005414BE" w:rsidRDefault="00000000">
      <w:r>
        <w:br/>
      </w:r>
    </w:p>
    <w:p w14:paraId="122EC861" w14:textId="77777777" w:rsidR="005414BE" w:rsidRDefault="00000000">
      <w:pPr>
        <w:spacing w:before="200" w:after="120"/>
      </w:pPr>
      <w:r>
        <w:rPr>
          <w:b/>
          <w:bCs/>
          <w:color w:val="1F3864"/>
          <w:sz w:val="32"/>
          <w:szCs w:val="32"/>
        </w:rPr>
        <w:t>PART B — CONSULTING RESPONSE</w:t>
      </w:r>
    </w:p>
    <w:p w14:paraId="27C9EADC" w14:textId="77777777" w:rsidR="005414BE" w:rsidRDefault="00000000">
      <w:pPr>
        <w:spacing w:before="40" w:after="80"/>
      </w:pPr>
      <w:r>
        <w:rPr>
          <w:i/>
          <w:iCs/>
        </w:rPr>
        <w:t>The following section presents the four client briefs as a review partner would receive them, followed by the consultant's full analysis and approval decisions.</w:t>
      </w:r>
    </w:p>
    <w:p w14:paraId="0843C78D" w14:textId="77777777" w:rsidR="005414BE" w:rsidRDefault="005414BE">
      <w:pPr>
        <w:spacing w:after="60"/>
      </w:pPr>
    </w:p>
    <w:p w14:paraId="73A3C1FA" w14:textId="77777777" w:rsidR="005414BE" w:rsidRDefault="00000000">
      <w:pPr>
        <w:spacing w:before="340" w:after="120"/>
      </w:pPr>
      <w:r>
        <w:rPr>
          <w:b/>
          <w:bCs/>
          <w:color w:val="1F3864"/>
          <w:sz w:val="30"/>
          <w:szCs w:val="30"/>
        </w:rPr>
        <w:t>Section 2 — Consulting Review Table</w:t>
      </w:r>
    </w:p>
    <w:p w14:paraId="6C55887B" w14:textId="77777777" w:rsidR="005414BE" w:rsidRDefault="005414BE">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
        <w:gridCol w:w="1463"/>
        <w:gridCol w:w="2130"/>
        <w:gridCol w:w="1800"/>
        <w:gridCol w:w="1420"/>
        <w:gridCol w:w="1677"/>
      </w:tblGrid>
      <w:tr w:rsidR="005414BE" w14:paraId="3AB028CD" w14:textId="77777777">
        <w:tblPrEx>
          <w:tblCellMar>
            <w:top w:w="0" w:type="dxa"/>
            <w:bottom w:w="0" w:type="dxa"/>
          </w:tblCellMar>
        </w:tblPrEx>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861CFD8" w14:textId="77777777" w:rsidR="005414BE" w:rsidRDefault="00000000">
            <w:r>
              <w:rPr>
                <w:b/>
                <w:bCs/>
                <w:color w:val="FFFFFF"/>
                <w:sz w:val="20"/>
                <w:szCs w:val="20"/>
              </w:rPr>
              <w:t>Case</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B6F605E" w14:textId="77777777" w:rsidR="005414BE" w:rsidRDefault="00000000">
            <w:r>
              <w:rPr>
                <w:b/>
                <w:bCs/>
                <w:color w:val="FFFFFF"/>
                <w:sz w:val="20"/>
                <w:szCs w:val="20"/>
              </w:rPr>
              <w:t>Likely Category</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D0DA42" w14:textId="77777777" w:rsidR="005414BE" w:rsidRDefault="00000000">
            <w:r>
              <w:rPr>
                <w:b/>
                <w:bCs/>
                <w:color w:val="FFFFFF"/>
                <w:sz w:val="20"/>
                <w:szCs w:val="20"/>
              </w:rPr>
              <w:t>First-Pass Reasoning</w:t>
            </w:r>
          </w:p>
        </w:tc>
        <w:tc>
          <w:tcPr>
            <w:tcW w:w="20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951BCDE" w14:textId="77777777" w:rsidR="005414BE" w:rsidRDefault="00000000">
            <w:r>
              <w:rPr>
                <w:b/>
                <w:bCs/>
                <w:color w:val="FFFFFF"/>
                <w:sz w:val="20"/>
                <w:szCs w:val="20"/>
              </w:rPr>
              <w:t>Proposed Architecture</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FC74E8B" w14:textId="77777777" w:rsidR="005414BE" w:rsidRDefault="00000000">
            <w:r>
              <w:rPr>
                <w:b/>
                <w:bCs/>
                <w:color w:val="FFFFFF"/>
                <w:sz w:val="20"/>
                <w:szCs w:val="20"/>
              </w:rPr>
              <w:t>Provider / Deployer / Vendor</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C1CDF52" w14:textId="77777777" w:rsidR="005414BE" w:rsidRDefault="00000000">
            <w:r>
              <w:rPr>
                <w:b/>
                <w:bCs/>
                <w:color w:val="FFFFFF"/>
                <w:sz w:val="20"/>
                <w:szCs w:val="20"/>
              </w:rPr>
              <w:t>Decision</w:t>
            </w:r>
          </w:p>
        </w:tc>
      </w:tr>
      <w:tr w:rsidR="005414BE" w14:paraId="23E1EE9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1A1C6A" w14:textId="77777777" w:rsidR="005414BE" w:rsidRDefault="00000000">
            <w:r>
              <w:rPr>
                <w:color w:val="111111"/>
                <w:sz w:val="20"/>
                <w:szCs w:val="20"/>
              </w:rPr>
              <w:t>A — InsureCore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0BD1C" w14:textId="77777777" w:rsidR="005414BE" w:rsidRDefault="00000000">
            <w:r>
              <w:rPr>
                <w:color w:val="111111"/>
                <w:sz w:val="20"/>
                <w:szCs w:val="20"/>
              </w:rPr>
              <w:t>PROHIBITED (Art. 5)</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23DAA0" w14:textId="77777777" w:rsidR="005414BE" w:rsidRDefault="00000000">
            <w:r>
              <w:rPr>
                <w:color w:val="111111"/>
                <w:sz w:val="20"/>
                <w:szCs w:val="20"/>
              </w:rPr>
              <w:t xml:space="preserve">Scores individuals on fraud propensity using personality/emotional inference and socio-economic profiling. Automated deprioritisation without pre-decision </w:t>
            </w:r>
            <w:r>
              <w:rPr>
                <w:color w:val="111111"/>
                <w:sz w:val="20"/>
                <w:szCs w:val="20"/>
              </w:rPr>
              <w:lastRenderedPageBreak/>
              <w:t>human review causes material harm. Engages Art. 5(1)(c) biometric-adjacent profiling and Art. 5(1)(d) social scoring.</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8704EA" w14:textId="77777777" w:rsidR="005414BE" w:rsidRDefault="00000000">
            <w:r>
              <w:rPr>
                <w:color w:val="111111"/>
                <w:sz w:val="20"/>
                <w:szCs w:val="20"/>
              </w:rPr>
              <w:lastRenderedPageBreak/>
              <w:t xml:space="preserve">Input: claim text + call audio + social posts + postcode data → ML scoring engine → automated queue routing → investigator </w:t>
            </w:r>
            <w:r>
              <w:rPr>
                <w:color w:val="111111"/>
                <w:sz w:val="20"/>
                <w:szCs w:val="20"/>
              </w:rPr>
              <w:lastRenderedPageBreak/>
              <w:t>review (post-decision). No human sits between score and deprioritisation.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46836" w14:textId="77777777" w:rsidR="005414BE" w:rsidRDefault="00000000">
            <w:r>
              <w:rPr>
                <w:color w:val="111111"/>
                <w:sz w:val="20"/>
                <w:szCs w:val="20"/>
              </w:rPr>
              <w:lastRenderedPageBreak/>
              <w:t xml:space="preserve">Provider: scoring engine vendor. Deployer: InsureCore. No explicit third-party vendor </w:t>
            </w:r>
            <w:r>
              <w:rPr>
                <w:color w:val="111111"/>
                <w:sz w:val="20"/>
                <w:szCs w:val="20"/>
              </w:rPr>
              <w:lastRenderedPageBreak/>
              <w:t>named but implied SaaS purchase.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AECC57" w14:textId="77777777" w:rsidR="005414BE" w:rsidRDefault="00000000">
            <w:r>
              <w:rPr>
                <w:color w:val="111111"/>
                <w:sz w:val="20"/>
                <w:szCs w:val="20"/>
              </w:rPr>
              <w:lastRenderedPageBreak/>
              <w:t>DENY. Redesign required. See below.</w:t>
            </w:r>
          </w:p>
        </w:tc>
      </w:tr>
      <w:tr w:rsidR="005414BE" w14:paraId="0B87541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AC730" w14:textId="77777777" w:rsidR="005414BE" w:rsidRDefault="00000000">
            <w:r>
              <w:rPr>
                <w:color w:val="111111"/>
                <w:sz w:val="20"/>
                <w:szCs w:val="20"/>
              </w:rPr>
              <w:t>B — MediPath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835FC" w14:textId="77777777" w:rsidR="005414BE" w:rsidRDefault="00000000">
            <w:r>
              <w:rPr>
                <w:color w:val="111111"/>
                <w:sz w:val="20"/>
                <w:szCs w:val="20"/>
              </w:rPr>
              <w:t>HIGH RISK (Annex III + potentially Annex I)</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0BCB35" w14:textId="77777777" w:rsidR="005414BE" w:rsidRDefault="00000000">
            <w:r>
              <w:rPr>
                <w:color w:val="111111"/>
                <w:sz w:val="20"/>
                <w:szCs w:val="20"/>
              </w:rPr>
              <w:t>AI used as a safety component in a medical device context, directly influencing clinical triage and treatment pathway. Affects vulnerable patients in an acute setting. Nurse override exists but 85% of outputs are accepted, making the AI the de-facto primary decision driver.</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F6EBE" w14:textId="77777777" w:rsidR="005414BE" w:rsidRDefault="00000000">
            <w:r>
              <w:rPr>
                <w:color w:val="111111"/>
                <w:sz w:val="20"/>
                <w:szCs w:val="20"/>
              </w:rPr>
              <w:t>Input: biometrics + EHR + chief complaint → MediPath model → acuity score + pathway recommendation on nurse tablet → nurse confirms or overrides → pathway confirmed in EHR. Logging layer records all AI outputs and nurse decisions.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85B97" w14:textId="77777777" w:rsidR="005414BE" w:rsidRDefault="00000000">
            <w:r>
              <w:rPr>
                <w:color w:val="111111"/>
                <w:sz w:val="20"/>
                <w:szCs w:val="20"/>
              </w:rPr>
              <w:t>Provider: MediPath software vendor. Deployer: hospital. Medical device regulatory status must be confirmed with legal team.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EB7A1" w14:textId="77777777" w:rsidR="005414BE" w:rsidRDefault="00000000">
            <w:r>
              <w:rPr>
                <w:color w:val="111111"/>
                <w:sz w:val="20"/>
                <w:szCs w:val="20"/>
              </w:rPr>
              <w:t>APPROVE WITH CONTROLS. Significant compliance pre-work required. See below.</w:t>
            </w:r>
          </w:p>
        </w:tc>
      </w:tr>
      <w:tr w:rsidR="005414BE" w14:paraId="0811CF7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0A29B" w14:textId="77777777" w:rsidR="005414BE" w:rsidRDefault="00000000">
            <w:r>
              <w:rPr>
                <w:color w:val="111111"/>
                <w:sz w:val="20"/>
                <w:szCs w:val="20"/>
              </w:rPr>
              <w:t>C — ShopBot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5B085F" w14:textId="77777777" w:rsidR="005414BE" w:rsidRDefault="00000000">
            <w:r>
              <w:rPr>
                <w:color w:val="111111"/>
                <w:sz w:val="20"/>
                <w:szCs w:val="20"/>
              </w:rPr>
              <w:t>LIMITED RISK / Transparency (Art. 50)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D0C36" w14:textId="77777777" w:rsidR="005414BE" w:rsidRDefault="00000000">
            <w:r>
              <w:rPr>
                <w:color w:val="111111"/>
                <w:sz w:val="20"/>
                <w:szCs w:val="20"/>
              </w:rPr>
              <w:t>LLM-based chatbot interacting with EU consumers. No Annex III area engaged for the core function. However, the 'Mia' persona with a profile photo actively conceals AI identity. Article 50(1) requires clear disclosure at first interaction. Current design is non-compliant.</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A5C71" w14:textId="77777777" w:rsidR="005414BE" w:rsidRDefault="00000000">
            <w:r>
              <w:rPr>
                <w:color w:val="111111"/>
                <w:sz w:val="20"/>
                <w:szCs w:val="20"/>
              </w:rPr>
              <w:t>Input: customer query + session context + order data → LLM assistant → response displayed as 'Mia' → escalation to human if unresolved. Disclosure banner required at session start.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93951" w14:textId="77777777" w:rsidR="005414BE" w:rsidRDefault="00000000">
            <w:r>
              <w:rPr>
                <w:color w:val="111111"/>
                <w:sz w:val="20"/>
                <w:szCs w:val="20"/>
              </w:rPr>
              <w:t>Provider: LLM API vendor (e.g. third-party foundation model). Deployer: marketplace (builds the chatbot wrapper and controls the Mia persona). The marketplace bears the Article 50 disclosure duty.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878DF" w14:textId="77777777" w:rsidR="005414BE" w:rsidRDefault="00000000">
            <w:r>
              <w:rPr>
                <w:color w:val="111111"/>
                <w:sz w:val="20"/>
                <w:szCs w:val="20"/>
              </w:rPr>
              <w:t>APPROVE WITH CONTROLS (disclosure fix required before launch).</w:t>
            </w:r>
          </w:p>
        </w:tc>
      </w:tr>
      <w:tr w:rsidR="005414BE" w14:paraId="6198A80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FE005" w14:textId="77777777" w:rsidR="005414BE" w:rsidRDefault="00000000">
            <w:r>
              <w:rPr>
                <w:color w:val="111111"/>
                <w:sz w:val="20"/>
                <w:szCs w:val="20"/>
              </w:rPr>
              <w:t>D — GreenSort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1DB9C" w14:textId="77777777" w:rsidR="005414BE" w:rsidRDefault="00000000">
            <w:r>
              <w:rPr>
                <w:color w:val="111111"/>
                <w:sz w:val="20"/>
                <w:szCs w:val="20"/>
              </w:rPr>
              <w:t>MINIMAL RISK</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62C790" w14:textId="77777777" w:rsidR="005414BE" w:rsidRDefault="00000000">
            <w:r>
              <w:rPr>
                <w:color w:val="111111"/>
                <w:sz w:val="20"/>
                <w:szCs w:val="20"/>
              </w:rPr>
              <w:t xml:space="preserve">Computer vision classifying inanimate objects in a closed industrial process. No individual person is subject to any output. Does not fall within any Annex III area. No personal data processed. Supervisor halt </w:t>
            </w:r>
            <w:r>
              <w:rPr>
                <w:color w:val="111111"/>
                <w:sz w:val="20"/>
                <w:szCs w:val="20"/>
              </w:rPr>
              <w:lastRenderedPageBreak/>
              <w:t>capability is sufficient operational safeguard.</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EBBA0" w14:textId="77777777" w:rsidR="005414BE" w:rsidRDefault="00000000">
            <w:r>
              <w:rPr>
                <w:color w:val="111111"/>
                <w:sz w:val="20"/>
                <w:szCs w:val="20"/>
              </w:rPr>
              <w:lastRenderedPageBreak/>
              <w:t>Input: camera + weight sensor → classification model → robotic arm signal → stream diversion. Supervisor dashboard with halt control. Event logging for maintenance.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0BA92" w14:textId="77777777" w:rsidR="005414BE" w:rsidRDefault="00000000">
            <w:r>
              <w:rPr>
                <w:color w:val="111111"/>
                <w:sz w:val="20"/>
                <w:szCs w:val="20"/>
              </w:rPr>
              <w:t xml:space="preserve">Provider: GreenSort system integrator / OEM. Deployer: recycling facility. No GPAI or high-risk </w:t>
            </w:r>
            <w:r>
              <w:rPr>
                <w:color w:val="111111"/>
                <w:sz w:val="20"/>
                <w:szCs w:val="20"/>
              </w:rPr>
              <w:lastRenderedPageBreak/>
              <w:t>designation applies.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C25DE3" w14:textId="77777777" w:rsidR="005414BE" w:rsidRDefault="00000000">
            <w:r>
              <w:rPr>
                <w:color w:val="111111"/>
                <w:sz w:val="20"/>
                <w:szCs w:val="20"/>
              </w:rPr>
              <w:lastRenderedPageBreak/>
              <w:t>APPROVE. Standard operational and maintenance governance recommended.</w:t>
            </w:r>
          </w:p>
        </w:tc>
      </w:tr>
    </w:tbl>
    <w:p w14:paraId="3873EBB7" w14:textId="77777777" w:rsidR="005414BE" w:rsidRDefault="005414BE">
      <w:pPr>
        <w:spacing w:after="120"/>
      </w:pPr>
    </w:p>
    <w:p w14:paraId="5226A206" w14:textId="77777777" w:rsidR="005414BE" w:rsidRDefault="00000000">
      <w:r>
        <w:br/>
      </w:r>
    </w:p>
    <w:p w14:paraId="2F229227" w14:textId="77777777" w:rsidR="005414BE" w:rsidRDefault="00000000">
      <w:pPr>
        <w:spacing w:before="340" w:after="120"/>
      </w:pPr>
      <w:r>
        <w:rPr>
          <w:b/>
          <w:bCs/>
          <w:color w:val="1F3864"/>
          <w:sz w:val="30"/>
          <w:szCs w:val="30"/>
        </w:rPr>
        <w:t>Section 3 — Approval Pack</w:t>
      </w:r>
    </w:p>
    <w:p w14:paraId="5C4DB111" w14:textId="77777777" w:rsidR="005414BE" w:rsidRDefault="005414BE">
      <w:pPr>
        <w:spacing w:after="60"/>
      </w:pPr>
    </w:p>
    <w:p w14:paraId="2B8EBD48" w14:textId="77777777" w:rsidR="005414BE" w:rsidRDefault="00000000">
      <w:pPr>
        <w:spacing w:before="260" w:after="100"/>
      </w:pPr>
      <w:r>
        <w:rPr>
          <w:b/>
          <w:bCs/>
          <w:color w:val="2E5496"/>
          <w:sz w:val="24"/>
          <w:szCs w:val="24"/>
        </w:rPr>
        <w:t>Executive Summary</w:t>
      </w:r>
    </w:p>
    <w:p w14:paraId="1E004069" w14:textId="77777777" w:rsidR="005414BE" w:rsidRDefault="00000000">
      <w:pPr>
        <w:spacing w:before="40" w:after="80"/>
      </w:pPr>
      <w:r>
        <w:t>This pack reviews four client AI proposals against the EU AI Act. One proposal (InsureCore) must be denied in its current form — it engages prohibited practices under Article 5 and cannot be made compliant without fundamental redesign. One proposal (MediPath) falls in the high-risk category and can be approved only after a structured compliance programme is completed. One proposal (ShopBot) triggers Article 50 transparency obligations and can be approved once a single remediation is applied before launch. One proposal (GreenSort) presents minimal risk and can be approved with standard operational governance.</w:t>
      </w:r>
    </w:p>
    <w:p w14:paraId="0AB3BA0A" w14:textId="77777777" w:rsidR="005414BE" w:rsidRDefault="005414BE">
      <w:pPr>
        <w:spacing w:after="60"/>
      </w:pPr>
    </w:p>
    <w:p w14:paraId="2BF4C675" w14:textId="77777777" w:rsidR="005414BE" w:rsidRDefault="00000000">
      <w:pPr>
        <w:spacing w:before="260" w:after="100"/>
      </w:pPr>
      <w:r>
        <w:rPr>
          <w:b/>
          <w:bCs/>
          <w:color w:val="2E5496"/>
          <w:sz w:val="24"/>
          <w:szCs w:val="24"/>
        </w:rPr>
        <w:t>Case A — InsureCore: Behavioural Fraud Scoring</w:t>
      </w:r>
    </w:p>
    <w:p w14:paraId="686E5284" w14:textId="77777777" w:rsidR="005414BE" w:rsidRDefault="00000000">
      <w:pPr>
        <w:spacing w:before="80" w:after="80"/>
      </w:pPr>
      <w:r>
        <w:rPr>
          <w:b/>
          <w:bCs/>
          <w:color w:val="C00000"/>
        </w:rPr>
        <w:t>DECISION: DENY — PROHIBITED PRACTICE (Art. 5)</w:t>
      </w:r>
    </w:p>
    <w:p w14:paraId="6B606DE3" w14:textId="77777777" w:rsidR="005414BE" w:rsidRDefault="00000000">
      <w:pPr>
        <w:spacing w:before="160" w:after="60"/>
      </w:pPr>
      <w:r>
        <w:rPr>
          <w:b/>
          <w:bCs/>
          <w:color w:val="333333"/>
        </w:rPr>
        <w:t>Inferred Category</w:t>
      </w:r>
    </w:p>
    <w:p w14:paraId="6D6498CB" w14:textId="77777777" w:rsidR="005414BE" w:rsidRDefault="00000000">
      <w:pPr>
        <w:spacing w:before="40" w:after="80"/>
      </w:pPr>
      <w:r>
        <w:t>Prohibited (Article 5). The system engages two distinct prohibited practices simultaneously.</w:t>
      </w:r>
    </w:p>
    <w:p w14:paraId="4746A333" w14:textId="77777777" w:rsidR="005414BE" w:rsidRDefault="00000000">
      <w:pPr>
        <w:spacing w:before="160" w:after="60"/>
      </w:pPr>
      <w:r>
        <w:rPr>
          <w:b/>
          <w:bCs/>
          <w:color w:val="333333"/>
        </w:rPr>
        <w:t>Architecture and Role Map</w:t>
      </w:r>
    </w:p>
    <w:p w14:paraId="7BEFB450" w14:textId="77777777" w:rsidR="005414BE" w:rsidRDefault="00000000">
      <w:pPr>
        <w:spacing w:before="40" w:after="60"/>
      </w:pPr>
      <w:r>
        <w:rPr>
          <w:b/>
          <w:bCs/>
        </w:rPr>
        <w:t xml:space="preserve">AI function: </w:t>
      </w:r>
      <w:r>
        <w:t>Behavioural scoring engine assigning a fraud-propensity score based on linguistic patterns, inferred emotional state, and socio-economic postcode data.</w:t>
      </w:r>
    </w:p>
    <w:p w14:paraId="35E56AA2" w14:textId="77777777" w:rsidR="005414BE" w:rsidRDefault="00000000">
      <w:pPr>
        <w:spacing w:before="40" w:after="60"/>
      </w:pPr>
      <w:r>
        <w:rPr>
          <w:b/>
          <w:bCs/>
        </w:rPr>
        <w:t xml:space="preserve">Inputs: </w:t>
      </w:r>
      <w:r>
        <w:t>Claim text, call audio transcript, social-media posts, postcode-level socio-economic indicators.</w:t>
      </w:r>
    </w:p>
    <w:p w14:paraId="3D388F36" w14:textId="77777777" w:rsidR="005414BE" w:rsidRDefault="00000000">
      <w:pPr>
        <w:spacing w:before="40" w:after="60"/>
      </w:pPr>
      <w:r>
        <w:rPr>
          <w:b/>
          <w:bCs/>
        </w:rPr>
        <w:t xml:space="preserve">Human in the loop: </w:t>
      </w:r>
      <w:r>
        <w:t>None before the deprioritisation decision. Investigators review files only after routing has occurred.</w:t>
      </w:r>
    </w:p>
    <w:p w14:paraId="3DDAD399" w14:textId="77777777" w:rsidR="005414BE" w:rsidRDefault="00000000">
      <w:pPr>
        <w:spacing w:before="40" w:after="60"/>
      </w:pPr>
      <w:r>
        <w:rPr>
          <w:b/>
          <w:bCs/>
        </w:rPr>
        <w:t xml:space="preserve">Output: </w:t>
      </w:r>
      <w:r>
        <w:t>Automated queue routing — a material decision that delays or withholds payment.</w:t>
      </w:r>
    </w:p>
    <w:p w14:paraId="0EF46B47" w14:textId="77777777" w:rsidR="005414BE" w:rsidRDefault="00000000">
      <w:pPr>
        <w:spacing w:before="40" w:after="60"/>
      </w:pPr>
      <w:r>
        <w:rPr>
          <w:b/>
          <w:bCs/>
        </w:rPr>
        <w:t xml:space="preserve">Provider: </w:t>
      </w:r>
      <w:r>
        <w:t>Scoring engine vendor.</w:t>
      </w:r>
    </w:p>
    <w:p w14:paraId="51C43C56" w14:textId="77777777" w:rsidR="005414BE" w:rsidRDefault="00000000">
      <w:pPr>
        <w:spacing w:before="40" w:after="60"/>
      </w:pPr>
      <w:r>
        <w:rPr>
          <w:b/>
          <w:bCs/>
        </w:rPr>
        <w:t xml:space="preserve">Deployer: </w:t>
      </w:r>
      <w:r>
        <w:t>InsureCore.</w:t>
      </w:r>
    </w:p>
    <w:p w14:paraId="704B9C43" w14:textId="77777777" w:rsidR="005414BE" w:rsidRDefault="00000000">
      <w:pPr>
        <w:spacing w:before="160" w:after="60"/>
      </w:pPr>
      <w:r>
        <w:rPr>
          <w:b/>
          <w:bCs/>
          <w:color w:val="333333"/>
        </w:rPr>
        <w:t>Compliance Implications</w:t>
      </w:r>
    </w:p>
    <w:p w14:paraId="1FB69B32" w14:textId="77777777" w:rsidR="005414BE" w:rsidRDefault="00000000">
      <w:pPr>
        <w:pStyle w:val="ListParagraph"/>
        <w:numPr>
          <w:ilvl w:val="0"/>
          <w:numId w:val="2"/>
        </w:numPr>
        <w:spacing w:before="20" w:after="20"/>
      </w:pPr>
      <w:r>
        <w:t>Article 5(1)(d) — Social scoring: The system classifies individuals using socio-economic postcode data and inferred behavioural traits, causing detrimental treatment (payment deprioritisation). This is the textbook definition of prohibited social scoring.</w:t>
      </w:r>
    </w:p>
    <w:p w14:paraId="3B6C935F" w14:textId="77777777" w:rsidR="005414BE" w:rsidRDefault="00000000">
      <w:pPr>
        <w:pStyle w:val="ListParagraph"/>
        <w:numPr>
          <w:ilvl w:val="0"/>
          <w:numId w:val="2"/>
        </w:numPr>
        <w:spacing w:before="20" w:after="20"/>
      </w:pPr>
      <w:r>
        <w:t>Article 5(1)(c) — Criminal-offence risk profiling: Assigning a 'fraud-propensity score' solely from personality and linguistic traits is functionally equivalent to predicting the risk of a person committing an offence (fraud) based on profiling. No objective verifiable facts directly linked to criminal activity anchor the score.</w:t>
      </w:r>
    </w:p>
    <w:p w14:paraId="4F5E84EB" w14:textId="77777777" w:rsidR="005414BE" w:rsidRDefault="00000000">
      <w:pPr>
        <w:pStyle w:val="ListParagraph"/>
        <w:numPr>
          <w:ilvl w:val="0"/>
          <w:numId w:val="2"/>
        </w:numPr>
        <w:spacing w:before="20" w:after="20"/>
      </w:pPr>
      <w:r>
        <w:t>No safeguard cures a prohibited practice. Contractual controls, audit logging, or adding a reviewer after the routing decision do not remove the prohibition. The system must be redesigned, not audited into compliance.</w:t>
      </w:r>
    </w:p>
    <w:p w14:paraId="781E0A4D" w14:textId="77777777" w:rsidR="005414BE" w:rsidRDefault="00000000">
      <w:pPr>
        <w:spacing w:before="160" w:after="60"/>
      </w:pPr>
      <w:r>
        <w:rPr>
          <w:b/>
          <w:bCs/>
          <w:color w:val="333333"/>
        </w:rPr>
        <w:lastRenderedPageBreak/>
        <w:t>Redesign Option — Compliant Alternative</w:t>
      </w:r>
    </w:p>
    <w:p w14:paraId="337E317F" w14:textId="77777777" w:rsidR="005414BE" w:rsidRDefault="00000000">
      <w:pPr>
        <w:spacing w:before="40" w:after="80"/>
      </w:pPr>
      <w:r>
        <w:t>Replace the behavioural scoring engine with a rules-based anomaly-detection layer that flags specific, objective, verifiable factual signals: claim amount vs. historical average for property type, duplicate claim identifiers, policy tenure vs. claim timing, and cross-referenced address databases. These are deterministic checks anchored to factual data, not inferred personality traits. A human investigator then reviews flagged files before any payment decision is affected. This design removes both Article 5 triggers: no personality/emotional inference, no automated detrimental treatment based on inferred social characteristics. The resulting system is likely to be high-risk (Annex III area 5 — access to essential private services) but can be made compliant with the standard Article 8–17 obligations.</w:t>
      </w:r>
    </w:p>
    <w:p w14:paraId="0B3DA2D7" w14:textId="77777777" w:rsidR="005414BE" w:rsidRDefault="005414BE">
      <w:pPr>
        <w:spacing w:after="120"/>
      </w:pPr>
    </w:p>
    <w:p w14:paraId="569CD371" w14:textId="77777777" w:rsidR="005414BE" w:rsidRDefault="00000000">
      <w:pPr>
        <w:spacing w:before="260" w:after="100"/>
      </w:pPr>
      <w:r>
        <w:rPr>
          <w:b/>
          <w:bCs/>
          <w:color w:val="2E5496"/>
          <w:sz w:val="24"/>
          <w:szCs w:val="24"/>
        </w:rPr>
        <w:t>Case B — MediPath: A&amp;E Triage and Pathway AI</w:t>
      </w:r>
    </w:p>
    <w:p w14:paraId="59687EE0" w14:textId="77777777" w:rsidR="005414BE" w:rsidRDefault="00000000">
      <w:pPr>
        <w:spacing w:before="80" w:after="80"/>
      </w:pPr>
      <w:r>
        <w:rPr>
          <w:b/>
          <w:bCs/>
          <w:color w:val="BF8C00"/>
        </w:rPr>
        <w:t>DECISION: APPROVE WITH CONTROLS (High-Risk Compliance Programme Required)</w:t>
      </w:r>
    </w:p>
    <w:p w14:paraId="18D835A3" w14:textId="77777777" w:rsidR="005414BE" w:rsidRDefault="00000000">
      <w:pPr>
        <w:spacing w:before="160" w:after="60"/>
      </w:pPr>
      <w:r>
        <w:rPr>
          <w:b/>
          <w:bCs/>
          <w:color w:val="333333"/>
        </w:rPr>
        <w:t>Inferred Category</w:t>
      </w:r>
    </w:p>
    <w:p w14:paraId="398E7506" w14:textId="77777777" w:rsidR="005414BE" w:rsidRDefault="00000000">
      <w:pPr>
        <w:spacing w:before="40" w:after="80"/>
      </w:pPr>
      <w:r>
        <w:t>High Risk. The system operates as a safety component influencing clinical decisions in an acute medical setting. If it meets the EU Medical Devices Regulation (MDR) definition of a software medical device, Annex I of the AI Act also applies, requiring third-party conformity assessment. At minimum, it falls under Annex III area 5 (access to essential services — healthcare).</w:t>
      </w:r>
    </w:p>
    <w:p w14:paraId="292C339C" w14:textId="77777777" w:rsidR="005414BE" w:rsidRDefault="00000000">
      <w:pPr>
        <w:spacing w:before="160" w:after="60"/>
      </w:pPr>
      <w:r>
        <w:rPr>
          <w:b/>
          <w:bCs/>
          <w:color w:val="333333"/>
        </w:rPr>
        <w:t>Architecture and Role Map</w:t>
      </w:r>
    </w:p>
    <w:p w14:paraId="1FC4A5A4" w14:textId="77777777" w:rsidR="005414BE" w:rsidRDefault="00000000">
      <w:pPr>
        <w:spacing w:before="40" w:after="60"/>
      </w:pPr>
      <w:r>
        <w:rPr>
          <w:b/>
          <w:bCs/>
        </w:rPr>
        <w:t xml:space="preserve">AI function: </w:t>
      </w:r>
      <w:r>
        <w:t>Generates a triage acuity category (1–5) and a recommended clinical pathway from real-time biometrics, EHR data, and free-text chief complaint.</w:t>
      </w:r>
    </w:p>
    <w:p w14:paraId="5613405F" w14:textId="77777777" w:rsidR="005414BE" w:rsidRDefault="00000000">
      <w:pPr>
        <w:spacing w:before="40" w:after="60"/>
      </w:pPr>
      <w:r>
        <w:rPr>
          <w:b/>
          <w:bCs/>
        </w:rPr>
        <w:t xml:space="preserve">Human in the loop: </w:t>
      </w:r>
      <w:r>
        <w:t>Triage nurse reviews output on tablet and confirms or overrides before the pathway is recorded. The nurse has meaningful authority — override is possible and documented.</w:t>
      </w:r>
    </w:p>
    <w:p w14:paraId="3B995467" w14:textId="77777777" w:rsidR="005414BE" w:rsidRDefault="00000000">
      <w:pPr>
        <w:spacing w:before="40" w:after="60"/>
      </w:pPr>
      <w:r>
        <w:rPr>
          <w:b/>
          <w:bCs/>
        </w:rPr>
        <w:t xml:space="preserve">Output: </w:t>
      </w:r>
      <w:r>
        <w:t>Confirmed acuity category and treatment pathway written to EHR.</w:t>
      </w:r>
    </w:p>
    <w:p w14:paraId="0447CFBC" w14:textId="77777777" w:rsidR="005414BE" w:rsidRDefault="00000000">
      <w:pPr>
        <w:spacing w:before="40" w:after="60"/>
      </w:pPr>
      <w:r>
        <w:rPr>
          <w:b/>
          <w:bCs/>
        </w:rPr>
        <w:t xml:space="preserve">Provider: </w:t>
      </w:r>
      <w:r>
        <w:t>MediPath software vendor — responsible for Articles 9–17 obligations before placing the system on the market.</w:t>
      </w:r>
    </w:p>
    <w:p w14:paraId="51F90A61" w14:textId="77777777" w:rsidR="005414BE" w:rsidRDefault="00000000">
      <w:pPr>
        <w:spacing w:before="40" w:after="60"/>
      </w:pPr>
      <w:r>
        <w:rPr>
          <w:b/>
          <w:bCs/>
        </w:rPr>
        <w:t xml:space="preserve">Deployer: </w:t>
      </w:r>
      <w:r>
        <w:t>Hospital — responsible for using the system per instructions, maintaining human oversight, and conducting a Fundamental Rights Impact Assessment (FRIA) as a public/regulated healthcare provider.</w:t>
      </w:r>
    </w:p>
    <w:p w14:paraId="5A101616" w14:textId="77777777" w:rsidR="005414BE" w:rsidRDefault="00000000">
      <w:pPr>
        <w:spacing w:before="160" w:after="60"/>
      </w:pPr>
      <w:r>
        <w:rPr>
          <w:b/>
          <w:bCs/>
          <w:color w:val="333333"/>
        </w:rPr>
        <w:t>Required Obligations and Controls</w:t>
      </w:r>
    </w:p>
    <w:p w14:paraId="362C2495" w14:textId="77777777" w:rsidR="005414BE" w:rsidRDefault="00000000">
      <w:pPr>
        <w:pStyle w:val="ListParagraph"/>
        <w:numPr>
          <w:ilvl w:val="0"/>
          <w:numId w:val="2"/>
        </w:numPr>
        <w:spacing w:before="20" w:after="20"/>
      </w:pPr>
      <w:r>
        <w:t>Risk management system (Art. 9): Vendor must demonstrate ongoing lifecycle risk assessment including clinical failure modes.</w:t>
      </w:r>
    </w:p>
    <w:p w14:paraId="568432C2" w14:textId="77777777" w:rsidR="005414BE" w:rsidRDefault="00000000">
      <w:pPr>
        <w:pStyle w:val="ListParagraph"/>
        <w:numPr>
          <w:ilvl w:val="0"/>
          <w:numId w:val="2"/>
        </w:numPr>
        <w:spacing w:before="20" w:after="20"/>
      </w:pPr>
      <w:r>
        <w:t>Data governance (Art. 10): Training datasets must be validated for demographic representativeness; bias toward or against protected patient groups must be assessed.</w:t>
      </w:r>
    </w:p>
    <w:p w14:paraId="289C1305" w14:textId="77777777" w:rsidR="005414BE" w:rsidRDefault="00000000">
      <w:pPr>
        <w:pStyle w:val="ListParagraph"/>
        <w:numPr>
          <w:ilvl w:val="0"/>
          <w:numId w:val="2"/>
        </w:numPr>
        <w:spacing w:before="20" w:after="20"/>
      </w:pPr>
      <w:r>
        <w:t>Technical documentation (Art. 11): Full model card, training data provenance, validation studies, and performance metrics across patient subgroups.</w:t>
      </w:r>
    </w:p>
    <w:p w14:paraId="069278CB" w14:textId="77777777" w:rsidR="005414BE" w:rsidRDefault="00000000">
      <w:pPr>
        <w:pStyle w:val="ListParagraph"/>
        <w:numPr>
          <w:ilvl w:val="0"/>
          <w:numId w:val="2"/>
        </w:numPr>
        <w:spacing w:before="20" w:after="20"/>
      </w:pPr>
      <w:r>
        <w:t>Logging (Art. 12): Every AI recommendation, nurse override, and final pathway confirmation must be automatically logged with timestamps.</w:t>
      </w:r>
    </w:p>
    <w:p w14:paraId="3C30AC48" w14:textId="77777777" w:rsidR="005414BE" w:rsidRDefault="00000000">
      <w:pPr>
        <w:pStyle w:val="ListParagraph"/>
        <w:numPr>
          <w:ilvl w:val="0"/>
          <w:numId w:val="2"/>
        </w:numPr>
        <w:spacing w:before="20" w:after="20"/>
      </w:pPr>
      <w:r>
        <w:t>Instructions for use (Art. 13): Vendor must provide clear guidance on intended patient populations, contraindications, and known performance limits.</w:t>
      </w:r>
    </w:p>
    <w:p w14:paraId="324E2A43" w14:textId="77777777" w:rsidR="005414BE" w:rsidRDefault="00000000">
      <w:pPr>
        <w:pStyle w:val="ListParagraph"/>
        <w:numPr>
          <w:ilvl w:val="0"/>
          <w:numId w:val="2"/>
        </w:numPr>
        <w:spacing w:before="20" w:after="20"/>
      </w:pPr>
      <w:r>
        <w:t>Human oversight design (Art. 14): The nurse override workflow must be formally documented as the oversight mechanism. Override decisions and reasons should be captured.</w:t>
      </w:r>
    </w:p>
    <w:p w14:paraId="7BB81996" w14:textId="77777777" w:rsidR="005414BE" w:rsidRDefault="00000000">
      <w:pPr>
        <w:pStyle w:val="ListParagraph"/>
        <w:numPr>
          <w:ilvl w:val="0"/>
          <w:numId w:val="2"/>
        </w:numPr>
        <w:spacing w:before="20" w:after="20"/>
      </w:pPr>
      <w:r>
        <w:t>Accuracy and robustness (Art. 15): Clinical validation studies across diverse patient cohorts required. Degraded-mode behaviour (e.g. sensor dropout) must be defined.</w:t>
      </w:r>
    </w:p>
    <w:p w14:paraId="60BA9A1C" w14:textId="77777777" w:rsidR="005414BE" w:rsidRDefault="00000000">
      <w:pPr>
        <w:pStyle w:val="ListParagraph"/>
        <w:numPr>
          <w:ilvl w:val="0"/>
          <w:numId w:val="2"/>
        </w:numPr>
        <w:spacing w:before="20" w:after="20"/>
      </w:pPr>
      <w:r>
        <w:lastRenderedPageBreak/>
        <w:t>Quality management system (Art. 17): ISO 13485 compliance is recommended given the medical device context.</w:t>
      </w:r>
    </w:p>
    <w:p w14:paraId="71B6FF5B" w14:textId="77777777" w:rsidR="005414BE" w:rsidRDefault="00000000">
      <w:pPr>
        <w:pStyle w:val="ListParagraph"/>
        <w:numPr>
          <w:ilvl w:val="0"/>
          <w:numId w:val="2"/>
        </w:numPr>
        <w:spacing w:before="20" w:after="20"/>
      </w:pPr>
      <w:r>
        <w:t>Conformity assessment (Art. 43): If Annex I (MDR) applies, third-party notified body assessment is mandatory.</w:t>
      </w:r>
    </w:p>
    <w:p w14:paraId="146F4870" w14:textId="77777777" w:rsidR="005414BE" w:rsidRDefault="00000000">
      <w:pPr>
        <w:pStyle w:val="ListParagraph"/>
        <w:numPr>
          <w:ilvl w:val="0"/>
          <w:numId w:val="2"/>
        </w:numPr>
        <w:spacing w:before="20" w:after="20"/>
      </w:pPr>
      <w:r>
        <w:t>FRIA: Hospital must complete a Fundamental Rights Impact Assessment before deployment, covering impact on protected patient groups.</w:t>
      </w:r>
    </w:p>
    <w:p w14:paraId="0C3AA644" w14:textId="77777777" w:rsidR="005414BE" w:rsidRDefault="00000000">
      <w:pPr>
        <w:pStyle w:val="ListParagraph"/>
        <w:numPr>
          <w:ilvl w:val="0"/>
          <w:numId w:val="2"/>
        </w:numPr>
        <w:spacing w:before="20" w:after="20"/>
      </w:pPr>
      <w:r>
        <w:t>EU database registration (Art. 49): Required before market placement.</w:t>
      </w:r>
    </w:p>
    <w:p w14:paraId="41092D4F" w14:textId="77777777" w:rsidR="005414BE" w:rsidRDefault="005414BE">
      <w:pPr>
        <w:spacing w:after="120"/>
      </w:pPr>
    </w:p>
    <w:p w14:paraId="181C08CB" w14:textId="77777777" w:rsidR="005414BE" w:rsidRDefault="00000000">
      <w:pPr>
        <w:spacing w:before="260" w:after="100"/>
      </w:pPr>
      <w:r>
        <w:rPr>
          <w:b/>
          <w:bCs/>
          <w:color w:val="2E5496"/>
          <w:sz w:val="24"/>
          <w:szCs w:val="24"/>
        </w:rPr>
        <w:t>Case C — ShopBot / Mia: E-Commerce Customer Service Chatbot</w:t>
      </w:r>
    </w:p>
    <w:p w14:paraId="068A061A" w14:textId="77777777" w:rsidR="005414BE" w:rsidRDefault="00000000">
      <w:pPr>
        <w:spacing w:before="80" w:after="80"/>
      </w:pPr>
      <w:r>
        <w:rPr>
          <w:b/>
          <w:bCs/>
          <w:color w:val="BF8C00"/>
        </w:rPr>
        <w:t>DECISION: APPROVE WITH CONTROLS (Art. 50 Disclosure Required Before Launch)</w:t>
      </w:r>
    </w:p>
    <w:p w14:paraId="7818C951" w14:textId="77777777" w:rsidR="005414BE" w:rsidRDefault="00000000">
      <w:pPr>
        <w:spacing w:before="160" w:after="60"/>
      </w:pPr>
      <w:r>
        <w:rPr>
          <w:b/>
          <w:bCs/>
          <w:color w:val="333333"/>
        </w:rPr>
        <w:t>Inferred Category</w:t>
      </w:r>
    </w:p>
    <w:p w14:paraId="69F01944" w14:textId="77777777" w:rsidR="005414BE" w:rsidRDefault="00000000">
      <w:pPr>
        <w:spacing w:before="40" w:after="80"/>
      </w:pPr>
      <w:r>
        <w:t>Limited Risk / Transparency. The system does not fall within any Annex III high-risk area for its core function. However, Article 50(1) is directly engaged: the chatbot interacts with natural persons who have not been informed they are communicating with an AI. The human persona 'Mia' with a profile photo actively suppresses that awareness.</w:t>
      </w:r>
    </w:p>
    <w:p w14:paraId="3B0634AC" w14:textId="77777777" w:rsidR="005414BE" w:rsidRDefault="00000000">
      <w:pPr>
        <w:spacing w:before="160" w:after="60"/>
      </w:pPr>
      <w:r>
        <w:rPr>
          <w:b/>
          <w:bCs/>
          <w:color w:val="333333"/>
        </w:rPr>
        <w:t>Architecture and Role Map</w:t>
      </w:r>
    </w:p>
    <w:p w14:paraId="781F84B2" w14:textId="77777777" w:rsidR="005414BE" w:rsidRDefault="00000000">
      <w:pPr>
        <w:spacing w:before="40" w:after="60"/>
      </w:pPr>
      <w:r>
        <w:rPr>
          <w:b/>
          <w:bCs/>
        </w:rPr>
        <w:t xml:space="preserve">AI function: </w:t>
      </w:r>
      <w:r>
        <w:t>LLM-based conversational assistant handling returns, order tracking, and product queries.</w:t>
      </w:r>
    </w:p>
    <w:p w14:paraId="6C32952D" w14:textId="77777777" w:rsidR="005414BE" w:rsidRDefault="00000000">
      <w:pPr>
        <w:spacing w:before="40" w:after="60"/>
      </w:pPr>
      <w:r>
        <w:rPr>
          <w:b/>
          <w:bCs/>
        </w:rPr>
        <w:t xml:space="preserve">Human in the loop: </w:t>
      </w:r>
      <w:r>
        <w:t>Human agent available on escalation. Routine flows are fully automated.</w:t>
      </w:r>
    </w:p>
    <w:p w14:paraId="6B91CA91" w14:textId="77777777" w:rsidR="005414BE" w:rsidRDefault="00000000">
      <w:pPr>
        <w:spacing w:before="40" w:after="60"/>
      </w:pPr>
      <w:r>
        <w:rPr>
          <w:b/>
          <w:bCs/>
        </w:rPr>
        <w:t xml:space="preserve">Provider: </w:t>
      </w:r>
      <w:r>
        <w:t>Third-party LLM API vendor (foundation model). The marketplace is a downstream deployer that builds the 'Mia' persona and controls the interface.</w:t>
      </w:r>
    </w:p>
    <w:p w14:paraId="53151A2E" w14:textId="77777777" w:rsidR="005414BE" w:rsidRDefault="00000000">
      <w:pPr>
        <w:spacing w:before="40" w:after="60"/>
      </w:pPr>
      <w:r>
        <w:rPr>
          <w:b/>
          <w:bCs/>
        </w:rPr>
        <w:t xml:space="preserve">Deployer: </w:t>
      </w:r>
      <w:r>
        <w:t>Marketplace. The deployer bears the Article 50 obligation because it controls the user-facing interface and branding.</w:t>
      </w:r>
    </w:p>
    <w:p w14:paraId="6B9A3A23" w14:textId="77777777" w:rsidR="005414BE" w:rsidRDefault="00000000">
      <w:pPr>
        <w:spacing w:before="160" w:after="60"/>
      </w:pPr>
      <w:r>
        <w:rPr>
          <w:b/>
          <w:bCs/>
          <w:color w:val="333333"/>
        </w:rPr>
        <w:t>Required Obligations and Controls</w:t>
      </w:r>
    </w:p>
    <w:p w14:paraId="16B55258" w14:textId="77777777" w:rsidR="005414BE" w:rsidRDefault="00000000">
      <w:pPr>
        <w:pStyle w:val="ListParagraph"/>
        <w:numPr>
          <w:ilvl w:val="0"/>
          <w:numId w:val="2"/>
        </w:numPr>
        <w:spacing w:before="20" w:after="20"/>
      </w:pPr>
      <w:r>
        <w:t>Article 50(1) disclosure: Users must be informed at the start of the interaction that they are engaging with an AI system, in a clear, intelligible format. A single banner or opening message ('You are chatting with Mia, an AI assistant') satisfies the requirement.</w:t>
      </w:r>
    </w:p>
    <w:p w14:paraId="4524B696" w14:textId="77777777" w:rsidR="005414BE" w:rsidRDefault="00000000">
      <w:pPr>
        <w:pStyle w:val="ListParagraph"/>
        <w:numPr>
          <w:ilvl w:val="0"/>
          <w:numId w:val="2"/>
        </w:numPr>
        <w:spacing w:before="20" w:after="20"/>
      </w:pPr>
      <w:r>
        <w:t>The 'Mia' persona and profile photo may remain, but must not be used to deceive users about the AI nature of the interaction. The persona is a branding choice; concealment of AI identity is the legal problem.</w:t>
      </w:r>
    </w:p>
    <w:p w14:paraId="2C7D704F" w14:textId="77777777" w:rsidR="005414BE" w:rsidRDefault="00000000">
      <w:pPr>
        <w:pStyle w:val="ListParagraph"/>
        <w:numPr>
          <w:ilvl w:val="0"/>
          <w:numId w:val="2"/>
        </w:numPr>
        <w:spacing w:before="20" w:after="20"/>
      </w:pPr>
      <w:r>
        <w:t>Escalation transparency: When escalating to a human agent, the handover should be clearly communicated so users know they are now speaking to a person.</w:t>
      </w:r>
    </w:p>
    <w:p w14:paraId="634A5C0A" w14:textId="77777777" w:rsidR="005414BE" w:rsidRDefault="00000000">
      <w:pPr>
        <w:pStyle w:val="ListParagraph"/>
        <w:numPr>
          <w:ilvl w:val="0"/>
          <w:numId w:val="2"/>
        </w:numPr>
        <w:spacing w:before="20" w:after="20"/>
      </w:pPr>
      <w:r>
        <w:t>GDPR parallel: Order history and account data processed during the session must comply with the applicable lawful basis and retention policies — this is a separate but concurrent obligation.</w:t>
      </w:r>
    </w:p>
    <w:p w14:paraId="36B9E791" w14:textId="77777777" w:rsidR="005414BE" w:rsidRDefault="00000000">
      <w:pPr>
        <w:pStyle w:val="ListParagraph"/>
        <w:numPr>
          <w:ilvl w:val="0"/>
          <w:numId w:val="2"/>
        </w:numPr>
        <w:spacing w:before="20" w:after="20"/>
      </w:pPr>
      <w:r>
        <w:t>If the chatbot is extended to provide credit, insurance, or benefit-eligibility guidance in the future, reclassification as high-risk (Annex III area 5) should be assessed immediately.</w:t>
      </w:r>
    </w:p>
    <w:p w14:paraId="14F569CA" w14:textId="77777777" w:rsidR="005414BE" w:rsidRDefault="005414BE">
      <w:pPr>
        <w:spacing w:after="120"/>
      </w:pPr>
    </w:p>
    <w:p w14:paraId="25E82222" w14:textId="77777777" w:rsidR="005414BE" w:rsidRDefault="00000000">
      <w:pPr>
        <w:spacing w:before="260" w:after="100"/>
      </w:pPr>
      <w:r>
        <w:rPr>
          <w:b/>
          <w:bCs/>
          <w:color w:val="2E5496"/>
          <w:sz w:val="24"/>
          <w:szCs w:val="24"/>
        </w:rPr>
        <w:t>Case D — GreenSort: Industrial Waste Classification</w:t>
      </w:r>
    </w:p>
    <w:p w14:paraId="55722B39" w14:textId="77777777" w:rsidR="005414BE" w:rsidRDefault="00000000">
      <w:pPr>
        <w:spacing w:before="80" w:after="80"/>
      </w:pPr>
      <w:r>
        <w:rPr>
          <w:b/>
          <w:bCs/>
          <w:color w:val="375623"/>
        </w:rPr>
        <w:t>DECISION: APPROVE</w:t>
      </w:r>
    </w:p>
    <w:p w14:paraId="17F0FE61" w14:textId="77777777" w:rsidR="005414BE" w:rsidRDefault="00000000">
      <w:pPr>
        <w:spacing w:before="160" w:after="60"/>
      </w:pPr>
      <w:r>
        <w:rPr>
          <w:b/>
          <w:bCs/>
          <w:color w:val="333333"/>
        </w:rPr>
        <w:t>Inferred Category</w:t>
      </w:r>
    </w:p>
    <w:p w14:paraId="135B8C75" w14:textId="77777777" w:rsidR="005414BE" w:rsidRDefault="00000000">
      <w:pPr>
        <w:spacing w:before="40" w:after="80"/>
      </w:pPr>
      <w:r>
        <w:t xml:space="preserve">Minimal Risk. The system classifies inanimate objects in a closed, automated industrial process. No individual person is the subject of any output. The system does not fall within any Annex III area, is </w:t>
      </w:r>
      <w:r>
        <w:lastRenderedPageBreak/>
        <w:t>not a safety component under an Annex I regulated product in the EU AI Act sense, and processes no personal data.</w:t>
      </w:r>
    </w:p>
    <w:p w14:paraId="3A282757" w14:textId="77777777" w:rsidR="005414BE" w:rsidRDefault="00000000">
      <w:pPr>
        <w:spacing w:before="160" w:after="60"/>
      </w:pPr>
      <w:r>
        <w:rPr>
          <w:b/>
          <w:bCs/>
          <w:color w:val="333333"/>
        </w:rPr>
        <w:t>Architecture and Role Map</w:t>
      </w:r>
    </w:p>
    <w:p w14:paraId="317A0F58" w14:textId="77777777" w:rsidR="005414BE" w:rsidRDefault="00000000">
      <w:pPr>
        <w:spacing w:before="40" w:after="60"/>
      </w:pPr>
      <w:r>
        <w:rPr>
          <w:b/>
          <w:bCs/>
        </w:rPr>
        <w:t xml:space="preserve">AI function: </w:t>
      </w:r>
      <w:r>
        <w:t>Computer vision classification of waste items into material streams, triggering robotic arm diversion.</w:t>
      </w:r>
    </w:p>
    <w:p w14:paraId="32AB7B89" w14:textId="77777777" w:rsidR="005414BE" w:rsidRDefault="00000000">
      <w:pPr>
        <w:spacing w:before="40" w:after="60"/>
      </w:pPr>
      <w:r>
        <w:rPr>
          <w:b/>
          <w:bCs/>
        </w:rPr>
        <w:t xml:space="preserve">Human in the loop: </w:t>
      </w:r>
      <w:r>
        <w:t>Supervisor can halt the line via dashboard. No per-item human review required.</w:t>
      </w:r>
    </w:p>
    <w:p w14:paraId="77AF0511" w14:textId="77777777" w:rsidR="005414BE" w:rsidRDefault="00000000">
      <w:pPr>
        <w:spacing w:before="40" w:after="60"/>
      </w:pPr>
      <w:r>
        <w:rPr>
          <w:b/>
          <w:bCs/>
        </w:rPr>
        <w:t xml:space="preserve">Provider: </w:t>
      </w:r>
      <w:r>
        <w:t>GreenSort system integrator / OEM.</w:t>
      </w:r>
    </w:p>
    <w:p w14:paraId="10625643" w14:textId="77777777" w:rsidR="005414BE" w:rsidRDefault="00000000">
      <w:pPr>
        <w:spacing w:before="40" w:after="60"/>
      </w:pPr>
      <w:r>
        <w:rPr>
          <w:b/>
          <w:bCs/>
        </w:rPr>
        <w:t xml:space="preserve">Deployer: </w:t>
      </w:r>
      <w:r>
        <w:t>Recycling facility operator.</w:t>
      </w:r>
    </w:p>
    <w:p w14:paraId="27941033" w14:textId="77777777" w:rsidR="005414BE" w:rsidRDefault="00000000">
      <w:pPr>
        <w:spacing w:before="160" w:after="60"/>
      </w:pPr>
      <w:r>
        <w:rPr>
          <w:b/>
          <w:bCs/>
          <w:color w:val="333333"/>
        </w:rPr>
        <w:t>Compliance Implications</w:t>
      </w:r>
    </w:p>
    <w:p w14:paraId="763E2F6B" w14:textId="77777777" w:rsidR="005414BE" w:rsidRDefault="00000000">
      <w:pPr>
        <w:pStyle w:val="ListParagraph"/>
        <w:numPr>
          <w:ilvl w:val="0"/>
          <w:numId w:val="2"/>
        </w:numPr>
        <w:spacing w:before="20" w:after="20"/>
      </w:pPr>
      <w:r>
        <w:t>No mandatory AI Act obligations apply. The facility may choose to document the system voluntarily under an internal quality management framework.</w:t>
      </w:r>
    </w:p>
    <w:p w14:paraId="4AAE133B" w14:textId="77777777" w:rsidR="005414BE" w:rsidRDefault="00000000">
      <w:pPr>
        <w:pStyle w:val="ListParagraph"/>
        <w:numPr>
          <w:ilvl w:val="0"/>
          <w:numId w:val="2"/>
        </w:numPr>
        <w:spacing w:before="20" w:after="20"/>
      </w:pPr>
      <w:r>
        <w:t>Machinery Regulation (EU 2023/1230) and relevant industrial safety standards should be confirmed with the legal team — these are parallel obligations outside the AI Act.</w:t>
      </w:r>
    </w:p>
    <w:p w14:paraId="1324A5EA" w14:textId="77777777" w:rsidR="005414BE" w:rsidRDefault="00000000">
      <w:pPr>
        <w:pStyle w:val="ListParagraph"/>
        <w:numPr>
          <w:ilvl w:val="0"/>
          <w:numId w:val="2"/>
        </w:numPr>
        <w:spacing w:before="20" w:after="20"/>
      </w:pPr>
      <w:r>
        <w:t>Worker health and safety: Reduced manual exposure to hazardous materials is a positive outcome. Any monitoring of worker behaviour by the system (e.g. camera coverage of staff) would require a separate GDPR assessment.</w:t>
      </w:r>
    </w:p>
    <w:p w14:paraId="7FFDAF90" w14:textId="77777777" w:rsidR="005414BE" w:rsidRDefault="00000000">
      <w:pPr>
        <w:pStyle w:val="ListParagraph"/>
        <w:numPr>
          <w:ilvl w:val="0"/>
          <w:numId w:val="2"/>
        </w:numPr>
        <w:spacing w:before="20" w:after="20"/>
      </w:pPr>
      <w:r>
        <w:t>Recommended: Maintain a basic event log of classification decisions and system errors for maintenance and liability purposes — not required by the AI Act but good operational hygiene.</w:t>
      </w:r>
    </w:p>
    <w:p w14:paraId="424511F0" w14:textId="77777777" w:rsidR="005414BE" w:rsidRDefault="005414BE">
      <w:pPr>
        <w:spacing w:after="120"/>
      </w:pPr>
    </w:p>
    <w:p w14:paraId="6ECDE9F1" w14:textId="77777777" w:rsidR="005414BE" w:rsidRDefault="00000000">
      <w:r>
        <w:br/>
      </w:r>
    </w:p>
    <w:p w14:paraId="6C94C6DF" w14:textId="77777777" w:rsidR="005414BE" w:rsidRDefault="00000000">
      <w:pPr>
        <w:spacing w:before="340" w:after="120"/>
      </w:pPr>
      <w:r>
        <w:rPr>
          <w:b/>
          <w:bCs/>
          <w:color w:val="1F3864"/>
          <w:sz w:val="30"/>
          <w:szCs w:val="30"/>
        </w:rPr>
        <w:t>Section 4 — Debrief and Closing Notes</w:t>
      </w:r>
    </w:p>
    <w:p w14:paraId="229E50AD" w14:textId="77777777" w:rsidR="005414BE" w:rsidRDefault="005414BE">
      <w:pPr>
        <w:spacing w:after="60"/>
      </w:pPr>
    </w:p>
    <w:p w14:paraId="2E89B379" w14:textId="77777777" w:rsidR="005414BE" w:rsidRDefault="00000000">
      <w:pPr>
        <w:spacing w:before="260" w:after="100"/>
      </w:pPr>
      <w:r>
        <w:rPr>
          <w:b/>
          <w:bCs/>
          <w:color w:val="2E5496"/>
          <w:sz w:val="24"/>
          <w:szCs w:val="24"/>
        </w:rPr>
        <w:t>What Changed After the Client Discussion (Anticipated)</w:t>
      </w:r>
    </w:p>
    <w:p w14:paraId="73B6EC64" w14:textId="77777777" w:rsidR="005414BE" w:rsidRDefault="00000000">
      <w:pPr>
        <w:spacing w:before="40" w:after="80"/>
      </w:pPr>
      <w:r>
        <w:t>This section records anticipated revisions based on common client push-back patterns. It would be updated after the live debrief session.</w:t>
      </w:r>
    </w:p>
    <w:p w14:paraId="4B97A473" w14:textId="77777777" w:rsidR="005414BE" w:rsidRDefault="005414BE">
      <w:pPr>
        <w:spacing w:after="60"/>
      </w:pPr>
    </w:p>
    <w:p w14:paraId="138CADD1" w14:textId="77777777" w:rsidR="005414BE" w:rsidRDefault="00000000">
      <w:pPr>
        <w:spacing w:before="160" w:after="60"/>
      </w:pPr>
      <w:r>
        <w:rPr>
          <w:b/>
          <w:bCs/>
          <w:color w:val="333333"/>
        </w:rPr>
        <w:t>InsureCore (Case A)</w:t>
      </w:r>
    </w:p>
    <w:p w14:paraId="16F4DCD5" w14:textId="77777777" w:rsidR="005414BE" w:rsidRDefault="00000000">
      <w:pPr>
        <w:spacing w:before="40" w:after="80"/>
      </w:pPr>
      <w:r>
        <w:t>The client is likely to push back that the investigators 'always' review files before payment is refused. The critical legal point to hold: the deprioritisation routing is itself a detrimental decision — it changes the claimant's position before any human involvement. If the client can restructure so that no payment or access decision is affected until after a human reviews the AI flag, and the scoring inputs are limited to objective factual data (not personality/emotional inference), the redesign path to a compliant high-risk system opens up.</w:t>
      </w:r>
    </w:p>
    <w:p w14:paraId="4AC889CE" w14:textId="77777777" w:rsidR="005414BE" w:rsidRDefault="005414BE">
      <w:pPr>
        <w:spacing w:after="60"/>
      </w:pPr>
    </w:p>
    <w:p w14:paraId="0A5B870B" w14:textId="77777777" w:rsidR="005414BE" w:rsidRDefault="00000000">
      <w:pPr>
        <w:spacing w:before="160" w:after="60"/>
      </w:pPr>
      <w:r>
        <w:rPr>
          <w:b/>
          <w:bCs/>
          <w:color w:val="333333"/>
        </w:rPr>
        <w:t>MediPath (Case B)</w:t>
      </w:r>
    </w:p>
    <w:p w14:paraId="7458775A" w14:textId="77777777" w:rsidR="005414BE" w:rsidRDefault="00000000">
      <w:pPr>
        <w:spacing w:before="40" w:after="80"/>
      </w:pPr>
      <w:r>
        <w:t>The client may argue that the nurse override means full human control exists. The response: human oversight under Article 14 must be meaningful and practical, not nominal. The compliance programme must demonstrate that nurses have the time, training, and authority to override — and that the audit log captures override frequency and reasons. If 85% of outputs are accepted unchallenged, that pattern should be reviewed during the risk assessment.</w:t>
      </w:r>
    </w:p>
    <w:p w14:paraId="00E7A70B" w14:textId="77777777" w:rsidR="005414BE" w:rsidRDefault="005414BE">
      <w:pPr>
        <w:spacing w:after="60"/>
      </w:pPr>
    </w:p>
    <w:p w14:paraId="52000153" w14:textId="77777777" w:rsidR="005414BE" w:rsidRDefault="00000000">
      <w:pPr>
        <w:spacing w:before="160" w:after="60"/>
      </w:pPr>
      <w:r>
        <w:rPr>
          <w:b/>
          <w:bCs/>
          <w:color w:val="333333"/>
        </w:rPr>
        <w:t>ShopBot (Case C)</w:t>
      </w:r>
    </w:p>
    <w:p w14:paraId="653FAD0F" w14:textId="77777777" w:rsidR="005414BE" w:rsidRDefault="00000000">
      <w:pPr>
        <w:spacing w:before="40" w:after="80"/>
      </w:pPr>
      <w:r>
        <w:t>The client may argue that customers 'obviously know' they are talking to a bot. Article 50 does not accept that assumption — the obligation is affirmative. The disclosure fix is low-cost and should be presented as a one-sprint engineering task, not a strategic obstacle.</w:t>
      </w:r>
    </w:p>
    <w:p w14:paraId="56DF10EF" w14:textId="77777777" w:rsidR="005414BE" w:rsidRDefault="005414BE">
      <w:pPr>
        <w:spacing w:after="60"/>
      </w:pPr>
    </w:p>
    <w:p w14:paraId="46997DA9" w14:textId="77777777" w:rsidR="005414BE" w:rsidRDefault="00000000">
      <w:pPr>
        <w:spacing w:before="160" w:after="60"/>
      </w:pPr>
      <w:r>
        <w:rPr>
          <w:b/>
          <w:bCs/>
          <w:color w:val="333333"/>
        </w:rPr>
        <w:t>GreenSort (Case D)</w:t>
      </w:r>
    </w:p>
    <w:p w14:paraId="09769843" w14:textId="77777777" w:rsidR="005414BE" w:rsidRDefault="00000000">
      <w:pPr>
        <w:spacing w:before="40" w:after="80"/>
      </w:pPr>
      <w:r>
        <w:t>No significant push-back anticipated. The client should be advised to confirm that the system's camera coverage does not inadvertently capture worker biometrics in a way that would require a GDPR assessment.</w:t>
      </w:r>
    </w:p>
    <w:p w14:paraId="25BBE9FB" w14:textId="77777777" w:rsidR="005414BE" w:rsidRDefault="005414BE">
      <w:pPr>
        <w:spacing w:after="120"/>
      </w:pPr>
    </w:p>
    <w:p w14:paraId="350BF908" w14:textId="77777777" w:rsidR="005414BE" w:rsidRDefault="00000000">
      <w:pPr>
        <w:spacing w:before="260" w:after="100"/>
      </w:pPr>
      <w:r>
        <w:rPr>
          <w:b/>
          <w:bCs/>
          <w:color w:val="2E5496"/>
          <w:sz w:val="24"/>
          <w:szCs w:val="24"/>
        </w:rPr>
        <w:t>What the Client Needs Next — Operational Artefacts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920"/>
        <w:gridCol w:w="3000"/>
      </w:tblGrid>
      <w:tr w:rsidR="005414BE" w14:paraId="4AD4B846" w14:textId="77777777">
        <w:tblPrEx>
          <w:tblCellMar>
            <w:top w:w="0" w:type="dxa"/>
            <w:bottom w:w="0" w:type="dxa"/>
          </w:tblCellMar>
        </w:tblPrEx>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75D8040" w14:textId="77777777" w:rsidR="005414BE" w:rsidRDefault="00000000">
            <w:r>
              <w:rPr>
                <w:b/>
                <w:bCs/>
                <w:color w:val="FFFFFF"/>
                <w:sz w:val="20"/>
                <w:szCs w:val="20"/>
              </w:rPr>
              <w:t>Case</w:t>
            </w:r>
          </w:p>
        </w:tc>
        <w:tc>
          <w:tcPr>
            <w:tcW w:w="49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90DD0A5" w14:textId="77777777" w:rsidR="005414BE" w:rsidRDefault="00000000">
            <w:r>
              <w:rPr>
                <w:b/>
                <w:bCs/>
                <w:color w:val="FFFFFF"/>
                <w:sz w:val="20"/>
                <w:szCs w:val="20"/>
              </w:rPr>
              <w:t>Next Artefact Needed</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20A2907" w14:textId="77777777" w:rsidR="005414BE" w:rsidRDefault="00000000">
            <w:r>
              <w:rPr>
                <w:b/>
                <w:bCs/>
                <w:color w:val="FFFFFF"/>
                <w:sz w:val="20"/>
                <w:szCs w:val="20"/>
              </w:rPr>
              <w:t>Owner</w:t>
            </w:r>
          </w:p>
        </w:tc>
      </w:tr>
      <w:tr w:rsidR="005414BE" w14:paraId="08EC409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AE4140" w14:textId="77777777" w:rsidR="005414BE" w:rsidRDefault="00000000">
            <w:r>
              <w:rPr>
                <w:color w:val="111111"/>
                <w:sz w:val="20"/>
                <w:szCs w:val="20"/>
              </w:rPr>
              <w:t>A — InsureCore</w:t>
            </w:r>
          </w:p>
        </w:tc>
        <w:tc>
          <w:tcPr>
            <w:tcW w:w="4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A1CB4" w14:textId="77777777" w:rsidR="005414BE" w:rsidRDefault="00000000">
            <w:r>
              <w:rPr>
                <w:color w:val="111111"/>
                <w:sz w:val="20"/>
                <w:szCs w:val="20"/>
              </w:rPr>
              <w:t>Redesign specification: rules-based anomaly-detection logic + human-review workflow. Legal sign-off that no Article 5 trigger remains.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BE0CE" w14:textId="77777777" w:rsidR="005414BE" w:rsidRDefault="00000000">
            <w:r>
              <w:rPr>
                <w:color w:val="111111"/>
                <w:sz w:val="20"/>
                <w:szCs w:val="20"/>
              </w:rPr>
              <w:t>InsureCore legal &amp; product team</w:t>
            </w:r>
          </w:p>
        </w:tc>
      </w:tr>
      <w:tr w:rsidR="005414BE" w14:paraId="53EAB5D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79D20" w14:textId="77777777" w:rsidR="005414BE" w:rsidRDefault="00000000">
            <w:r>
              <w:rPr>
                <w:color w:val="111111"/>
                <w:sz w:val="20"/>
                <w:szCs w:val="20"/>
              </w:rPr>
              <w:t>B — MediPath</w:t>
            </w:r>
          </w:p>
        </w:tc>
        <w:tc>
          <w:tcPr>
            <w:tcW w:w="4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3C984" w14:textId="77777777" w:rsidR="005414BE" w:rsidRDefault="00000000">
            <w:r>
              <w:rPr>
                <w:color w:val="111111"/>
                <w:sz w:val="20"/>
                <w:szCs w:val="20"/>
              </w:rPr>
              <w:t>FRIA draft; vendor technical documentation request list; MDR classification opinion from regulatory counsel; logging policy; training protocol for nurses on override.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E68E38" w14:textId="77777777" w:rsidR="005414BE" w:rsidRDefault="00000000">
            <w:r>
              <w:rPr>
                <w:color w:val="111111"/>
                <w:sz w:val="20"/>
                <w:szCs w:val="20"/>
              </w:rPr>
              <w:t>Hospital compliance + MediPath vendor</w:t>
            </w:r>
          </w:p>
        </w:tc>
      </w:tr>
      <w:tr w:rsidR="005414BE" w14:paraId="2755B9A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4EB51F" w14:textId="77777777" w:rsidR="005414BE" w:rsidRDefault="00000000">
            <w:r>
              <w:rPr>
                <w:color w:val="111111"/>
                <w:sz w:val="20"/>
                <w:szCs w:val="20"/>
              </w:rPr>
              <w:t>C — ShopBot</w:t>
            </w:r>
          </w:p>
        </w:tc>
        <w:tc>
          <w:tcPr>
            <w:tcW w:w="4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7530E" w14:textId="77777777" w:rsidR="005414BE" w:rsidRDefault="00000000">
            <w:r>
              <w:rPr>
                <w:color w:val="111111"/>
                <w:sz w:val="20"/>
                <w:szCs w:val="20"/>
              </w:rPr>
              <w:t>Article 50 disclosure banner copy and placement spec; updated privacy notice covering LLM data flows; escalation transparency UX design.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A3666" w14:textId="77777777" w:rsidR="005414BE" w:rsidRDefault="00000000">
            <w:r>
              <w:rPr>
                <w:color w:val="111111"/>
                <w:sz w:val="20"/>
                <w:szCs w:val="20"/>
              </w:rPr>
              <w:t>Marketplace legal + product/UX team</w:t>
            </w:r>
          </w:p>
        </w:tc>
      </w:tr>
      <w:tr w:rsidR="005414BE" w14:paraId="422151D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F0F69" w14:textId="77777777" w:rsidR="005414BE" w:rsidRDefault="00000000">
            <w:r>
              <w:rPr>
                <w:color w:val="111111"/>
                <w:sz w:val="20"/>
                <w:szCs w:val="20"/>
              </w:rPr>
              <w:t>D — GreenSort</w:t>
            </w:r>
          </w:p>
        </w:tc>
        <w:tc>
          <w:tcPr>
            <w:tcW w:w="4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EF248" w14:textId="77777777" w:rsidR="005414BE" w:rsidRDefault="00000000">
            <w:r>
              <w:rPr>
                <w:color w:val="111111"/>
                <w:sz w:val="20"/>
                <w:szCs w:val="20"/>
              </w:rPr>
              <w:t>Optional: internal operational logging policy. Confirm Machinery Regulation compliance. GDPR check if cameras cover staff areas.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18468" w14:textId="77777777" w:rsidR="005414BE" w:rsidRDefault="00000000">
            <w:r>
              <w:rPr>
                <w:color w:val="111111"/>
                <w:sz w:val="20"/>
                <w:szCs w:val="20"/>
              </w:rPr>
              <w:t>Facility operations + legal counsel</w:t>
            </w:r>
          </w:p>
        </w:tc>
      </w:tr>
    </w:tbl>
    <w:p w14:paraId="134E5B16" w14:textId="77777777" w:rsidR="005414BE" w:rsidRDefault="005414BE">
      <w:pPr>
        <w:spacing w:after="120"/>
      </w:pPr>
    </w:p>
    <w:p w14:paraId="40091FA0" w14:textId="77777777" w:rsidR="005414BE" w:rsidRDefault="00000000">
      <w:pPr>
        <w:spacing w:before="260" w:after="100"/>
      </w:pPr>
      <w:r>
        <w:rPr>
          <w:b/>
          <w:bCs/>
          <w:color w:val="2E5496"/>
          <w:sz w:val="24"/>
          <w:szCs w:val="24"/>
        </w:rPr>
        <w:t>Borderline Arguments and Legal-Team Referrals</w:t>
      </w:r>
    </w:p>
    <w:p w14:paraId="390F25A7" w14:textId="77777777" w:rsidR="005414BE" w:rsidRDefault="00000000">
      <w:pPr>
        <w:pStyle w:val="ListParagraph"/>
        <w:numPr>
          <w:ilvl w:val="0"/>
          <w:numId w:val="2"/>
        </w:numPr>
        <w:spacing w:before="20" w:after="20"/>
      </w:pPr>
      <w:r>
        <w:t>InsureCore — Counter-argument to watch: The vendor may argue the system is 'decision support, not a decision maker' because investigators exist. Counter: the routing decision is real and detrimental regardless of what happens next. Legal team should confirm whether the deprioritisation constitutes an automated individual decision under GDPR Article 22 as well.</w:t>
      </w:r>
    </w:p>
    <w:p w14:paraId="15243A0F" w14:textId="77777777" w:rsidR="005414BE" w:rsidRDefault="00000000">
      <w:pPr>
        <w:pStyle w:val="ListParagraph"/>
        <w:numPr>
          <w:ilvl w:val="0"/>
          <w:numId w:val="2"/>
        </w:numPr>
        <w:spacing w:before="20" w:after="20"/>
      </w:pPr>
      <w:r>
        <w:t>MediPath — Borderline argument: If MediPath is positioned as a 'clinical decision support tool' rather than a medical device, Annex I may not apply. However, if it meets the IVD/MDR software criteria (intended to diagnose, monitor, or predict clinical conditions), the medical device framing controls. Legal team must obtain a CE marking opinion before the client proceeds.</w:t>
      </w:r>
    </w:p>
    <w:p w14:paraId="29D40261" w14:textId="77777777" w:rsidR="005414BE" w:rsidRDefault="00000000">
      <w:pPr>
        <w:pStyle w:val="ListParagraph"/>
        <w:numPr>
          <w:ilvl w:val="0"/>
          <w:numId w:val="2"/>
        </w:numPr>
        <w:spacing w:before="20" w:after="20"/>
      </w:pPr>
      <w:r>
        <w:t>ShopBot — If the marketplace expands ShopBot to handle complaints about financial products or gives eligibility guidance on loyalty credit, the risk tier changes immediately. A clause should be written into the product roadmap governance requiring legal review before any feature touching financial access is launched.</w:t>
      </w:r>
    </w:p>
    <w:p w14:paraId="456C0E2B" w14:textId="77777777" w:rsidR="005414BE" w:rsidRDefault="00000000">
      <w:pPr>
        <w:pStyle w:val="ListParagraph"/>
        <w:numPr>
          <w:ilvl w:val="0"/>
          <w:numId w:val="2"/>
        </w:numPr>
        <w:spacing w:before="20" w:after="20"/>
      </w:pPr>
      <w:r>
        <w:t>GreenSort — If the facility installs additional cameras that capture worker faces for safety monitoring (e.g. PPE detection), a separate AI Act analysis is required — emotion recognition and biometric categorisation rules may then engage.</w:t>
      </w:r>
    </w:p>
    <w:p w14:paraId="5D6853AC" w14:textId="77777777" w:rsidR="005414BE" w:rsidRDefault="005414BE">
      <w:pPr>
        <w:spacing w:after="60"/>
      </w:pPr>
    </w:p>
    <w:p w14:paraId="065ED557" w14:textId="43B025E7" w:rsidR="005414BE" w:rsidRDefault="0096510A">
      <w:pPr>
        <w:spacing w:before="340" w:after="120"/>
      </w:pPr>
      <w:r>
        <w:rPr>
          <w:b/>
          <w:bCs/>
          <w:color w:val="1F3864"/>
          <w:sz w:val="30"/>
          <w:szCs w:val="30"/>
        </w:rPr>
        <w:t>Stretch</w:t>
      </w:r>
      <w:r w:rsidR="00000000">
        <w:rPr>
          <w:b/>
          <w:bCs/>
          <w:color w:val="1F3864"/>
          <w:sz w:val="30"/>
          <w:szCs w:val="30"/>
        </w:rPr>
        <w:t xml:space="preserve"> — Mini Implementation Roadmap: MediPath (High-Risk)</w:t>
      </w:r>
    </w:p>
    <w:p w14:paraId="7F2B14A3" w14:textId="77777777" w:rsidR="005414BE" w:rsidRDefault="00000000">
      <w:pPr>
        <w:spacing w:before="40" w:after="80"/>
      </w:pPr>
      <w:r>
        <w:t>This section addresses the stretch requirement: a half-page roadmap for the strongest high-risk case.</w:t>
      </w:r>
    </w:p>
    <w:p w14:paraId="32C3AD99" w14:textId="77777777" w:rsidR="005414BE" w:rsidRDefault="005414BE">
      <w:pPr>
        <w:spacing w:after="60"/>
      </w:pPr>
    </w:p>
    <w:p w14:paraId="17E78E24" w14:textId="77777777" w:rsidR="005414BE" w:rsidRDefault="00000000">
      <w:pPr>
        <w:spacing w:before="160" w:after="60"/>
      </w:pPr>
      <w:r>
        <w:rPr>
          <w:b/>
          <w:bCs/>
          <w:color w:val="333333"/>
        </w:rPr>
        <w:t>What the Provider (MediPath Vendor) Must Do Before Market Placement</w:t>
      </w:r>
    </w:p>
    <w:p w14:paraId="2944C077" w14:textId="77777777" w:rsidR="005414BE" w:rsidRDefault="00000000">
      <w:pPr>
        <w:pStyle w:val="ListParagraph"/>
        <w:numPr>
          <w:ilvl w:val="0"/>
          <w:numId w:val="2"/>
        </w:numPr>
        <w:spacing w:before="20" w:after="20"/>
      </w:pPr>
      <w:r>
        <w:t>Complete risk management documentation covering all identified clinical failure modes and mitigation measures (Art. 9)</w:t>
      </w:r>
    </w:p>
    <w:p w14:paraId="4D985059" w14:textId="77777777" w:rsidR="005414BE" w:rsidRDefault="00000000">
      <w:pPr>
        <w:pStyle w:val="ListParagraph"/>
        <w:numPr>
          <w:ilvl w:val="0"/>
          <w:numId w:val="2"/>
        </w:numPr>
        <w:spacing w:before="20" w:after="20"/>
      </w:pPr>
      <w:r>
        <w:t>Conduct and document clinical validation studies across demographically diverse patient cohorts (Art. 10, Art. 15)</w:t>
      </w:r>
    </w:p>
    <w:p w14:paraId="674F4C3C" w14:textId="77777777" w:rsidR="005414BE" w:rsidRDefault="00000000">
      <w:pPr>
        <w:pStyle w:val="ListParagraph"/>
        <w:numPr>
          <w:ilvl w:val="0"/>
          <w:numId w:val="2"/>
        </w:numPr>
        <w:spacing w:before="20" w:after="20"/>
      </w:pPr>
      <w:r>
        <w:t>Draw up full technical documentation including model architecture, training data provenance, and performance metrics by patient subgroup (Art. 11)</w:t>
      </w:r>
    </w:p>
    <w:p w14:paraId="682C74D5" w14:textId="77777777" w:rsidR="005414BE" w:rsidRDefault="00000000">
      <w:pPr>
        <w:pStyle w:val="ListParagraph"/>
        <w:numPr>
          <w:ilvl w:val="0"/>
          <w:numId w:val="2"/>
        </w:numPr>
        <w:spacing w:before="20" w:after="20"/>
      </w:pPr>
      <w:r>
        <w:t>Implement automatic logging of every AI recommendation output (Art. 12)</w:t>
      </w:r>
    </w:p>
    <w:p w14:paraId="0C8B03D2" w14:textId="77777777" w:rsidR="005414BE" w:rsidRDefault="00000000">
      <w:pPr>
        <w:pStyle w:val="ListParagraph"/>
        <w:numPr>
          <w:ilvl w:val="0"/>
          <w:numId w:val="2"/>
        </w:numPr>
        <w:spacing w:before="20" w:after="20"/>
      </w:pPr>
      <w:r>
        <w:t>Produce instructions-for-use document specifying intended patient population, contraindicated cases, and degraded-mode behaviour (Art. 13)</w:t>
      </w:r>
    </w:p>
    <w:p w14:paraId="4C1E4D1B" w14:textId="77777777" w:rsidR="005414BE" w:rsidRDefault="00000000">
      <w:pPr>
        <w:pStyle w:val="ListParagraph"/>
        <w:numPr>
          <w:ilvl w:val="0"/>
          <w:numId w:val="2"/>
        </w:numPr>
        <w:spacing w:before="20" w:after="20"/>
      </w:pPr>
      <w:r>
        <w:t>Ensure the nurse override interface is designed to make override easy and to capture override reasons (Art. 14)</w:t>
      </w:r>
    </w:p>
    <w:p w14:paraId="4180D907" w14:textId="77777777" w:rsidR="005414BE" w:rsidRDefault="00000000">
      <w:pPr>
        <w:pStyle w:val="ListParagraph"/>
        <w:numPr>
          <w:ilvl w:val="0"/>
          <w:numId w:val="2"/>
        </w:numPr>
        <w:spacing w:before="20" w:after="20"/>
      </w:pPr>
      <w:r>
        <w:t>Establish a quality management system; pursue ISO 13485 if not already certified (Art. 17)</w:t>
      </w:r>
    </w:p>
    <w:p w14:paraId="0712C1AE" w14:textId="77777777" w:rsidR="005414BE" w:rsidRDefault="00000000">
      <w:pPr>
        <w:pStyle w:val="ListParagraph"/>
        <w:numPr>
          <w:ilvl w:val="0"/>
          <w:numId w:val="2"/>
        </w:numPr>
        <w:spacing w:before="20" w:after="20"/>
      </w:pPr>
      <w:r>
        <w:t>Complete conformity assessment — if Annex I (MDR) applies, engage a notified body (Art. 43)</w:t>
      </w:r>
    </w:p>
    <w:p w14:paraId="759CE568" w14:textId="77777777" w:rsidR="005414BE" w:rsidRDefault="00000000">
      <w:pPr>
        <w:pStyle w:val="ListParagraph"/>
        <w:numPr>
          <w:ilvl w:val="0"/>
          <w:numId w:val="2"/>
        </w:numPr>
        <w:spacing w:before="20" w:after="20"/>
      </w:pPr>
      <w:r>
        <w:t>Register the system in the EU AI database (Art. 49)</w:t>
      </w:r>
    </w:p>
    <w:p w14:paraId="1F19C5A3" w14:textId="77777777" w:rsidR="005414BE" w:rsidRDefault="005414BE">
      <w:pPr>
        <w:spacing w:after="60"/>
      </w:pPr>
    </w:p>
    <w:p w14:paraId="3ABFC59F" w14:textId="77777777" w:rsidR="005414BE" w:rsidRDefault="00000000">
      <w:pPr>
        <w:spacing w:before="160" w:after="60"/>
      </w:pPr>
      <w:r>
        <w:rPr>
          <w:b/>
          <w:bCs/>
          <w:color w:val="333333"/>
        </w:rPr>
        <w:t>What the Deployer (Hospital) Must Do Before First Use</w:t>
      </w:r>
    </w:p>
    <w:p w14:paraId="6A0D4292" w14:textId="77777777" w:rsidR="005414BE" w:rsidRDefault="00000000">
      <w:pPr>
        <w:pStyle w:val="ListParagraph"/>
        <w:numPr>
          <w:ilvl w:val="0"/>
          <w:numId w:val="2"/>
        </w:numPr>
        <w:spacing w:before="20" w:after="20"/>
      </w:pPr>
      <w:r>
        <w:t>Conduct a Fundamental Rights Impact Assessment covering impact on elderly patients, children, and patients with language barriers</w:t>
      </w:r>
    </w:p>
    <w:p w14:paraId="19BFC4C4" w14:textId="77777777" w:rsidR="005414BE" w:rsidRDefault="00000000">
      <w:pPr>
        <w:pStyle w:val="ListParagraph"/>
        <w:numPr>
          <w:ilvl w:val="0"/>
          <w:numId w:val="2"/>
        </w:numPr>
        <w:spacing w:before="20" w:after="20"/>
      </w:pPr>
      <w:r>
        <w:t>Register the deployment in the EU database</w:t>
      </w:r>
    </w:p>
    <w:p w14:paraId="6CEC51FE" w14:textId="77777777" w:rsidR="005414BE" w:rsidRDefault="00000000">
      <w:pPr>
        <w:pStyle w:val="ListParagraph"/>
        <w:numPr>
          <w:ilvl w:val="0"/>
          <w:numId w:val="2"/>
        </w:numPr>
        <w:spacing w:before="20" w:after="20"/>
      </w:pPr>
      <w:r>
        <w:t>Establish a nurse training programme on AI output interpretation and override protocol</w:t>
      </w:r>
    </w:p>
    <w:p w14:paraId="41125F5B" w14:textId="77777777" w:rsidR="005414BE" w:rsidRDefault="00000000">
      <w:pPr>
        <w:pStyle w:val="ListParagraph"/>
        <w:numPr>
          <w:ilvl w:val="0"/>
          <w:numId w:val="2"/>
        </w:numPr>
        <w:spacing w:before="20" w:after="20"/>
      </w:pPr>
      <w:r>
        <w:t>Define the escalation protocol for system downtime or degraded performance</w:t>
      </w:r>
    </w:p>
    <w:p w14:paraId="78E0F70E" w14:textId="77777777" w:rsidR="005414BE" w:rsidRDefault="00000000">
      <w:pPr>
        <w:pStyle w:val="ListParagraph"/>
        <w:numPr>
          <w:ilvl w:val="0"/>
          <w:numId w:val="2"/>
        </w:numPr>
        <w:spacing w:before="20" w:after="20"/>
      </w:pPr>
      <w:r>
        <w:t>Set up post-market monitoring reporting — serious incidents must be reported to the market-surveillance authority</w:t>
      </w:r>
    </w:p>
    <w:p w14:paraId="6972BB7C" w14:textId="77777777" w:rsidR="005414BE" w:rsidRDefault="005414BE">
      <w:pPr>
        <w:spacing w:after="60"/>
      </w:pPr>
    </w:p>
    <w:p w14:paraId="718F775C" w14:textId="77777777" w:rsidR="005414BE" w:rsidRDefault="00000000">
      <w:pPr>
        <w:spacing w:before="160" w:after="60"/>
      </w:pPr>
      <w:r>
        <w:rPr>
          <w:b/>
          <w:bCs/>
          <w:color w:val="333333"/>
        </w:rPr>
        <w:t>Evidence to Request from the Vendor</w:t>
      </w:r>
    </w:p>
    <w:p w14:paraId="27E2F32B" w14:textId="77777777" w:rsidR="005414BE" w:rsidRDefault="00000000">
      <w:pPr>
        <w:pStyle w:val="ListParagraph"/>
        <w:numPr>
          <w:ilvl w:val="0"/>
          <w:numId w:val="2"/>
        </w:numPr>
        <w:spacing w:before="20" w:after="20"/>
      </w:pPr>
      <w:r>
        <w:t>Clinical validation study reports (peer-reviewed if available), including sensitivity and specificity by acuity level and patient subgroup</w:t>
      </w:r>
    </w:p>
    <w:p w14:paraId="48977DEE" w14:textId="77777777" w:rsidR="005414BE" w:rsidRDefault="00000000">
      <w:pPr>
        <w:pStyle w:val="ListParagraph"/>
        <w:numPr>
          <w:ilvl w:val="0"/>
          <w:numId w:val="2"/>
        </w:numPr>
        <w:spacing w:before="20" w:after="20"/>
      </w:pPr>
      <w:r>
        <w:t>Data governance documentation: training data sources, anonymisation approach, demographic representation</w:t>
      </w:r>
    </w:p>
    <w:p w14:paraId="76C6EDF9" w14:textId="77777777" w:rsidR="005414BE" w:rsidRDefault="00000000">
      <w:pPr>
        <w:pStyle w:val="ListParagraph"/>
        <w:numPr>
          <w:ilvl w:val="0"/>
          <w:numId w:val="2"/>
        </w:numPr>
        <w:spacing w:before="20" w:after="20"/>
      </w:pPr>
      <w:r>
        <w:t>Incident log and near-miss register from any prior pilot or market use</w:t>
      </w:r>
    </w:p>
    <w:p w14:paraId="48A4537B" w14:textId="77777777" w:rsidR="005414BE" w:rsidRDefault="00000000">
      <w:pPr>
        <w:pStyle w:val="ListParagraph"/>
        <w:numPr>
          <w:ilvl w:val="0"/>
          <w:numId w:val="2"/>
        </w:numPr>
        <w:spacing w:before="20" w:after="20"/>
      </w:pPr>
      <w:r>
        <w:t>Declaration of Conformity and CE certificate (if Annex I applies)</w:t>
      </w:r>
    </w:p>
    <w:p w14:paraId="6323706C" w14:textId="77777777" w:rsidR="005414BE" w:rsidRDefault="00000000">
      <w:pPr>
        <w:pStyle w:val="ListParagraph"/>
        <w:numPr>
          <w:ilvl w:val="0"/>
          <w:numId w:val="2"/>
        </w:numPr>
        <w:spacing w:before="20" w:after="20"/>
      </w:pPr>
      <w:r>
        <w:t>Instructions for use and degraded-mode specification</w:t>
      </w:r>
    </w:p>
    <w:p w14:paraId="619CB7CC" w14:textId="77777777" w:rsidR="005414BE" w:rsidRDefault="00000000">
      <w:pPr>
        <w:pStyle w:val="ListParagraph"/>
        <w:numPr>
          <w:ilvl w:val="0"/>
          <w:numId w:val="2"/>
        </w:numPr>
        <w:spacing w:before="20" w:after="20"/>
      </w:pPr>
      <w:r>
        <w:t>Audit trail / logging specification confirming what is recorded and for how long</w:t>
      </w:r>
    </w:p>
    <w:p w14:paraId="544401C6" w14:textId="77777777" w:rsidR="005414BE" w:rsidRDefault="005414BE">
      <w:pPr>
        <w:spacing w:after="60"/>
      </w:pPr>
    </w:p>
    <w:sectPr w:rsidR="005414BE">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2660F"/>
    <w:multiLevelType w:val="hybridMultilevel"/>
    <w:tmpl w:val="3AB6B266"/>
    <w:lvl w:ilvl="0" w:tplc="6AD870C6">
      <w:start w:val="1"/>
      <w:numFmt w:val="decimal"/>
      <w:lvlText w:val="%1."/>
      <w:lvlJc w:val="left"/>
      <w:pPr>
        <w:ind w:left="720" w:hanging="360"/>
      </w:pPr>
    </w:lvl>
    <w:lvl w:ilvl="1" w:tplc="C50CE00A">
      <w:numFmt w:val="decimal"/>
      <w:lvlText w:val=""/>
      <w:lvlJc w:val="left"/>
    </w:lvl>
    <w:lvl w:ilvl="2" w:tplc="6D3E6B30">
      <w:numFmt w:val="decimal"/>
      <w:lvlText w:val=""/>
      <w:lvlJc w:val="left"/>
    </w:lvl>
    <w:lvl w:ilvl="3" w:tplc="78C4943E">
      <w:numFmt w:val="decimal"/>
      <w:lvlText w:val=""/>
      <w:lvlJc w:val="left"/>
    </w:lvl>
    <w:lvl w:ilvl="4" w:tplc="7E085D96">
      <w:numFmt w:val="decimal"/>
      <w:lvlText w:val=""/>
      <w:lvlJc w:val="left"/>
    </w:lvl>
    <w:lvl w:ilvl="5" w:tplc="A5D09E26">
      <w:numFmt w:val="decimal"/>
      <w:lvlText w:val=""/>
      <w:lvlJc w:val="left"/>
    </w:lvl>
    <w:lvl w:ilvl="6" w:tplc="A69A0F04">
      <w:numFmt w:val="decimal"/>
      <w:lvlText w:val=""/>
      <w:lvlJc w:val="left"/>
    </w:lvl>
    <w:lvl w:ilvl="7" w:tplc="82BE32F0">
      <w:numFmt w:val="decimal"/>
      <w:lvlText w:val=""/>
      <w:lvlJc w:val="left"/>
    </w:lvl>
    <w:lvl w:ilvl="8" w:tplc="A7D2D3F0">
      <w:numFmt w:val="decimal"/>
      <w:lvlText w:val=""/>
      <w:lvlJc w:val="left"/>
    </w:lvl>
  </w:abstractNum>
  <w:abstractNum w:abstractNumId="1" w15:restartNumberingAfterBreak="0">
    <w:nsid w:val="338D6D9B"/>
    <w:multiLevelType w:val="hybridMultilevel"/>
    <w:tmpl w:val="31087798"/>
    <w:lvl w:ilvl="0" w:tplc="64207428">
      <w:start w:val="1"/>
      <w:numFmt w:val="bullet"/>
      <w:lvlText w:val="●"/>
      <w:lvlJc w:val="left"/>
      <w:pPr>
        <w:ind w:left="720" w:hanging="360"/>
      </w:pPr>
    </w:lvl>
    <w:lvl w:ilvl="1" w:tplc="C3D6A136">
      <w:start w:val="1"/>
      <w:numFmt w:val="bullet"/>
      <w:lvlText w:val="○"/>
      <w:lvlJc w:val="left"/>
      <w:pPr>
        <w:ind w:left="1440" w:hanging="360"/>
      </w:pPr>
    </w:lvl>
    <w:lvl w:ilvl="2" w:tplc="39C21EA6">
      <w:start w:val="1"/>
      <w:numFmt w:val="bullet"/>
      <w:lvlText w:val="■"/>
      <w:lvlJc w:val="left"/>
      <w:pPr>
        <w:ind w:left="2160" w:hanging="360"/>
      </w:pPr>
    </w:lvl>
    <w:lvl w:ilvl="3" w:tplc="432C55A0">
      <w:start w:val="1"/>
      <w:numFmt w:val="bullet"/>
      <w:lvlText w:val="●"/>
      <w:lvlJc w:val="left"/>
      <w:pPr>
        <w:ind w:left="2880" w:hanging="360"/>
      </w:pPr>
    </w:lvl>
    <w:lvl w:ilvl="4" w:tplc="50ECF5FE">
      <w:start w:val="1"/>
      <w:numFmt w:val="bullet"/>
      <w:lvlText w:val="○"/>
      <w:lvlJc w:val="left"/>
      <w:pPr>
        <w:ind w:left="3600" w:hanging="360"/>
      </w:pPr>
    </w:lvl>
    <w:lvl w:ilvl="5" w:tplc="D548B5EE">
      <w:start w:val="1"/>
      <w:numFmt w:val="bullet"/>
      <w:lvlText w:val="■"/>
      <w:lvlJc w:val="left"/>
      <w:pPr>
        <w:ind w:left="4320" w:hanging="360"/>
      </w:pPr>
    </w:lvl>
    <w:lvl w:ilvl="6" w:tplc="1CA08322">
      <w:start w:val="1"/>
      <w:numFmt w:val="bullet"/>
      <w:lvlText w:val="●"/>
      <w:lvlJc w:val="left"/>
      <w:pPr>
        <w:ind w:left="5040" w:hanging="360"/>
      </w:pPr>
    </w:lvl>
    <w:lvl w:ilvl="7" w:tplc="5754820A">
      <w:start w:val="1"/>
      <w:numFmt w:val="bullet"/>
      <w:lvlText w:val="●"/>
      <w:lvlJc w:val="left"/>
      <w:pPr>
        <w:ind w:left="5760" w:hanging="360"/>
      </w:pPr>
    </w:lvl>
    <w:lvl w:ilvl="8" w:tplc="525E4294">
      <w:start w:val="1"/>
      <w:numFmt w:val="bullet"/>
      <w:lvlText w:val="●"/>
      <w:lvlJc w:val="left"/>
      <w:pPr>
        <w:ind w:left="6480" w:hanging="360"/>
      </w:pPr>
    </w:lvl>
  </w:abstractNum>
  <w:abstractNum w:abstractNumId="2" w15:restartNumberingAfterBreak="0">
    <w:nsid w:val="4FE24781"/>
    <w:multiLevelType w:val="hybridMultilevel"/>
    <w:tmpl w:val="A404A8F2"/>
    <w:lvl w:ilvl="0" w:tplc="E9004E9C">
      <w:start w:val="1"/>
      <w:numFmt w:val="bullet"/>
      <w:lvlText w:val="•"/>
      <w:lvlJc w:val="left"/>
      <w:pPr>
        <w:ind w:left="720" w:hanging="360"/>
      </w:pPr>
    </w:lvl>
    <w:lvl w:ilvl="1" w:tplc="3ECA5BCE">
      <w:numFmt w:val="decimal"/>
      <w:lvlText w:val=""/>
      <w:lvlJc w:val="left"/>
    </w:lvl>
    <w:lvl w:ilvl="2" w:tplc="63C63E4A">
      <w:numFmt w:val="decimal"/>
      <w:lvlText w:val=""/>
      <w:lvlJc w:val="left"/>
    </w:lvl>
    <w:lvl w:ilvl="3" w:tplc="0AC6C5D0">
      <w:numFmt w:val="decimal"/>
      <w:lvlText w:val=""/>
      <w:lvlJc w:val="left"/>
    </w:lvl>
    <w:lvl w:ilvl="4" w:tplc="4340614C">
      <w:numFmt w:val="decimal"/>
      <w:lvlText w:val=""/>
      <w:lvlJc w:val="left"/>
    </w:lvl>
    <w:lvl w:ilvl="5" w:tplc="04C0A686">
      <w:numFmt w:val="decimal"/>
      <w:lvlText w:val=""/>
      <w:lvlJc w:val="left"/>
    </w:lvl>
    <w:lvl w:ilvl="6" w:tplc="D96A3BC2">
      <w:numFmt w:val="decimal"/>
      <w:lvlText w:val=""/>
      <w:lvlJc w:val="left"/>
    </w:lvl>
    <w:lvl w:ilvl="7" w:tplc="CD783024">
      <w:numFmt w:val="decimal"/>
      <w:lvlText w:val=""/>
      <w:lvlJc w:val="left"/>
    </w:lvl>
    <w:lvl w:ilvl="8" w:tplc="3AE6F476">
      <w:numFmt w:val="decimal"/>
      <w:lvlText w:val=""/>
      <w:lvlJc w:val="left"/>
    </w:lvl>
  </w:abstractNum>
  <w:num w:numId="1" w16cid:durableId="2068840501">
    <w:abstractNumId w:val="1"/>
    <w:lvlOverride w:ilvl="0">
      <w:startOverride w:val="1"/>
    </w:lvlOverride>
  </w:num>
  <w:num w:numId="2" w16cid:durableId="13750335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4BE"/>
    <w:rsid w:val="005414BE"/>
    <w:rsid w:val="0096510A"/>
    <w:rsid w:val="00DA4B8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27CCE30"/>
  <w15:docId w15:val="{6725B79B-9295-2A4C-94E6-C788994E1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3839</Words>
  <Characters>21884</Characters>
  <Application>Microsoft Office Word</Application>
  <DocSecurity>0</DocSecurity>
  <Lines>182</Lines>
  <Paragraphs>51</Paragraphs>
  <ScaleCrop>false</ScaleCrop>
  <Company/>
  <LinksUpToDate>false</LinksUpToDate>
  <CharactersWithSpaces>25672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Markus von Aschoff</cp:lastModifiedBy>
  <cp:revision>2</cp:revision>
  <dcterms:created xsi:type="dcterms:W3CDTF">2026-05-25T09:19:00Z</dcterms:created>
  <dcterms:modified xsi:type="dcterms:W3CDTF">2026-05-25T14:01:00Z</dcterms:modified>
</cp:coreProperties>
</file>