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rPr>
        <w:t xml:space="preserve"/>
      </w:r>
    </w:p>
    <w:p>
      <w:r>
        <w:rPr>
          <w:rFonts w:ascii="Arial" w:cs="Arial" w:eastAsia="Arial" w:hAnsi="Arial"/>
        </w:rPr>
        <w:t xml:space="preserve"/>
      </w:r>
    </w:p>
    <w:p>
      <w:pPr>
        <w:jc w:val="center"/>
      </w:pPr>
      <w:r>
        <w:rPr>
          <w:rFonts w:ascii="Arial" w:cs="Arial" w:eastAsia="Arial" w:hAnsi="Arial"/>
          <w:b/>
          <w:bCs/>
          <w:color w:val="1F4E79"/>
          <w:sz w:val="56"/>
          <w:szCs w:val="56"/>
        </w:rPr>
        <w:t xml:space="preserve">BUILD OR PAY?</w:t>
      </w:r>
    </w:p>
    <w:p>
      <w:pPr>
        <w:jc w:val="center"/>
      </w:pPr>
      <w:r>
        <w:rPr>
          <w:rFonts w:ascii="Arial" w:cs="Arial" w:eastAsia="Arial" w:hAnsi="Arial"/>
          <w:b/>
          <w:bCs/>
          <w:color w:val="2E75B6"/>
          <w:sz w:val="36"/>
          <w:szCs w:val="36"/>
        </w:rPr>
        <w:t xml:space="preserve">Infrastructure Decision Analysis</w:t>
      </w:r>
    </w:p>
    <w:p>
      <w:r>
        <w:rPr>
          <w:rFonts w:ascii="Arial" w:cs="Arial" w:eastAsia="Arial" w:hAnsi="Arial"/>
        </w:rPr>
        <w:t xml:space="preserve"/>
      </w:r>
    </w:p>
    <w:p>
      <w:pPr>
        <w:jc w:val="center"/>
      </w:pPr>
      <w:r>
        <w:rPr>
          <w:rFonts w:ascii="Arial" w:cs="Arial" w:eastAsia="Arial" w:hAnsi="Arial"/>
          <w:color w:val="595959"/>
          <w:sz w:val="24"/>
          <w:szCs w:val="24"/>
        </w:rPr>
        <w:t xml:space="preserve">Project: AI-Powered Knowledge Assistant (RAG Pipeline)</w:t>
      </w:r>
    </w:p>
    <w:p>
      <w:pPr>
        <w:jc w:val="center"/>
      </w:pPr>
      <w:r>
        <w:rPr>
          <w:rFonts w:ascii="Arial" w:cs="Arial" w:eastAsia="Arial" w:hAnsi="Arial"/>
          <w:color w:val="595959"/>
          <w:sz w:val="24"/>
          <w:szCs w:val="24"/>
        </w:rPr>
        <w:t xml:space="preserve">Open-Source Stack vs. AWS Cloud Services</w:t>
      </w:r>
    </w:p>
    <w:p>
      <w:r>
        <w:rPr>
          <w:rFonts w:ascii="Arial" w:cs="Arial" w:eastAsia="Arial" w:hAnsi="Arial"/>
        </w:rPr>
        <w:t xml:space="preserve"/>
      </w:r>
    </w:p>
    <w:p>
      <w:pPr>
        <w:jc w:val="center"/>
      </w:pPr>
      <w:r>
        <w:rPr>
          <w:rFonts w:ascii="Arial" w:cs="Arial" w:eastAsia="Arial" w:hAnsi="Arial"/>
          <w:color w:val="595959"/>
          <w:sz w:val="22"/>
          <w:szCs w:val="22"/>
        </w:rPr>
        <w:t xml:space="preserve">June 2026</w:t>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r>
        <w:br w:type="page"/>
      </w:r>
    </w:p>
    <w:p>
      <w:pPr>
        <w:pStyle w:val="Heading1"/>
      </w:pPr>
      <w:r>
        <w:rPr>
          <w:rFonts w:ascii="Arial" w:cs="Arial" w:eastAsia="Arial" w:hAnsi="Arial"/>
          <w:b/>
          <w:bCs/>
          <w:color w:val="1F4E79"/>
        </w:rPr>
        <w:t xml:space="preserve">Part 1: Project Selection &amp; Infrastructure Mapping</w:t>
      </w:r>
    </w:p>
    <w:p>
      <w:pPr>
        <w:pStyle w:val="Heading2"/>
      </w:pPr>
      <w:r>
        <w:rPr>
          <w:rFonts w:ascii="Arial" w:cs="Arial" w:eastAsia="Arial" w:hAnsi="Arial"/>
          <w:b/>
          <w:bCs/>
          <w:color w:val="2E75B6"/>
        </w:rPr>
        <w:t xml:space="preserve">1.1 Project Description</w:t>
      </w:r>
    </w:p>
    <w:p>
      <w:r>
        <w:rPr>
          <w:rFonts w:ascii="Arial" w:cs="Arial" w:eastAsia="Arial" w:hAnsi="Arial"/>
        </w:rPr>
        <w:t xml:space="preserve">The project is an AI-Powered Knowledge Assistant — a Retrieval-Augmented Generation (RAG) system that allows business users to query a proprietary document corpus via natural language. The system ingests company documents, chunks and embeds them into a vector database, and answers user questions with grounded, cited responses generated by an LLM.</w:t>
      </w:r>
    </w:p>
    <w:p>
      <w:r>
        <w:rPr>
          <w:rFonts w:ascii="Arial" w:cs="Arial" w:eastAsia="Arial" w:hAnsi="Arial"/>
        </w:rPr>
        <w:t xml:space="preserve"/>
      </w:r>
    </w:p>
    <w:p>
      <w:r>
        <w:rPr>
          <w:rFonts w:ascii="Arial" w:cs="Arial" w:eastAsia="Arial" w:hAnsi="Arial"/>
          <w:b/>
          <w:bCs/>
        </w:rPr>
        <w:t xml:space="preserve">Core features:</w:t>
      </w:r>
    </w:p>
    <w:p>
      <w:pPr>
        <w:pStyle w:val="ListParagraph"/>
        <w:numPr>
          <w:ilvl w:val="0"/>
          <w:numId w:val="2"/>
        </w:numPr>
      </w:pPr>
      <w:r>
        <w:rPr>
          <w:rFonts w:ascii="Arial" w:cs="Arial" w:eastAsia="Arial" w:hAnsi="Arial"/>
        </w:rPr>
        <w:t xml:space="preserve">Document ingestion pipeline (PDF, DOCX, TXT) with chunking and embedding</w:t>
      </w:r>
    </w:p>
    <w:p>
      <w:pPr>
        <w:pStyle w:val="ListParagraph"/>
        <w:numPr>
          <w:ilvl w:val="0"/>
          <w:numId w:val="2"/>
        </w:numPr>
      </w:pPr>
      <w:r>
        <w:rPr>
          <w:rFonts w:ascii="Arial" w:cs="Arial" w:eastAsia="Arial" w:hAnsi="Arial"/>
        </w:rPr>
        <w:t xml:space="preserve">Pinecone vector database for semantic similarity search</w:t>
      </w:r>
    </w:p>
    <w:p>
      <w:pPr>
        <w:pStyle w:val="ListParagraph"/>
        <w:numPr>
          <w:ilvl w:val="0"/>
          <w:numId w:val="2"/>
        </w:numPr>
      </w:pPr>
      <w:r>
        <w:rPr>
          <w:rFonts w:ascii="Arial" w:cs="Arial" w:eastAsia="Arial" w:hAnsi="Arial"/>
        </w:rPr>
        <w:t xml:space="preserve">OpenAI GPT-4o-mini / Anthropic Claude for answer generation</w:t>
      </w:r>
    </w:p>
    <w:p>
      <w:pPr>
        <w:pStyle w:val="ListParagraph"/>
        <w:numPr>
          <w:ilvl w:val="0"/>
          <w:numId w:val="2"/>
        </w:numPr>
      </w:pPr>
      <w:r>
        <w:rPr>
          <w:rFonts w:ascii="Arial" w:cs="Arial" w:eastAsia="Arial" w:hAnsi="Arial"/>
        </w:rPr>
        <w:t xml:space="preserve">LangChain + LangGraph agentic workflow with RAG relevance checking</w:t>
      </w:r>
    </w:p>
    <w:p>
      <w:pPr>
        <w:pStyle w:val="ListParagraph"/>
        <w:numPr>
          <w:ilvl w:val="0"/>
          <w:numId w:val="2"/>
        </w:numPr>
      </w:pPr>
      <w:r>
        <w:rPr>
          <w:rFonts w:ascii="Arial" w:cs="Arial" w:eastAsia="Arial" w:hAnsi="Arial"/>
        </w:rPr>
        <w:t xml:space="preserve">n8n workflow automation for ingestion triggers and notifications</w:t>
      </w:r>
    </w:p>
    <w:p>
      <w:pPr>
        <w:pStyle w:val="ListParagraph"/>
        <w:numPr>
          <w:ilvl w:val="0"/>
          <w:numId w:val="2"/>
        </w:numPr>
      </w:pPr>
      <w:r>
        <w:rPr>
          <w:rFonts w:ascii="Arial" w:cs="Arial" w:eastAsia="Arial" w:hAnsi="Arial"/>
        </w:rPr>
        <w:t xml:space="preserve">REST API layer exposing the assistant to a web front-end</w:t>
      </w:r>
    </w:p>
    <w:p>
      <w:pPr>
        <w:pStyle w:val="ListParagraph"/>
        <w:numPr>
          <w:ilvl w:val="0"/>
          <w:numId w:val="2"/>
        </w:numPr>
      </w:pPr>
      <w:r>
        <w:rPr>
          <w:rFonts w:ascii="Arial" w:cs="Arial" w:eastAsia="Arial" w:hAnsi="Arial"/>
        </w:rPr>
        <w:t xml:space="preserve">Evaluation loop (LLM-as-judge) for continuous quality monitoring</w:t>
      </w:r>
    </w:p>
    <w:p>
      <w:r>
        <w:rPr>
          <w:rFonts w:ascii="Arial" w:cs="Arial" w:eastAsia="Arial" w:hAnsi="Arial"/>
        </w:rPr>
        <w:t xml:space="preserve"/>
      </w:r>
    </w:p>
    <w:p>
      <w:pPr>
        <w:pStyle w:val="Heading2"/>
      </w:pPr>
      <w:r>
        <w:rPr>
          <w:rFonts w:ascii="Arial" w:cs="Arial" w:eastAsia="Arial" w:hAnsi="Arial"/>
          <w:b/>
          <w:bCs/>
          <w:color w:val="2E75B6"/>
        </w:rPr>
        <w:t xml:space="preserve">1.2 Current Open-Source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080"/>
        <w:gridCol w:w="3080"/>
      </w:tblGrid>
      <w:tr>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Component</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Tool</w:t>
            </w:r>
          </w:p>
        </w:tc>
        <w:tc>
          <w:tcPr>
            <w:tcW w:type="dxa" w:w="20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Function in Project</w:t>
            </w:r>
          </w:p>
        </w:tc>
        <w:tc>
          <w:tcPr>
            <w:tcW w:type="dxa" w:w="30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Key Features Used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sz w:val="18"/>
                <w:szCs w:val="18"/>
              </w:rPr>
              <w:t xml:space="preserve">Vector Database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Pinecone (Serverless)</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Stores and retrieves document embeddings via cosine similarity</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Serverless index, metadata filtering, upsert/query API</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sz w:val="18"/>
                <w:szCs w:val="18"/>
              </w:rPr>
              <w:t xml:space="preserve">Embedding Model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OpenAI text-embedding-3-small</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Converts text chunks to 1536-dim vectors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1536 dimensions, low cost ($0.02/1M tokens)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sz w:val="18"/>
                <w:szCs w:val="18"/>
              </w:rPr>
              <w:t xml:space="preserve">LLM API</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OpenAI GPT-4o-mini / Anthropic Claude</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Generates grounded answers from retrieved context</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Chat completions, function calling, streaming</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sz w:val="18"/>
                <w:szCs w:val="18"/>
              </w:rPr>
              <w:t xml:space="preserve">Orchestration Framework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LangChain + LangGraph</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RAG pipeline, agentic routing, state management</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LCEL chains, conditional routing, stateful graphs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sz w:val="18"/>
                <w:szCs w:val="18"/>
              </w:rPr>
              <w:t xml:space="preserve">Workflow Automation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n8n (self-hosted)</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Triggers document ingestion, sends notifications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Webhook triggers, REST calls, scheduler, Slack integration</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sz w:val="18"/>
                <w:szCs w:val="18"/>
              </w:rPr>
              <w:t xml:space="preserve">Application Hosting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Hostinger VPS / DigitalOcean</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Hosts FastAPI backend and n8n instance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2 vCPU, 4 GB RAM, Ubuntu 24, Docker</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sz w:val="18"/>
                <w:szCs w:val="18"/>
              </w:rPr>
              <w:t xml:space="preserve">Storage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Local disk + S3-compatible (DigitalOcean Spaces)</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Raw document storage before ingestion</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Object storage, presigned URLs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sz w:val="18"/>
                <w:szCs w:val="18"/>
              </w:rPr>
              <w:t xml:space="preserve">Monitoring / Eval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LangSmith + OpenEvals</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Traces RAG pipeline, LLM-as-judge evaluation</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Run tracing, evaluation datasets, scoring</w:t>
            </w:r>
          </w:p>
        </w:tc>
      </w:tr>
    </w:tbl>
    <w:p>
      <w:r>
        <w:rPr>
          <w:rFonts w:ascii="Arial" w:cs="Arial" w:eastAsia="Arial" w:hAnsi="Arial"/>
        </w:rPr>
        <w:t xml:space="preserve"/>
      </w:r>
    </w:p>
    <w:p>
      <w:pPr>
        <w:pStyle w:val="Heading2"/>
      </w:pPr>
      <w:r>
        <w:rPr>
          <w:rFonts w:ascii="Arial" w:cs="Arial" w:eastAsia="Arial" w:hAnsi="Arial"/>
          <w:b/>
          <w:bCs/>
          <w:color w:val="2E75B6"/>
        </w:rPr>
        <w:t xml:space="preserve">1.3 Vendor Selection: AWS</w:t>
      </w:r>
    </w:p>
    <w:p>
      <w:r>
        <w:rPr>
          <w:rFonts w:ascii="Arial" w:cs="Arial" w:eastAsia="Arial" w:hAnsi="Arial"/>
        </w:rPr>
        <w:t xml:space="preserve">AWS is selected as the comparison vendor due to its dominant market share, comprehensive managed AI/ML services, and mature compliance ecosystem (SOC 2, ISO 27001, GDPR).</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960"/>
        <w:gridCol w:w="340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Current Component</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AWS Equivalent</w:t>
            </w:r>
          </w:p>
        </w:tc>
        <w:tc>
          <w:tcPr>
            <w:tcW w:type="dxa" w:w="1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Key Differences</w:t>
            </w:r>
          </w:p>
        </w:tc>
        <w:tc>
          <w:tcPr>
            <w:tcW w:type="dxa" w:w="3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sz w:val="18"/>
                <w:szCs w:val="18"/>
              </w:rPr>
              <w:t xml:space="preserve">Pinecone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Amazon OpenSearch Serverless (k-NN)</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Managed, integrated with IAM</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Native AWS integration; vector search via approximate k-NN plugin; higher setup complexity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sz w:val="18"/>
                <w:szCs w:val="18"/>
              </w:rPr>
              <w:t xml:space="preserve">OpenAI Embeddings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Amazon Bedrock Titan Embeddings</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No external API call; data stays in AWS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1536-dim model available; priced per token within AWS ecosystem</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sz w:val="18"/>
                <w:szCs w:val="18"/>
              </w:rPr>
              <w:t xml:space="preserve">OpenAI / Claude API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Amazon Bedrock (Claude / Titan / Llama)</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Data sovereignty; no PII leaves AWS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Claude 3.x available via Bedrock; pay-per-token; no separate API key management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sz w:val="18"/>
                <w:szCs w:val="18"/>
              </w:rPr>
              <w:t xml:space="preserve">LangChain + LangGraph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AWS Step Functions + Lambda</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Fully managed; visual workflow designer</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Less Python-native than LangGraph; requires rewriting orchestration logic in ASL</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sz w:val="18"/>
                <w:szCs w:val="18"/>
              </w:rPr>
              <w:t xml:space="preserve">n8n (self-hosted)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Amazon EventBridge + Lambda</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Serverless, event-driven; no server to manage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Less visual than n8n; higher AWS-specific skill requirement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sz w:val="18"/>
                <w:szCs w:val="18"/>
              </w:rPr>
              <w:t xml:space="preserve">Hostinger VPS / DigitalOcean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AWS App Runner / ECS Fargate</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Auto-scaling; managed container runtime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App Runner: simplest path for containerized FastAPI; Fargate for more control</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sz w:val="18"/>
                <w:szCs w:val="18"/>
              </w:rPr>
              <w:t xml:space="preserve">DigitalOcean Spaces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Amazon S3</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S3 is industry standard; deep AWS service integration</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Lifecycle policies, versioning, presigned URLs — feature parity or superior</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sz w:val="18"/>
                <w:szCs w:val="18"/>
              </w:rPr>
              <w:t xml:space="preserve">LangSmith + OpenEvals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Amazon CloudWatch + X-Ray + Bedrock Guardrails</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Native AWS observability; content safety built-in</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Less AI-specific tracing than LangSmith; may need custom dashboards</w:t>
            </w:r>
          </w:p>
        </w:tc>
      </w:tr>
    </w:tbl>
    <w:p>
      <w:r>
        <w:rPr>
          <w:rFonts w:ascii="Arial" w:cs="Arial" w:eastAsia="Arial" w:hAnsi="Arial"/>
        </w:rPr>
        <w:t xml:space="preserve"/>
      </w:r>
    </w:p>
    <w:p>
      <w:r>
        <w:br w:type="page"/>
      </w:r>
    </w:p>
    <w:p>
      <w:pPr>
        <w:pStyle w:val="Heading1"/>
      </w:pPr>
      <w:r>
        <w:rPr>
          <w:rFonts w:ascii="Arial" w:cs="Arial" w:eastAsia="Arial" w:hAnsi="Arial"/>
          <w:b/>
          <w:bCs/>
          <w:color w:val="1F4E79"/>
        </w:rPr>
        <w:t xml:space="preserve">Part 2: PESTLE Analysis</w:t>
      </w:r>
    </w:p>
    <w:p>
      <w:pPr>
        <w:pStyle w:val="Heading2"/>
      </w:pPr>
      <w:r>
        <w:rPr>
          <w:rFonts w:ascii="Arial" w:cs="Arial" w:eastAsia="Arial" w:hAnsi="Arial"/>
          <w:b/>
          <w:bCs/>
          <w:color w:val="2E75B6"/>
        </w:rPr>
        <w:t xml:space="preserve">2.1 Open-Source Stack PESTLE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3660"/>
        <w:gridCol w:w="4660"/>
      </w:tblGrid>
      <w:tr>
        <w:tc>
          <w:tcPr>
            <w:tcW w:type="dxa" w:w="10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Factor</w:t>
            </w:r>
          </w:p>
        </w:tc>
        <w:tc>
          <w:tcPr>
            <w:tcW w:type="dxa" w:w="36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Open-Source Stack Considerations</w:t>
            </w:r>
          </w:p>
        </w:tc>
        <w:tc>
          <w:tcPr>
            <w:tcW w:type="dxa" w:w="46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Implications</w:t>
            </w:r>
          </w:p>
        </w:tc>
      </w:tr>
      <w:tr>
        <w:tc>
          <w:tcPr>
            <w:tcW w:type="dxa" w:w="104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vAlign w:val="top"/>
          </w:tcPr>
          <w:p>
            <w:pPr>
              <w:jc w:val="left"/>
            </w:pPr>
            <w:r>
              <w:rPr>
                <w:rFonts w:ascii="Arial" w:cs="Arial" w:eastAsia="Arial" w:hAnsi="Arial"/>
                <w:b/>
                <w:bCs/>
                <w:sz w:val="18"/>
                <w:szCs w:val="18"/>
              </w:rPr>
              <w:t xml:space="preserve">Political</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No dependency on vendor's geopolitical relationships. Self-hosted infrastructure avoids US-EU data transfer restrictions under Schrems II. Open-source licenses (MIT, Apache 2.0) are politically neutral.</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Client retains full data sovereignty. Regulatory changes in vendor countries do not affect operations. Risk: government funding of open-source ecosystems may shift.</w:t>
            </w:r>
          </w:p>
        </w:tc>
      </w:tr>
      <w:tr>
        <w:tc>
          <w:tcPr>
            <w:tcW w:type="dxa" w:w="104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vAlign w:val="top"/>
          </w:tcPr>
          <w:p>
            <w:pPr>
              <w:jc w:val="left"/>
            </w:pPr>
            <w:r>
              <w:rPr>
                <w:rFonts w:ascii="Arial" w:cs="Arial" w:eastAsia="Arial" w:hAnsi="Arial"/>
                <w:b/>
                <w:bCs/>
                <w:sz w:val="18"/>
                <w:szCs w:val="18"/>
              </w:rPr>
              <w:t xml:space="preserve">Economic</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Lower upfront costs; VPS starts at ~$20/month. No vendor lock-in premium. Costs scale linearly with usage. EUR/USD exchange rate affects API costs (OpenAI, Pinecone) billed in USD.</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Budget predictability is moderate: infrastructure is fixed-cost but API usage is variable. Economic downturns affect smaller hosting providers more than hyperscalers.</w:t>
            </w:r>
          </w:p>
        </w:tc>
      </w:tr>
      <w:tr>
        <w:tc>
          <w:tcPr>
            <w:tcW w:type="dxa" w:w="104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vAlign w:val="top"/>
          </w:tcPr>
          <w:p>
            <w:pPr>
              <w:jc w:val="left"/>
            </w:pPr>
            <w:r>
              <w:rPr>
                <w:rFonts w:ascii="Arial" w:cs="Arial" w:eastAsia="Arial" w:hAnsi="Arial"/>
                <w:b/>
                <w:bCs/>
                <w:sz w:val="18"/>
                <w:szCs w:val="18"/>
              </w:rPr>
              <w:t xml:space="preserve">Social</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Strong developer community (LangChain ~90k GitHub stars). Growing enterprise adoption of open-source AI. Talent pool comfortable with Python + Docker is broad.</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Positive: developer satisfaction with open-source tooling. Risk: client operations team may lack familiarity with CLI-based administration.</w:t>
            </w:r>
          </w:p>
        </w:tc>
      </w:tr>
      <w:tr>
        <w:tc>
          <w:tcPr>
            <w:tcW w:type="dxa" w:w="104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vAlign w:val="top"/>
          </w:tcPr>
          <w:p>
            <w:pPr>
              <w:jc w:val="left"/>
            </w:pPr>
            <w:r>
              <w:rPr>
                <w:rFonts w:ascii="Arial" w:cs="Arial" w:eastAsia="Arial" w:hAnsi="Arial"/>
                <w:b/>
                <w:bCs/>
                <w:sz w:val="18"/>
                <w:szCs w:val="18"/>
              </w:rPr>
              <w:t xml:space="preserve">Technological</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Rapidly evolving ecosystem. LangGraph v0.2+ released frequently. Pinecone adds features regularly. Risk of dependency churn (breaking changes across LangChain versions).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High innovation pace requires active dependency management. Compatibility between LangChain, LangGraph, and Pinecone must be monitored. Docker ensures environment reproducibility.</w:t>
            </w:r>
          </w:p>
        </w:tc>
      </w:tr>
      <w:tr>
        <w:tc>
          <w:tcPr>
            <w:tcW w:type="dxa" w:w="104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vAlign w:val="top"/>
          </w:tcPr>
          <w:p>
            <w:pPr>
              <w:jc w:val="left"/>
            </w:pPr>
            <w:r>
              <w:rPr>
                <w:rFonts w:ascii="Arial" w:cs="Arial" w:eastAsia="Arial" w:hAnsi="Arial"/>
                <w:b/>
                <w:bCs/>
                <w:sz w:val="18"/>
                <w:szCs w:val="18"/>
              </w:rPr>
              <w:t xml:space="preserve">Legal</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Mixed open-source licenses require audit (MIT, Apache 2.0, LGPL). Data processing agreements with OpenAI and Anthropic required for GDPR compliance. Client controls data residency.</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Must conduct license audit before production. GDPR DPA with LLM API providers essential. OpenAI's data processing addendum available; client must sign. Liability stays with client.</w:t>
            </w:r>
          </w:p>
        </w:tc>
      </w:tr>
      <w:tr>
        <w:tc>
          <w:tcPr>
            <w:tcW w:type="dxa" w:w="104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vAlign w:val="top"/>
          </w:tcPr>
          <w:p>
            <w:pPr>
              <w:jc w:val="left"/>
            </w:pPr>
            <w:r>
              <w:rPr>
                <w:rFonts w:ascii="Arial" w:cs="Arial" w:eastAsia="Arial" w:hAnsi="Arial"/>
                <w:b/>
                <w:bCs/>
                <w:sz w:val="18"/>
                <w:szCs w:val="18"/>
              </w:rPr>
              <w:t xml:space="preserve">Ecological</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Self-hosted VPS may run on less energy-efficient hardware than hyperscaler data centers. DigitalOcean publishes sustainability commitments but smaller footprint than AWS green regions.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Carbon footprint higher per compute unit than AWS optimized regions. Can mitigate by choosing green hosting providers (Hetzner, Greenhost). LLM API calls contribute to OpenAI/Anthropic carbon footprint.</w:t>
            </w:r>
          </w:p>
        </w:tc>
      </w:tr>
    </w:tbl>
    <w:p>
      <w:r>
        <w:rPr>
          <w:rFonts w:ascii="Arial" w:cs="Arial" w:eastAsia="Arial" w:hAnsi="Arial"/>
        </w:rPr>
        <w:t xml:space="preserve"/>
      </w:r>
    </w:p>
    <w:p>
      <w:pPr>
        <w:pStyle w:val="Heading2"/>
      </w:pPr>
      <w:r>
        <w:rPr>
          <w:rFonts w:ascii="Arial" w:cs="Arial" w:eastAsia="Arial" w:hAnsi="Arial"/>
          <w:b/>
          <w:bCs/>
          <w:color w:val="2E75B6"/>
        </w:rPr>
        <w:t xml:space="preserve">2.2 AWS Vendor Solution PESTLE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3660"/>
        <w:gridCol w:w="4660"/>
      </w:tblGrid>
      <w:tr>
        <w:tc>
          <w:tcPr>
            <w:tcW w:type="dxa" w:w="10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Factor</w:t>
            </w:r>
          </w:p>
        </w:tc>
        <w:tc>
          <w:tcPr>
            <w:tcW w:type="dxa" w:w="36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AWS Vendor Solution Considerations</w:t>
            </w:r>
          </w:p>
        </w:tc>
        <w:tc>
          <w:tcPr>
            <w:tcW w:type="dxa" w:w="46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Implications</w:t>
            </w:r>
          </w:p>
        </w:tc>
      </w:tr>
      <w:tr>
        <w:tc>
          <w:tcPr>
            <w:tcW w:type="dxa" w:w="104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jc w:val="left"/>
            </w:pPr>
            <w:r>
              <w:rPr>
                <w:rFonts w:ascii="Arial" w:cs="Arial" w:eastAsia="Arial" w:hAnsi="Arial"/>
                <w:b/>
                <w:bCs/>
                <w:sz w:val="18"/>
                <w:szCs w:val="18"/>
              </w:rPr>
              <w:t xml:space="preserve">Political</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AWS is a US-domiciled company subject to US jurisdiction (CLOUD Act). Data stored in EU AWS regions (Frankfurt, Dublin) satisfies GDPR residency but US government access remains legally possible. AWS has government cloud (GovCloud) for sensitive workloads.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Client must evaluate CLOUD Act implications. EU Standard Contractual Clauses (SCCs) required. US export controls may restrict some Bedrock model availability. Geopolitical risk is low but non-zero.</w:t>
            </w:r>
          </w:p>
        </w:tc>
      </w:tr>
      <w:tr>
        <w:tc>
          <w:tcPr>
            <w:tcW w:type="dxa" w:w="104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jc w:val="left"/>
            </w:pPr>
            <w:r>
              <w:rPr>
                <w:rFonts w:ascii="Arial" w:cs="Arial" w:eastAsia="Arial" w:hAnsi="Arial"/>
                <w:b/>
                <w:bCs/>
                <w:sz w:val="18"/>
                <w:szCs w:val="18"/>
              </w:rPr>
              <w:t xml:space="preserve">Economic</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Pay-as-you-go pricing creates variable costs. Reserved instances offer 30-60% savings but require 1-3 year commitments. AWS pricing changes are infrequent but do occur. USD billing creates EUR/USD exposure for European clients.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Year 1 costs higher due to no committed use discounts. Long-term TCO improves with reservations. AWS Free Tier reduces experimentation costs. Risk of bill shock from unexpected traffic spikes.</w:t>
            </w:r>
          </w:p>
        </w:tc>
      </w:tr>
      <w:tr>
        <w:tc>
          <w:tcPr>
            <w:tcW w:type="dxa" w:w="104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jc w:val="left"/>
            </w:pPr>
            <w:r>
              <w:rPr>
                <w:rFonts w:ascii="Arial" w:cs="Arial" w:eastAsia="Arial" w:hAnsi="Arial"/>
                <w:b/>
                <w:bCs/>
                <w:sz w:val="18"/>
                <w:szCs w:val="18"/>
              </w:rPr>
              <w:t xml:space="preserve">Social</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AWS is the most recognized cloud brand globally. Enterprise clients perceive AWS as 'safe choice.' Large talent pool with AWS certifications (8M+ certified professionals). Strong user community (re:Invent, AWS Heroes).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Stakeholder trust is high with AWS choice. Hiring is easier for AWS-skilled roles. Client operations team likely more familiar with cloud consoles than CLI tools. Positive perception from client's board.</w:t>
            </w:r>
          </w:p>
        </w:tc>
      </w:tr>
      <w:tr>
        <w:tc>
          <w:tcPr>
            <w:tcW w:type="dxa" w:w="104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jc w:val="left"/>
            </w:pPr>
            <w:r>
              <w:rPr>
                <w:rFonts w:ascii="Arial" w:cs="Arial" w:eastAsia="Arial" w:hAnsi="Arial"/>
                <w:b/>
                <w:bCs/>
                <w:sz w:val="18"/>
                <w:szCs w:val="18"/>
              </w:rPr>
              <w:t xml:space="preserve">Technological</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AWS Bedrock provides access to Claude 3.x, Llama 3, Titan, and Stable Diffusion. OpenSearch Serverless GA since 2023. App Runner is mature for containerized workloads. Step Functions has extensive connector library.</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Managed services reduce operational burden. AWS releases 2,000+ features/year. Risk: services evolve rapidly and may deprecate features. Bedrock model availability expands frequently — favorable for GenAI workloads.</w:t>
            </w:r>
          </w:p>
        </w:tc>
      </w:tr>
      <w:tr>
        <w:tc>
          <w:tcPr>
            <w:tcW w:type="dxa" w:w="104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jc w:val="left"/>
            </w:pPr>
            <w:r>
              <w:rPr>
                <w:rFonts w:ascii="Arial" w:cs="Arial" w:eastAsia="Arial" w:hAnsi="Arial"/>
                <w:b/>
                <w:bCs/>
                <w:sz w:val="18"/>
                <w:szCs w:val="18"/>
              </w:rPr>
              <w:t xml:space="preserve">Legal</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AWS holds 143 security compliance certifications (SOC 1/2/3, ISO 27001, PCI DSS, HIPAA, GDPR). AWS Data Processing Addendum (DPA) is pre-negotiated. Bedrock does not train on customer data by default.</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Compliance posture is excellent out of the box. Reduces client's audit burden significantly. AWS Business Associate Agreement available for HIPAA. SLA terms are well-defined with financial penalties for downtime.</w:t>
            </w:r>
          </w:p>
        </w:tc>
      </w:tr>
      <w:tr>
        <w:tc>
          <w:tcPr>
            <w:tcW w:type="dxa" w:w="104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jc w:val="left"/>
            </w:pPr>
            <w:r>
              <w:rPr>
                <w:rFonts w:ascii="Arial" w:cs="Arial" w:eastAsia="Arial" w:hAnsi="Arial"/>
                <w:b/>
                <w:bCs/>
                <w:sz w:val="18"/>
                <w:szCs w:val="18"/>
              </w:rPr>
              <w:t xml:space="preserve">Ecological</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AWS committed to 100% renewable energy by 2025 (achieved in 2023). AWS EU regions (Frankfurt) run on renewable energy. Carbon footprint reporting via AWS Customer Carbon Footprint Tool.</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Strong ESG narrative for client's sustainability reporting. AWS's scale enables better energy efficiency than self-hosting. Graviton3 ARM processors are 60% more energy-efficient than x86 equivalents.</w:t>
            </w:r>
          </w:p>
        </w:tc>
      </w:tr>
    </w:tbl>
    <w:p>
      <w:r>
        <w:rPr>
          <w:rFonts w:ascii="Arial" w:cs="Arial" w:eastAsia="Arial" w:hAnsi="Arial"/>
        </w:rPr>
        <w:t xml:space="preserve"/>
      </w:r>
    </w:p>
    <w:p>
      <w:pPr>
        <w:pStyle w:val="Heading2"/>
      </w:pPr>
      <w:r>
        <w:rPr>
          <w:rFonts w:ascii="Arial" w:cs="Arial" w:eastAsia="Arial" w:hAnsi="Arial"/>
          <w:b/>
          <w:bCs/>
          <w:color w:val="2E75B6"/>
        </w:rPr>
        <w:t xml:space="preserve">2.3 PESTLE Comparison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820"/>
        <w:gridCol w:w="1820"/>
        <w:gridCol w:w="4680"/>
      </w:tblGrid>
      <w:tr>
        <w:tc>
          <w:tcPr>
            <w:tcW w:type="dxa" w:w="10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Factor</w:t>
            </w:r>
          </w:p>
        </w:tc>
        <w:tc>
          <w:tcPr>
            <w:tcW w:type="dxa" w:w="18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Open-Source</w:t>
            </w:r>
          </w:p>
        </w:tc>
        <w:tc>
          <w:tcPr>
            <w:tcW w:type="dxa" w:w="18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AWS</w:t>
            </w:r>
          </w:p>
        </w:tc>
        <w:tc>
          <w:tcPr>
            <w:tcW w:type="dxa" w:w="46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Key Distinction</w:t>
            </w:r>
          </w:p>
        </w:tc>
      </w:tr>
      <w:tr>
        <w:tc>
          <w:tcPr>
            <w:tcW w:type="dxa" w:w="10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sz w:val="18"/>
                <w:szCs w:val="18"/>
              </w:rPr>
              <w:t xml:space="preserve">Political</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Favors Open-Source</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Neutral (with EU regions)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Data sovereignty is cleaner with self-hosted; AWS CLOUD Act risk manageable via EU region selection</w:t>
            </w:r>
          </w:p>
        </w:tc>
      </w:tr>
      <w:tr>
        <w:tc>
          <w:tcPr>
            <w:tcW w:type="dxa" w:w="10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sz w:val="18"/>
                <w:szCs w:val="18"/>
              </w:rPr>
              <w:t xml:space="preserve">Economic</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Favors Open-Source (Y1-2)</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Favors AWS (Y3+)</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Open-source wins short-term; AWS reserved instances improve long-term TCO</w:t>
            </w:r>
          </w:p>
        </w:tc>
      </w:tr>
      <w:tr>
        <w:tc>
          <w:tcPr>
            <w:tcW w:type="dxa" w:w="10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sz w:val="18"/>
                <w:szCs w:val="18"/>
              </w:rPr>
              <w:t xml:space="preserve">Social</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Neutral</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Favors AWS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AWS brand recognition and talent pool are advantages; open-source dev satisfaction higher</w:t>
            </w:r>
          </w:p>
        </w:tc>
      </w:tr>
      <w:tr>
        <w:tc>
          <w:tcPr>
            <w:tcW w:type="dxa" w:w="10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sz w:val="18"/>
                <w:szCs w:val="18"/>
              </w:rPr>
              <w:t xml:space="preserve">Technological</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Neutral</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Favors AWS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AWS managed services reduce ops burden; open-source ecosystem evolves faster but less stably</w:t>
            </w:r>
          </w:p>
        </w:tc>
      </w:tr>
      <w:tr>
        <w:tc>
          <w:tcPr>
            <w:tcW w:type="dxa" w:w="10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sz w:val="18"/>
                <w:szCs w:val="18"/>
              </w:rPr>
              <w:t xml:space="preserve">Legal</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Neutral (with DPAs)</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Favors AWS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AWS pre-negotiated compliance certifications dramatically reduce client's audit effort</w:t>
            </w:r>
          </w:p>
        </w:tc>
      </w:tr>
      <w:tr>
        <w:tc>
          <w:tcPr>
            <w:tcW w:type="dxa" w:w="10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sz w:val="18"/>
                <w:szCs w:val="18"/>
              </w:rPr>
              <w:t xml:space="preserve">Ecological</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Slight disadvantage</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Favors AWS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AWS renewable energy commitment and Graviton efficiency exceed typical VPS hosting</w:t>
            </w:r>
          </w:p>
        </w:tc>
      </w:tr>
    </w:tbl>
    <w:p>
      <w:r>
        <w:rPr>
          <w:rFonts w:ascii="Arial" w:cs="Arial" w:eastAsia="Arial" w:hAnsi="Arial"/>
        </w:rPr>
        <w:t xml:space="preserve"/>
      </w:r>
    </w:p>
    <w:p>
      <w:r>
        <w:br w:type="page"/>
      </w:r>
    </w:p>
    <w:p>
      <w:pPr>
        <w:pStyle w:val="Heading1"/>
      </w:pPr>
      <w:r>
        <w:rPr>
          <w:rFonts w:ascii="Arial" w:cs="Arial" w:eastAsia="Arial" w:hAnsi="Arial"/>
          <w:b/>
          <w:bCs/>
          <w:color w:val="1F4E79"/>
        </w:rPr>
        <w:t xml:space="preserve">Part 3: Stakeholder Analysis</w:t>
      </w:r>
    </w:p>
    <w:p>
      <w:pPr>
        <w:pStyle w:val="Heading2"/>
      </w:pPr>
      <w:r>
        <w:rPr>
          <w:rFonts w:ascii="Arial" w:cs="Arial" w:eastAsia="Arial" w:hAnsi="Arial"/>
          <w:b/>
          <w:bCs/>
          <w:color w:val="2E75B6"/>
        </w:rPr>
        <w:t xml:space="preserve">3.1 Stakeholder Identification &amp; Quadrant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560"/>
        <w:gridCol w:w="340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Stakeholder</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Interest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Influence</w:t>
            </w:r>
          </w:p>
        </w:tc>
        <w:tc>
          <w:tcPr>
            <w:tcW w:type="dxa" w:w="1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Quadrant</w:t>
            </w:r>
          </w:p>
        </w:tc>
        <w:tc>
          <w:tcPr>
            <w:tcW w:type="dxa" w:w="3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Key Infrastructure Concerns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Client CEO / Executive Sponsor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High</w:t>
            </w:r>
          </w:p>
        </w:tc>
        <w:tc>
          <w:tcPr>
            <w:tcW w:type="dxa" w:w="1560"/>
            <w:tcBorders>
              <w:top w:val="single" w:color="CCCCCC" w:sz="1"/>
              <w:left w:val="single" w:color="CCCCCC" w:sz="1"/>
              <w:bottom w:val="single" w:color="CCCCCC" w:sz="1"/>
              <w:right w:val="single" w:color="CCCCCC" w:sz="1"/>
            </w:tcBorders>
            <w:shd w:fill="FFD966" w:val="clear"/>
            <w:tcMar>
              <w:top w:type="dxa" w:w="60"/>
              <w:left w:type="dxa" w:w="100"/>
              <w:bottom w:type="dxa" w:w="60"/>
              <w:right w:type="dxa" w:w="100"/>
            </w:tcMar>
            <w:vAlign w:val="top"/>
          </w:tcPr>
          <w:p>
            <w:pPr>
              <w:jc w:val="center"/>
            </w:pPr>
            <w:r>
              <w:rPr>
                <w:rFonts w:ascii="Arial" w:cs="Arial" w:eastAsia="Arial" w:hAnsi="Arial"/>
                <w:b/>
                <w:bCs/>
                <w:sz w:val="18"/>
                <w:szCs w:val="18"/>
              </w:rPr>
              <w:t xml:space="preserve">Q I</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ROI, time to market, competitive advantage, vendor credibility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Client Operations Team Lead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High</w:t>
            </w:r>
          </w:p>
        </w:tc>
        <w:tc>
          <w:tcPr>
            <w:tcW w:type="dxa" w:w="1560"/>
            <w:tcBorders>
              <w:top w:val="single" w:color="CCCCCC" w:sz="1"/>
              <w:left w:val="single" w:color="CCCCCC" w:sz="1"/>
              <w:bottom w:val="single" w:color="CCCCCC" w:sz="1"/>
              <w:right w:val="single" w:color="CCCCCC" w:sz="1"/>
            </w:tcBorders>
            <w:shd w:fill="FFD966" w:val="clear"/>
            <w:tcMar>
              <w:top w:type="dxa" w:w="60"/>
              <w:left w:type="dxa" w:w="100"/>
              <w:bottom w:type="dxa" w:w="60"/>
              <w:right w:type="dxa" w:w="100"/>
            </w:tcMar>
            <w:vAlign w:val="top"/>
          </w:tcPr>
          <w:p>
            <w:pPr>
              <w:jc w:val="center"/>
            </w:pPr>
            <w:r>
              <w:rPr>
                <w:rFonts w:ascii="Arial" w:cs="Arial" w:eastAsia="Arial" w:hAnsi="Arial"/>
                <w:b/>
                <w:bCs/>
                <w:sz w:val="18"/>
                <w:szCs w:val="18"/>
              </w:rPr>
              <w:t xml:space="preserve">Q I</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Maintainability, runbook clarity, incident response, operational cost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Client IT / Security Manager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Low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High</w:t>
            </w:r>
          </w:p>
        </w:tc>
        <w:tc>
          <w:tcPr>
            <w:tcW w:type="dxa" w:w="1560"/>
            <w:tcBorders>
              <w:top w:val="single" w:color="CCCCCC" w:sz="1"/>
              <w:left w:val="single" w:color="CCCCCC" w:sz="1"/>
              <w:bottom w:val="single" w:color="CCCCCC" w:sz="1"/>
              <w:right w:val="single" w:color="CCCCCC" w:sz="1"/>
            </w:tcBorders>
            <w:shd w:fill="A9D18E" w:val="clear"/>
            <w:tcMar>
              <w:top w:type="dxa" w:w="60"/>
              <w:left w:type="dxa" w:w="100"/>
              <w:bottom w:type="dxa" w:w="60"/>
              <w:right w:type="dxa" w:w="100"/>
            </w:tcMar>
            <w:vAlign w:val="top"/>
          </w:tcPr>
          <w:p>
            <w:pPr>
              <w:jc w:val="center"/>
            </w:pPr>
            <w:r>
              <w:rPr>
                <w:rFonts w:ascii="Arial" w:cs="Arial" w:eastAsia="Arial" w:hAnsi="Arial"/>
                <w:b/>
                <w:bCs/>
                <w:sz w:val="18"/>
                <w:szCs w:val="18"/>
              </w:rPr>
              <w:t xml:space="preserve">Q III</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Data residency, compliance certs, access controls, vulnerability mgmt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Client Finance / CFO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Low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High</w:t>
            </w:r>
          </w:p>
        </w:tc>
        <w:tc>
          <w:tcPr>
            <w:tcW w:type="dxa" w:w="1560"/>
            <w:tcBorders>
              <w:top w:val="single" w:color="CCCCCC" w:sz="1"/>
              <w:left w:val="single" w:color="CCCCCC" w:sz="1"/>
              <w:bottom w:val="single" w:color="CCCCCC" w:sz="1"/>
              <w:right w:val="single" w:color="CCCCCC" w:sz="1"/>
            </w:tcBorders>
            <w:shd w:fill="A9D18E" w:val="clear"/>
            <w:tcMar>
              <w:top w:type="dxa" w:w="60"/>
              <w:left w:type="dxa" w:w="100"/>
              <w:bottom w:type="dxa" w:w="60"/>
              <w:right w:type="dxa" w:w="100"/>
            </w:tcMar>
            <w:vAlign w:val="top"/>
          </w:tcPr>
          <w:p>
            <w:pPr>
              <w:jc w:val="center"/>
            </w:pPr>
            <w:r>
              <w:rPr>
                <w:rFonts w:ascii="Arial" w:cs="Arial" w:eastAsia="Arial" w:hAnsi="Arial"/>
                <w:b/>
                <w:bCs/>
                <w:sz w:val="18"/>
                <w:szCs w:val="18"/>
              </w:rPr>
              <w:t xml:space="preserve">Q III</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Budget predictability, TCO, cost overrun risk, invoice format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End Users (Knowledge Workers)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Low</w:t>
            </w:r>
          </w:p>
        </w:tc>
        <w:tc>
          <w:tcPr>
            <w:tcW w:type="dxa" w:w="1560"/>
            <w:tcBorders>
              <w:top w:val="single" w:color="CCCCCC" w:sz="1"/>
              <w:left w:val="single" w:color="CCCCCC" w:sz="1"/>
              <w:bottom w:val="single" w:color="CCCCCC" w:sz="1"/>
              <w:right w:val="single" w:color="CCCCCC" w:sz="1"/>
            </w:tcBorders>
            <w:shd w:fill="9DC3E6" w:val="clear"/>
            <w:tcMar>
              <w:top w:type="dxa" w:w="60"/>
              <w:left w:type="dxa" w:w="100"/>
              <w:bottom w:type="dxa" w:w="60"/>
              <w:right w:type="dxa" w:w="100"/>
            </w:tcMar>
            <w:vAlign w:val="top"/>
          </w:tcPr>
          <w:p>
            <w:pPr>
              <w:jc w:val="center"/>
            </w:pPr>
            <w:r>
              <w:rPr>
                <w:rFonts w:ascii="Arial" w:cs="Arial" w:eastAsia="Arial" w:hAnsi="Arial"/>
                <w:b/>
                <w:bCs/>
                <w:sz w:val="18"/>
                <w:szCs w:val="18"/>
              </w:rPr>
              <w:t xml:space="preserve">Q II</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Response quality, speed (&lt;2s), ease of use, reliability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Development Team (AI Engineers)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Low</w:t>
            </w:r>
          </w:p>
        </w:tc>
        <w:tc>
          <w:tcPr>
            <w:tcW w:type="dxa" w:w="1560"/>
            <w:tcBorders>
              <w:top w:val="single" w:color="CCCCCC" w:sz="1"/>
              <w:left w:val="single" w:color="CCCCCC" w:sz="1"/>
              <w:bottom w:val="single" w:color="CCCCCC" w:sz="1"/>
              <w:right w:val="single" w:color="CCCCCC" w:sz="1"/>
            </w:tcBorders>
            <w:shd w:fill="9DC3E6" w:val="clear"/>
            <w:tcMar>
              <w:top w:type="dxa" w:w="60"/>
              <w:left w:type="dxa" w:w="100"/>
              <w:bottom w:type="dxa" w:w="60"/>
              <w:right w:type="dxa" w:w="100"/>
            </w:tcMar>
            <w:vAlign w:val="top"/>
          </w:tcPr>
          <w:p>
            <w:pPr>
              <w:jc w:val="center"/>
            </w:pPr>
            <w:r>
              <w:rPr>
                <w:rFonts w:ascii="Arial" w:cs="Arial" w:eastAsia="Arial" w:hAnsi="Arial"/>
                <w:b/>
                <w:bCs/>
                <w:sz w:val="18"/>
                <w:szCs w:val="18"/>
              </w:rPr>
              <w:t xml:space="preserve">Q II</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Tooling flexibility, dev experience, CI/CD integration, framework support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External LLM API Providers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Low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Low</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center"/>
            </w:pPr>
            <w:r>
              <w:rPr>
                <w:rFonts w:ascii="Arial" w:cs="Arial" w:eastAsia="Arial" w:hAnsi="Arial"/>
                <w:b/>
                <w:bCs/>
                <w:sz w:val="18"/>
                <w:szCs w:val="18"/>
              </w:rPr>
              <w:t xml:space="preserve">Q IV</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API stability, pricing changes, data processing terms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Compliance / Legal Counsel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Low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High</w:t>
            </w:r>
          </w:p>
        </w:tc>
        <w:tc>
          <w:tcPr>
            <w:tcW w:type="dxa" w:w="1560"/>
            <w:tcBorders>
              <w:top w:val="single" w:color="CCCCCC" w:sz="1"/>
              <w:left w:val="single" w:color="CCCCCC" w:sz="1"/>
              <w:bottom w:val="single" w:color="CCCCCC" w:sz="1"/>
              <w:right w:val="single" w:color="CCCCCC" w:sz="1"/>
            </w:tcBorders>
            <w:shd w:fill="A9D18E" w:val="clear"/>
            <w:tcMar>
              <w:top w:type="dxa" w:w="60"/>
              <w:left w:type="dxa" w:w="100"/>
              <w:bottom w:type="dxa" w:w="60"/>
              <w:right w:type="dxa" w:w="100"/>
            </w:tcMar>
            <w:vAlign w:val="top"/>
          </w:tcPr>
          <w:p>
            <w:pPr>
              <w:jc w:val="center"/>
            </w:pPr>
            <w:r>
              <w:rPr>
                <w:rFonts w:ascii="Arial" w:cs="Arial" w:eastAsia="Arial" w:hAnsi="Arial"/>
                <w:b/>
                <w:bCs/>
                <w:sz w:val="18"/>
                <w:szCs w:val="18"/>
              </w:rPr>
              <w:t xml:space="preserve">Q III</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GDPR compliance, DPA agreements, liability, audit readiness</w:t>
            </w:r>
          </w:p>
        </w:tc>
      </w:tr>
    </w:tbl>
    <w:p>
      <w:r>
        <w:rPr>
          <w:rFonts w:ascii="Arial" w:cs="Arial" w:eastAsia="Arial" w:hAnsi="Arial"/>
        </w:rPr>
        <w:t xml:space="preserve"/>
      </w:r>
    </w:p>
    <w:p>
      <w:pPr>
        <w:pStyle w:val="Heading2"/>
      </w:pPr>
      <w:r>
        <w:rPr>
          <w:rFonts w:ascii="Arial" w:cs="Arial" w:eastAsia="Arial" w:hAnsi="Arial"/>
          <w:b/>
          <w:bCs/>
          <w:color w:val="2E75B6"/>
        </w:rPr>
        <w:t xml:space="preserve">3.2 Engagement Strategies by Quadrant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2320"/>
        <w:gridCol w:w="2600"/>
        <w:gridCol w:w="3400"/>
      </w:tblGrid>
      <w:tr>
        <w:tc>
          <w:tcPr>
            <w:tcW w:type="dxa" w:w="10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Quadrant</w:t>
            </w:r>
          </w:p>
        </w:tc>
        <w:tc>
          <w:tcPr>
            <w:tcW w:type="dxa" w:w="23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Stakeholders</w:t>
            </w:r>
          </w:p>
        </w:tc>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Strategy</w:t>
            </w:r>
          </w:p>
        </w:tc>
        <w:tc>
          <w:tcPr>
            <w:tcW w:type="dxa" w:w="3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Infrastructure-Specific Actions</w:t>
            </w:r>
          </w:p>
        </w:tc>
      </w:tr>
      <w:tr>
        <w:tc>
          <w:tcPr>
            <w:tcW w:type="dxa" w:w="1040"/>
            <w:tcBorders>
              <w:top w:val="single" w:color="CCCCCC" w:sz="1"/>
              <w:left w:val="single" w:color="CCCCCC" w:sz="1"/>
              <w:bottom w:val="single" w:color="CCCCCC" w:sz="1"/>
              <w:right w:val="single" w:color="CCCCCC" w:sz="1"/>
            </w:tcBorders>
            <w:shd w:fill="FFD966" w:val="clear"/>
            <w:tcMar>
              <w:top w:type="dxa" w:w="60"/>
              <w:left w:type="dxa" w:w="100"/>
              <w:bottom w:type="dxa" w:w="60"/>
              <w:right w:type="dxa" w:w="100"/>
            </w:tcMar>
            <w:vAlign w:val="top"/>
          </w:tcPr>
          <w:p>
            <w:pPr>
              <w:jc w:val="left"/>
            </w:pPr>
            <w:r>
              <w:rPr>
                <w:rFonts w:ascii="Arial" w:cs="Arial" w:eastAsia="Arial" w:hAnsi="Arial"/>
                <w:b/>
                <w:bCs/>
                <w:sz w:val="18"/>
                <w:szCs w:val="18"/>
              </w:rPr>
              <w:t xml:space="preserve">Q I
High Interest
High Influence</w:t>
            </w:r>
          </w:p>
        </w:tc>
        <w:tc>
          <w:tcPr>
            <w:tcW w:type="dxa" w:w="23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CEO, Operations Team Lead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Add to steering committee. Bi-weekly decision reviews. Joint sign-off on infrastructure choice.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Present both infrastructure TCO models. Walk through risk matrix together. Involve in vendor selection. Share architecture diagrams and operational runbooks.</w:t>
            </w:r>
          </w:p>
        </w:tc>
      </w:tr>
      <w:tr>
        <w:tc>
          <w:tcPr>
            <w:tcW w:type="dxa" w:w="1040"/>
            <w:tcBorders>
              <w:top w:val="single" w:color="CCCCCC" w:sz="1"/>
              <w:left w:val="single" w:color="CCCCCC" w:sz="1"/>
              <w:bottom w:val="single" w:color="CCCCCC" w:sz="1"/>
              <w:right w:val="single" w:color="CCCCCC" w:sz="1"/>
            </w:tcBorders>
            <w:shd w:fill="9DC3E6" w:val="clear"/>
            <w:tcMar>
              <w:top w:type="dxa" w:w="60"/>
              <w:left w:type="dxa" w:w="100"/>
              <w:bottom w:type="dxa" w:w="60"/>
              <w:right w:type="dxa" w:w="100"/>
            </w:tcMar>
            <w:vAlign w:val="top"/>
          </w:tcPr>
          <w:p>
            <w:pPr>
              <w:jc w:val="left"/>
            </w:pPr>
            <w:r>
              <w:rPr>
                <w:rFonts w:ascii="Arial" w:cs="Arial" w:eastAsia="Arial" w:hAnsi="Arial"/>
                <w:b/>
                <w:bCs/>
                <w:sz w:val="18"/>
                <w:szCs w:val="18"/>
              </w:rPr>
              <w:t xml:space="preserve">Q II
High Interest
Low Influence</w:t>
            </w:r>
          </w:p>
        </w:tc>
        <w:tc>
          <w:tcPr>
            <w:tcW w:type="dxa" w:w="23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End Users, Dev Team</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Core project team members. Regular sprint demos. Feedback loops via surveys and retrospectives.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Demo both infrastructure options and gather UX feedback. Involve dev team in tech stack evaluation. Conduct usability tests. Dev team evaluates AWS SDK vs open-source library DX.</w:t>
            </w:r>
          </w:p>
        </w:tc>
      </w:tr>
      <w:tr>
        <w:tc>
          <w:tcPr>
            <w:tcW w:type="dxa" w:w="1040"/>
            <w:tcBorders>
              <w:top w:val="single" w:color="CCCCCC" w:sz="1"/>
              <w:left w:val="single" w:color="CCCCCC" w:sz="1"/>
              <w:bottom w:val="single" w:color="CCCCCC" w:sz="1"/>
              <w:right w:val="single" w:color="CCCCCC" w:sz="1"/>
            </w:tcBorders>
            <w:shd w:fill="A9D18E" w:val="clear"/>
            <w:tcMar>
              <w:top w:type="dxa" w:w="60"/>
              <w:left w:type="dxa" w:w="100"/>
              <w:bottom w:type="dxa" w:w="60"/>
              <w:right w:type="dxa" w:w="100"/>
            </w:tcMar>
            <w:vAlign w:val="top"/>
          </w:tcPr>
          <w:p>
            <w:pPr>
              <w:jc w:val="left"/>
            </w:pPr>
            <w:r>
              <w:rPr>
                <w:rFonts w:ascii="Arial" w:cs="Arial" w:eastAsia="Arial" w:hAnsi="Arial"/>
                <w:b/>
                <w:bCs/>
                <w:sz w:val="18"/>
                <w:szCs w:val="18"/>
              </w:rPr>
              <w:t xml:space="preserve">Q III
Low Interest
High Influence</w:t>
            </w:r>
          </w:p>
        </w:tc>
        <w:tc>
          <w:tcPr>
            <w:tcW w:type="dxa" w:w="23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IT/Security, CFO, Legal Counsel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Advisory board. Monthly written updates. Proactive risk briefings. Escalate only when decisions require their authority.</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Provide compliance comparison matrix (AWS certifications vs self-managed). Prepare budget variance report. Submit GDPR DPA checklist for legal review. One-page security posture summary per approach.</w:t>
            </w:r>
          </w:p>
        </w:tc>
      </w:tr>
      <w:tr>
        <w:tc>
          <w:tcPr>
            <w:tcW w:type="dxa" w:w="10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sz w:val="18"/>
                <w:szCs w:val="18"/>
              </w:rPr>
              <w:t xml:space="preserve">Q IV
Low Interest
Low Influence</w:t>
            </w:r>
          </w:p>
        </w:tc>
        <w:tc>
          <w:tcPr>
            <w:tcW w:type="dxa" w:w="23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External API Providers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Situational briefings. Monitor for changes in terms or pricing. No active engagement unless triggered by a change event.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Subscribe to vendor status pages and changelog alerts. Monitor AWS Bedrock pricing updates and OpenAI policy changes. Document DPA status for each provider.</w:t>
            </w:r>
          </w:p>
        </w:tc>
      </w:tr>
    </w:tbl>
    <w:p>
      <w:r>
        <w:rPr>
          <w:rFonts w:ascii="Arial" w:cs="Arial" w:eastAsia="Arial" w:hAnsi="Arial"/>
        </w:rPr>
        <w:t xml:space="preserve"/>
      </w:r>
    </w:p>
    <w:p>
      <w:r>
        <w:br w:type="page"/>
      </w:r>
    </w:p>
    <w:p>
      <w:pPr>
        <w:pStyle w:val="Heading1"/>
      </w:pPr>
      <w:r>
        <w:rPr>
          <w:rFonts w:ascii="Arial" w:cs="Arial" w:eastAsia="Arial" w:hAnsi="Arial"/>
          <w:b/>
          <w:bCs/>
          <w:color w:val="1F4E79"/>
        </w:rPr>
        <w:t xml:space="preserve">Part 4: Project Objectives</w:t>
      </w:r>
    </w:p>
    <w:p>
      <w:pPr>
        <w:pStyle w:val="Heading2"/>
      </w:pPr>
      <w:r>
        <w:rPr>
          <w:rFonts w:ascii="Arial" w:cs="Arial" w:eastAsia="Arial" w:hAnsi="Arial"/>
          <w:b/>
          <w:bCs/>
          <w:color w:val="2E75B6"/>
        </w:rPr>
        <w:t xml:space="preserve">4.1 Open-Source Stack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Objective</w:t>
            </w:r>
          </w:p>
        </w:tc>
        <w:tc>
          <w:tcPr>
            <w:tcW w:type="dxa" w:w="5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Rationale (Criteria Met)</w:t>
            </w:r>
          </w:p>
        </w:tc>
      </w:tr>
      <w:tr>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OSO-01: Deploy a self-hosted RAG knowledge assistant using Pinecone, n8n, and LangGraph within 10 weeks of project kick-off.</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Precise &amp; Quantifiable. Anchors delivery to a specific timeframe and named technologies without over-constraining the solution.</w:t>
            </w:r>
          </w:p>
        </w:tc>
      </w:tr>
      <w:tr>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OSO-02: Achieve end-to-end answer latency below 3 seconds at the 95th percentile under normal load (up to 50 concurrent users).</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Measurable performance objective. Allows operations team to baseline and monitor using open-source APM tools.</w:t>
            </w:r>
          </w:p>
        </w:tc>
      </w:tr>
      <w:tr>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OSO-03: Keep total infrastructure operating cost below €600/month in Year 1, inclusive of hosting, API usage, and storage.</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Cost-bounded and quantifiable. Enables finance stakeholder sign-off and creates a defensible budget line.</w:t>
            </w:r>
          </w:p>
        </w:tc>
      </w:tr>
      <w:tr>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OSO-04: Enable the client's operations team to independently handle tier-1 incidents (restart services, re-run ingestion pipelines) within 4 weeks of handover, using documented runbooks.</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Addresses the no-DevOps constraint. Quantifies the readiness milestone and operational independence goal.</w:t>
            </w:r>
          </w:p>
        </w:tc>
      </w:tr>
      <w:tr>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OSO-05: Ensure all client document data remains within client-controlled or EU-hosted infrastructure at all times.</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Data sovereignty objective — solution-neutral on which EU hosting provider, but explicit about the residency requirement.</w:t>
            </w:r>
          </w:p>
        </w:tc>
      </w:tr>
      <w:tr>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OSO-06: Achieve a RAG evaluation score of ≥ 0.80 on answer faithfulness and ≥ 0.75 on answer relevance using LLM-as-judge methodology on the baseline test set of 50 questions.</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Quantifiable quality gate derived from the LangSmith evaluation framework already in the project stack.</w:t>
            </w:r>
          </w:p>
        </w:tc>
      </w:tr>
    </w:tbl>
    <w:p>
      <w:r>
        <w:rPr>
          <w:rFonts w:ascii="Arial" w:cs="Arial" w:eastAsia="Arial" w:hAnsi="Arial"/>
        </w:rPr>
        <w:t xml:space="preserve"/>
      </w:r>
    </w:p>
    <w:p>
      <w:pPr>
        <w:pStyle w:val="Heading3"/>
      </w:pPr>
      <w:r>
        <w:rPr>
          <w:rFonts w:ascii="Arial" w:cs="Arial" w:eastAsia="Arial" w:hAnsi="Arial"/>
          <w:b/>
          <w:bCs/>
          <w:color w:val="17375E"/>
        </w:rPr>
        <w:t xml:space="preserve">Triple Constraint — Open-Source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Constraint</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Definition</w:t>
            </w:r>
          </w:p>
        </w:tc>
        <w:tc>
          <w:tcPr>
            <w:tcW w:type="dxa" w:w="56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Metrics / Details</w:t>
            </w:r>
          </w:p>
        </w:tc>
      </w:tr>
      <w:tr>
        <w:tc>
          <w:tcPr>
            <w:tcW w:type="dxa" w:w="150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vAlign w:val="top"/>
          </w:tcPr>
          <w:p>
            <w:pPr>
              <w:jc w:val="left"/>
            </w:pPr>
            <w:r>
              <w:rPr>
                <w:rFonts w:ascii="Arial" w:cs="Arial" w:eastAsia="Arial" w:hAnsi="Arial"/>
                <w:b/>
                <w:bCs/>
                <w:sz w:val="18"/>
                <w:szCs w:val="18"/>
              </w:rPr>
              <w:t xml:space="preserve">Quality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RAG eval score ≥ 0.80 faithfulness, ≥ 0.75 relevance; 99% uptime during business hours; P95 latency &lt; 3s</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LLM-as-judge evaluations via LangSmith/OpenEvals; uptime monitored via UptimeRobot; latency via APM logging</w:t>
            </w:r>
          </w:p>
        </w:tc>
      </w:tr>
      <w:tr>
        <w:tc>
          <w:tcPr>
            <w:tcW w:type="dxa" w:w="150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vAlign w:val="top"/>
          </w:tcPr>
          <w:p>
            <w:pPr>
              <w:jc w:val="left"/>
            </w:pPr>
            <w:r>
              <w:rPr>
                <w:rFonts w:ascii="Arial" w:cs="Arial" w:eastAsia="Arial" w:hAnsi="Arial"/>
                <w:b/>
                <w:bCs/>
                <w:sz w:val="18"/>
                <w:szCs w:val="18"/>
              </w:rPr>
              <w:t xml:space="preserve">Time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Week 1-2: Infra setup &amp; dev environment; Week 3-5: Core RAG pipeline; Week 6-7: n8n automation; Week 8-9: Evaluation &amp; QA; Week 10: Client handover</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Longer timeline than AWS due to manual infrastructure provisioning and operations team training requirement</w:t>
            </w:r>
          </w:p>
        </w:tc>
      </w:tr>
      <w:tr>
        <w:tc>
          <w:tcPr>
            <w:tcW w:type="dxa" w:w="150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vAlign w:val="top"/>
          </w:tcPr>
          <w:p>
            <w:pPr>
              <w:jc w:val="left"/>
            </w:pPr>
            <w:r>
              <w:rPr>
                <w:rFonts w:ascii="Arial" w:cs="Arial" w:eastAsia="Arial" w:hAnsi="Arial"/>
                <w:b/>
                <w:bCs/>
                <w:sz w:val="18"/>
                <w:szCs w:val="18"/>
              </w:rPr>
              <w:t xml:space="preserve">Cost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Month 1-3: €450/mo (setup-heavy); Month 4-12: €380/mo steady-state; Year 1 Total: ~€4,750; 3-Year TCO: ~€13,200</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Dominated by VPS hosting (~€80/mo), API costs (~€200/mo), and n8n overhead (~€30/mo). Lower than AWS in Y1-2.</w:t>
            </w:r>
          </w:p>
        </w:tc>
      </w:tr>
    </w:tbl>
    <w:p>
      <w:r>
        <w:rPr>
          <w:rFonts w:ascii="Arial" w:cs="Arial" w:eastAsia="Arial" w:hAnsi="Arial"/>
        </w:rPr>
        <w:t xml:space="preserve"/>
      </w:r>
    </w:p>
    <w:p>
      <w:pPr>
        <w:pStyle w:val="Heading2"/>
      </w:pPr>
      <w:r>
        <w:rPr>
          <w:rFonts w:ascii="Arial" w:cs="Arial" w:eastAsia="Arial" w:hAnsi="Arial"/>
          <w:b/>
          <w:bCs/>
          <w:color w:val="2E75B6"/>
        </w:rPr>
        <w:t xml:space="preserve">4.2 AWS Vendor Solution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Objective</w:t>
            </w:r>
          </w:p>
        </w:tc>
        <w:tc>
          <w:tcPr>
            <w:tcW w:type="dxa" w:w="5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Rationale (Criteria Met)</w:t>
            </w:r>
          </w:p>
        </w:tc>
      </w:tr>
      <w:tr>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AWO-01: Deploy the knowledge assistant on AWS (App Runner, Bedrock, OpenSearch Serverless) within 7 weeks of project kick-off.</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Shorter timeline than open-source due to managed service provisioning via CloudFormation/CDK.</w:t>
            </w:r>
          </w:p>
        </w:tc>
      </w:tr>
      <w:tr>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AWO-02: Achieve end-to-end answer latency below 2 seconds at the 95th percentile under normal load (up to 50 concurrent users), leveraging AWS auto-scaling.</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Stricter latency target justified by managed infrastructure and Bedrock's co-located embedding + inference.</w:t>
            </w:r>
          </w:p>
        </w:tc>
      </w:tr>
      <w:tr>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AWO-03: Maintain system availability at 99.9% (≤ 8.76 hours downtime/year) backed by AWS SLA agreements.</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Vendor-guaranteed SLA with financial penalty clauses — stronger than self-hosted uptime guarantees.</w:t>
            </w:r>
          </w:p>
        </w:tc>
      </w:tr>
      <w:tr>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AWO-04: Enable the client's operations team to manage the system end-to-end through the AWS Management Console and CloudWatch dashboards within 3 weeks of handover.</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Shorter onboarding timeline than open-source; AWS Console lowers the technical barrier for the operations team.</w:t>
            </w:r>
          </w:p>
        </w:tc>
      </w:tr>
      <w:tr>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AWO-05: Scale the vector search layer automatically to handle up to 500 concurrent users without manual intervention.</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OpenSearch Serverless auto-scales — solution-neutral on the exact scaling mechanism, outcome-focused.</w:t>
            </w:r>
          </w:p>
        </w:tc>
      </w:tr>
      <w:tr>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AWO-06: Achieve a RAG evaluation score of ≥ 0.82 on answer faithfulness and ≥ 0.78 on answer relevance using Bedrock Guardrails evaluation on the baseline test set.</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Slightly higher targets justified by Bedrock's optimized model-to-retrieval latency and content filtering.</w:t>
            </w:r>
          </w:p>
        </w:tc>
      </w:tr>
    </w:tbl>
    <w:p>
      <w:r>
        <w:rPr>
          <w:rFonts w:ascii="Arial" w:cs="Arial" w:eastAsia="Arial" w:hAnsi="Arial"/>
        </w:rPr>
        <w:t xml:space="preserve"/>
      </w:r>
    </w:p>
    <w:p>
      <w:pPr>
        <w:pStyle w:val="Heading3"/>
      </w:pPr>
      <w:r>
        <w:rPr>
          <w:rFonts w:ascii="Arial" w:cs="Arial" w:eastAsia="Arial" w:hAnsi="Arial"/>
          <w:b/>
          <w:bCs/>
          <w:color w:val="17375E"/>
        </w:rPr>
        <w:t xml:space="preserve">Triple Constraint — AWS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Constraint</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Definition</w:t>
            </w:r>
          </w:p>
        </w:tc>
        <w:tc>
          <w:tcPr>
            <w:tcW w:type="dxa" w:w="56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Metrics / Details</w:t>
            </w:r>
          </w:p>
        </w:tc>
      </w:tr>
      <w:tr>
        <w:tc>
          <w:tcPr>
            <w:tcW w:type="dxa" w:w="15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jc w:val="left"/>
            </w:pPr>
            <w:r>
              <w:rPr>
                <w:rFonts w:ascii="Arial" w:cs="Arial" w:eastAsia="Arial" w:hAnsi="Arial"/>
                <w:b/>
                <w:bCs/>
                <w:sz w:val="18"/>
                <w:szCs w:val="18"/>
              </w:rPr>
              <w:t xml:space="preserve">Quality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RAG eval ≥ 0.82 faithfulness, ≥ 0.78 relevance; 99.9% uptime (AWS SLA); P95 latency &lt; 2s</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Bedrock Guardrails evaluation; CloudWatch SLA monitoring; X-Ray distributed tracing for latency breakdown</w:t>
            </w:r>
          </w:p>
        </w:tc>
      </w:tr>
      <w:tr>
        <w:tc>
          <w:tcPr>
            <w:tcW w:type="dxa" w:w="15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jc w:val="left"/>
            </w:pPr>
            <w:r>
              <w:rPr>
                <w:rFonts w:ascii="Arial" w:cs="Arial" w:eastAsia="Arial" w:hAnsi="Arial"/>
                <w:b/>
                <w:bCs/>
                <w:sz w:val="18"/>
                <w:szCs w:val="18"/>
              </w:rPr>
              <w:t xml:space="preserve">Time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Week 1-2: AWS account setup, VPC, IAM, CDK stack; Week 3-4: Bedrock + OpenSearch; Week 5: App Runner; Week 6: EventBridge automation; Week 7: Monitoring &amp; handover</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Shorter timeline due to IaC (CDK) provisioning; managed services eliminate server config time</w:t>
            </w:r>
          </w:p>
        </w:tc>
      </w:tr>
      <w:tr>
        <w:tc>
          <w:tcPr>
            <w:tcW w:type="dxa" w:w="15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jc w:val="left"/>
            </w:pPr>
            <w:r>
              <w:rPr>
                <w:rFonts w:ascii="Arial" w:cs="Arial" w:eastAsia="Arial" w:hAnsi="Arial"/>
                <w:b/>
                <w:bCs/>
                <w:sz w:val="18"/>
                <w:szCs w:val="18"/>
              </w:rPr>
              <w:t xml:space="preserve">Cost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Month 1-3: €820/mo (higher during setup); Month 4-12: €650/mo steady-state; Year 1 Total: ~€7,950; 3-Year TCO: ~€22,500</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Bedrock inference and OpenSearch Serverless dominate costs; Reserved Instance savings not applicable to serverless services</w:t>
            </w:r>
          </w:p>
        </w:tc>
      </w:tr>
    </w:tbl>
    <w:p>
      <w:r>
        <w:rPr>
          <w:rFonts w:ascii="Arial" w:cs="Arial" w:eastAsia="Arial" w:hAnsi="Arial"/>
        </w:rPr>
        <w:t xml:space="preserve"/>
      </w:r>
    </w:p>
    <w:p>
      <w:r>
        <w:br w:type="page"/>
      </w:r>
    </w:p>
    <w:p>
      <w:pPr>
        <w:pStyle w:val="Heading1"/>
      </w:pPr>
      <w:r>
        <w:rPr>
          <w:rFonts w:ascii="Arial" w:cs="Arial" w:eastAsia="Arial" w:hAnsi="Arial"/>
          <w:b/>
          <w:bCs/>
          <w:color w:val="1F4E79"/>
        </w:rPr>
        <w:t xml:space="preserve">Part 5: Risk Assessment</w:t>
      </w:r>
    </w:p>
    <w:p>
      <w:pPr>
        <w:pStyle w:val="Heading2"/>
      </w:pPr>
      <w:r>
        <w:rPr>
          <w:rFonts w:ascii="Arial" w:cs="Arial" w:eastAsia="Arial" w:hAnsi="Arial"/>
          <w:b/>
          <w:bCs/>
          <w:color w:val="2E75B6"/>
        </w:rPr>
        <w:t xml:space="preserve">5.1 Open-Source Stack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560"/>
        <w:gridCol w:w="560"/>
        <w:gridCol w:w="1760"/>
        <w:gridCol w:w="2480"/>
        <w:gridCol w:w="1200"/>
      </w:tblGrid>
      <w:tr>
        <w:tc>
          <w:tcPr>
            <w:tcW w:type="dxa" w:w="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Risk Description</w:t>
            </w:r>
          </w:p>
        </w:tc>
        <w:tc>
          <w:tcPr>
            <w:tcW w:type="dxa" w:w="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Prob</w:t>
            </w:r>
          </w:p>
        </w:tc>
        <w:tc>
          <w:tcPr>
            <w:tcW w:type="dxa" w:w="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Impact</w:t>
            </w:r>
          </w:p>
        </w:tc>
        <w:tc>
          <w:tcPr>
            <w:tcW w:type="dxa" w:w="1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Strategy</w:t>
            </w:r>
          </w:p>
        </w:tc>
        <w:tc>
          <w:tcPr>
            <w:tcW w:type="dxa" w:w="24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Mitigation Actions</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Owner</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sz w:val="18"/>
                <w:szCs w:val="18"/>
              </w:rPr>
              <w:t xml:space="preserve">R01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Operations team lacks DevOps skills to manage self-hosted infra (Docker, Linux, networking)</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b/>
                <w:bCs/>
                <w:color w:val="C00000"/>
                <w:sz w:val="18"/>
                <w:szCs w:val="18"/>
              </w:rPr>
              <w:t xml:space="preserve">High</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b/>
                <w:bCs/>
                <w:color w:val="C00000"/>
                <w:sz w:val="18"/>
                <w:szCs w:val="18"/>
              </w:rPr>
              <w:t xml:space="preserve">High</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Reduction + Transfer</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Comprehensive runbooks; bi-weekly DevOps training sessions; SLA with hosting provider for escalation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Project Lead</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sz w:val="18"/>
                <w:szCs w:val="18"/>
              </w:rPr>
              <w:t xml:space="preserve">R02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Pinecone pricing increases or service deprecation forces costly migration</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b/>
                <w:bCs/>
                <w:color w:val="375623"/>
                <w:sz w:val="18"/>
                <w:szCs w:val="18"/>
              </w:rPr>
              <w:t xml:space="preserve">Low</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b/>
                <w:bCs/>
                <w:color w:val="C00000"/>
                <w:sz w:val="18"/>
                <w:szCs w:val="18"/>
              </w:rPr>
              <w:t xml:space="preserve">High</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Reduction + Avoidance</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Abstract vector DB layer with LangChain; test Qdrant as fallback; monitor Pinecone changelog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Dev Team</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sz w:val="18"/>
                <w:szCs w:val="18"/>
              </w:rPr>
              <w:t xml:space="preserve">R03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OpenAI/Anthropic API outage causes system downtime</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b/>
                <w:bCs/>
                <w:color w:val="E26B0A"/>
                <w:sz w:val="18"/>
                <w:szCs w:val="18"/>
              </w:rPr>
              <w:t xml:space="preserve">Med</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b/>
                <w:bCs/>
                <w:color w:val="C00000"/>
                <w:sz w:val="18"/>
                <w:szCs w:val="18"/>
              </w:rPr>
              <w:t xml:space="preserve">High</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Mitigation + Transfer</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Multi-provider fallback (OpenAI → Anthropic via LangChain provider switch); circuit breaker pattern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Dev Team</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sz w:val="18"/>
                <w:szCs w:val="18"/>
              </w:rPr>
              <w:t xml:space="preserve">R04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Dependency churn: LangChain/LangGraph breaking changes across versions</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b/>
                <w:bCs/>
                <w:color w:val="C00000"/>
                <w:sz w:val="18"/>
                <w:szCs w:val="18"/>
              </w:rPr>
              <w:t xml:space="preserve">High</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b/>
                <w:bCs/>
                <w:color w:val="E26B0A"/>
                <w:sz w:val="18"/>
                <w:szCs w:val="18"/>
              </w:rPr>
              <w:t xml:space="preserve">Med</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Reduction</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Pin dependency versions; maintain changelog review cadence; isolated virtual environments per service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Dev Team</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sz w:val="18"/>
                <w:szCs w:val="18"/>
              </w:rPr>
              <w:t xml:space="preserve">R05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Security breach due to exposed VPS or misconfigured n8n webhooks</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b/>
                <w:bCs/>
                <w:color w:val="E26B0A"/>
                <w:sz w:val="18"/>
                <w:szCs w:val="18"/>
              </w:rPr>
              <w:t xml:space="preserve">Med</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b/>
                <w:bCs/>
                <w:color w:val="C00000"/>
                <w:sz w:val="18"/>
                <w:szCs w:val="18"/>
              </w:rPr>
              <w:t xml:space="preserve">High</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Avoidance + Reduction</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Harden VPS (UFW, fail2ban, SSH keys only); n8n behind reverse proxy with auth; quarterly security audit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Ops Team</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sz w:val="18"/>
                <w:szCs w:val="18"/>
              </w:rPr>
              <w:t xml:space="preserve">R06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Uncontrolled API cost overrun from unexpected usage spike</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b/>
                <w:bCs/>
                <w:color w:val="E26B0A"/>
                <w:sz w:val="18"/>
                <w:szCs w:val="18"/>
              </w:rPr>
              <w:t xml:space="preserve">Med</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b/>
                <w:bCs/>
                <w:color w:val="E26B0A"/>
                <w:sz w:val="18"/>
                <w:szCs w:val="18"/>
              </w:rPr>
              <w:t xml:space="preserve">Med</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Reduction + Acceptance</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Token usage monitoring via LangSmith; hard spend limits via OpenAI account settings; alert at 80% budget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Dev Team</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sz w:val="18"/>
                <w:szCs w:val="18"/>
              </w:rPr>
              <w:t xml:space="preserve">R07</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RAG model returns hallucinated or harmful answers (model failure)</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b/>
                <w:bCs/>
                <w:color w:val="E26B0A"/>
                <w:sz w:val="18"/>
                <w:szCs w:val="18"/>
              </w:rPr>
              <w:t xml:space="preserve">Med</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b/>
                <w:bCs/>
                <w:color w:val="C00000"/>
                <w:sz w:val="18"/>
                <w:szCs w:val="18"/>
              </w:rPr>
              <w:t xml:space="preserve">High</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Reduction + Mitigation</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LLM-as-judge evaluation on every release; citation grounding enforced in prompt; fallback to 'I don't know' response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Dev Team</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sz w:val="18"/>
                <w:szCs w:val="18"/>
              </w:rPr>
              <w:t xml:space="preserve">R08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Data quality issues (poor chunking, noisy documents) degrade retrieval</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b/>
                <w:bCs/>
                <w:color w:val="E26B0A"/>
                <w:sz w:val="18"/>
                <w:szCs w:val="18"/>
              </w:rPr>
              <w:t xml:space="preserve">Med</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b/>
                <w:bCs/>
                <w:color w:val="E26B0A"/>
                <w:sz w:val="18"/>
                <w:szCs w:val="18"/>
              </w:rPr>
              <w:t xml:space="preserve">Med</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Reduction</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Document preprocessing pipeline with quality checks; manual review of low-confidence retrievals; chunking evaluation metrics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Dev Team</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sz w:val="18"/>
                <w:szCs w:val="18"/>
              </w:rPr>
              <w:t xml:space="preserve">R09</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User misuse: prompt injection attempts or extracting system prompt</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b/>
                <w:bCs/>
                <w:color w:val="E26B0A"/>
                <w:sz w:val="18"/>
                <w:szCs w:val="18"/>
              </w:rPr>
              <w:t xml:space="preserve">Med</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b/>
                <w:bCs/>
                <w:color w:val="E26B0A"/>
                <w:sz w:val="18"/>
                <w:szCs w:val="18"/>
              </w:rPr>
              <w:t xml:space="preserve">Med</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Reduction + Mitigation</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Input sanitization; system prompt hardening; rate limiting per user; output filtering for PII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Dev Team</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sz w:val="18"/>
                <w:szCs w:val="18"/>
              </w:rPr>
              <w:t xml:space="preserve">R10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n8n self-hosted instance becomes a single point of failure for ingestion</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b/>
                <w:bCs/>
                <w:color w:val="E26B0A"/>
                <w:sz w:val="18"/>
                <w:szCs w:val="18"/>
              </w:rPr>
              <w:t xml:space="preserve">Med</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b/>
                <w:bCs/>
                <w:color w:val="E26B0A"/>
                <w:sz w:val="18"/>
                <w:szCs w:val="18"/>
              </w:rPr>
              <w:t xml:space="preserve">Med</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Reduction + Acceptance</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n8n health monitoring; manual ingestion script as fallback; weekly backup of n8n config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Ops Team</w:t>
            </w:r>
          </w:p>
        </w:tc>
      </w:tr>
    </w:tbl>
    <w:p>
      <w:r>
        <w:rPr>
          <w:rFonts w:ascii="Arial" w:cs="Arial" w:eastAsia="Arial" w:hAnsi="Arial"/>
        </w:rPr>
        <w:t xml:space="preserve"/>
      </w:r>
    </w:p>
    <w:p>
      <w:pPr>
        <w:pStyle w:val="Heading2"/>
      </w:pPr>
      <w:r>
        <w:rPr>
          <w:rFonts w:ascii="Arial" w:cs="Arial" w:eastAsia="Arial" w:hAnsi="Arial"/>
          <w:b/>
          <w:bCs/>
          <w:color w:val="2E75B6"/>
        </w:rPr>
        <w:t xml:space="preserve">5.2 AWS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560"/>
        <w:gridCol w:w="560"/>
        <w:gridCol w:w="1760"/>
        <w:gridCol w:w="2480"/>
        <w:gridCol w:w="1200"/>
      </w:tblGrid>
      <w:tr>
        <w:tc>
          <w:tcPr>
            <w:tcW w:type="dxa" w:w="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Risk Description</w:t>
            </w:r>
          </w:p>
        </w:tc>
        <w:tc>
          <w:tcPr>
            <w:tcW w:type="dxa" w:w="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Prob</w:t>
            </w:r>
          </w:p>
        </w:tc>
        <w:tc>
          <w:tcPr>
            <w:tcW w:type="dxa" w:w="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Impact</w:t>
            </w:r>
          </w:p>
        </w:tc>
        <w:tc>
          <w:tcPr>
            <w:tcW w:type="dxa" w:w="1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Strategy</w:t>
            </w:r>
          </w:p>
        </w:tc>
        <w:tc>
          <w:tcPr>
            <w:tcW w:type="dxa" w:w="24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Mitigation Actions</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Owner</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sz w:val="18"/>
                <w:szCs w:val="18"/>
              </w:rPr>
              <w:t xml:space="preserve">R01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Vendor lock-in: migrating away from Bedrock/OpenSearch requires significant rewrite</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b/>
                <w:bCs/>
                <w:color w:val="E26B0A"/>
                <w:sz w:val="18"/>
                <w:szCs w:val="18"/>
              </w:rPr>
              <w:t xml:space="preserve">Med</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b/>
                <w:bCs/>
                <w:color w:val="C00000"/>
                <w:sz w:val="18"/>
                <w:szCs w:val="18"/>
              </w:rPr>
              <w:t xml:space="preserve">High</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Reduction + Acceptance</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Abstraction layers in code; document migration runbook; evaluate open-source fallbacks annually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Project Lead</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sz w:val="18"/>
                <w:szCs w:val="18"/>
              </w:rPr>
              <w:t xml:space="preserve">R02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AWS cost overrun from misconfigured auto-scaling or unexpected Bedrock token consumption</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b/>
                <w:bCs/>
                <w:color w:val="C00000"/>
                <w:sz w:val="18"/>
                <w:szCs w:val="18"/>
              </w:rPr>
              <w:t xml:space="preserve">High</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b/>
                <w:bCs/>
                <w:color w:val="C00000"/>
                <w:sz w:val="18"/>
                <w:szCs w:val="18"/>
              </w:rPr>
              <w:t xml:space="preserve">High</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Reduction + Transfer</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AWS Budgets with hard limits; Cost Anomaly Detection alerts; Bedrock token quotas; weekly FinOps review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Finance + Ops</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sz w:val="18"/>
                <w:szCs w:val="18"/>
              </w:rPr>
              <w:t xml:space="preserve">R03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AWS regional outage causes full system unavailability</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b/>
                <w:bCs/>
                <w:color w:val="375623"/>
                <w:sz w:val="18"/>
                <w:szCs w:val="18"/>
              </w:rPr>
              <w:t xml:space="preserve">Low</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b/>
                <w:bCs/>
                <w:color w:val="C00000"/>
                <w:sz w:val="18"/>
                <w:szCs w:val="18"/>
              </w:rPr>
              <w:t xml:space="preserve">High</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Transfer + Acceptance</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Rely on AWS SLA credits; architect for multi-AZ within region; RTO/RPO defined in service agreement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Dev Team</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sz w:val="18"/>
                <w:szCs w:val="18"/>
              </w:rPr>
              <w:t xml:space="preserve">R04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Bedrock model deprecation forces unplanned migration to new model version</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b/>
                <w:bCs/>
                <w:color w:val="E26B0A"/>
                <w:sz w:val="18"/>
                <w:szCs w:val="18"/>
              </w:rPr>
              <w:t xml:space="preserve">Med</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b/>
                <w:bCs/>
                <w:color w:val="E26B0A"/>
                <w:sz w:val="18"/>
                <w:szCs w:val="18"/>
              </w:rPr>
              <w:t xml:space="preserve">Med</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Reduction</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Monitor AWS deprecation notices; test new model versions in staging 30 days before cutover; use model aliases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Dev Team</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sz w:val="18"/>
                <w:szCs w:val="18"/>
              </w:rPr>
              <w:t xml:space="preserve">R05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IAM misconfiguration exposes sensitive data stored in S3 or OpenSearch</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b/>
                <w:bCs/>
                <w:color w:val="E26B0A"/>
                <w:sz w:val="18"/>
                <w:szCs w:val="18"/>
              </w:rPr>
              <w:t xml:space="preserve">Med</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b/>
                <w:bCs/>
                <w:color w:val="C00000"/>
                <w:sz w:val="18"/>
                <w:szCs w:val="18"/>
              </w:rPr>
              <w:t xml:space="preserve">High</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Avoidance + Reduction</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Principle of least privilege IAM policies; AWS Config rules for drift detection; quarterly IAM access review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IT/Security</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sz w:val="18"/>
                <w:szCs w:val="18"/>
              </w:rPr>
              <w:t xml:space="preserve">R06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Bedrock API rate limits throttle production traffic during peak usage</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b/>
                <w:bCs/>
                <w:color w:val="E26B0A"/>
                <w:sz w:val="18"/>
                <w:szCs w:val="18"/>
              </w:rPr>
              <w:t xml:space="preserve">Med</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b/>
                <w:bCs/>
                <w:color w:val="E26B0A"/>
                <w:sz w:val="18"/>
                <w:szCs w:val="18"/>
              </w:rPr>
              <w:t xml:space="preserve">Med</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Reduction + Mitigation</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Request Bedrock quota increases proactively; implement exponential backoff; cache frequent queries in ElastiCache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Dev Team</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sz w:val="18"/>
                <w:szCs w:val="18"/>
              </w:rPr>
              <w:t xml:space="preserve">R07</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RAG model hallucination despite Bedrock Guardrails (model failure)</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b/>
                <w:bCs/>
                <w:color w:val="E26B0A"/>
                <w:sz w:val="18"/>
                <w:szCs w:val="18"/>
              </w:rPr>
              <w:t xml:space="preserve">Med</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b/>
                <w:bCs/>
                <w:color w:val="C00000"/>
                <w:sz w:val="18"/>
                <w:szCs w:val="18"/>
              </w:rPr>
              <w:t xml:space="preserve">High</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Reduction + Mitigation</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Bedrock Guardrails content filtering; RAG citation enforcement; Bedrock model evaluation on release; human-in-the-loop for sensitive queries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Dev Team</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sz w:val="18"/>
                <w:szCs w:val="18"/>
              </w:rPr>
              <w:t xml:space="preserve">R08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AWS Bedrock data processing terms change, violating client's privacy commitments</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b/>
                <w:bCs/>
                <w:color w:val="375623"/>
                <w:sz w:val="18"/>
                <w:szCs w:val="18"/>
              </w:rPr>
              <w:t xml:space="preserve">Low</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b/>
                <w:bCs/>
                <w:color w:val="C00000"/>
                <w:sz w:val="18"/>
                <w:szCs w:val="18"/>
              </w:rPr>
              <w:t xml:space="preserve">High</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Transfer + Reduction</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Review DPA quarterly; negotiate data processing addendum; monitor AWS privacy policy changelog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Legal Counsel</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sz w:val="18"/>
                <w:szCs w:val="18"/>
              </w:rPr>
              <w:t xml:space="preserve">R09</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Operations team overwhelmed by AWS service complexity despite console access</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b/>
                <w:bCs/>
                <w:color w:val="E26B0A"/>
                <w:sz w:val="18"/>
                <w:szCs w:val="18"/>
              </w:rPr>
              <w:t xml:space="preserve">Med</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b/>
                <w:bCs/>
                <w:color w:val="E26B0A"/>
                <w:sz w:val="18"/>
                <w:szCs w:val="18"/>
              </w:rPr>
              <w:t xml:space="preserve">Med</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Reduction</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AWS-specific training (Cloud Practitioner cert); simplified CloudWatch dashboards; runbook with console screenshots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Project Lead</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sz w:val="18"/>
                <w:szCs w:val="18"/>
              </w:rPr>
              <w:t xml:space="preserve">R10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Model updates in Bedrock break application behavior silently</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b/>
                <w:bCs/>
                <w:color w:val="E26B0A"/>
                <w:sz w:val="18"/>
                <w:szCs w:val="18"/>
              </w:rPr>
              <w:t xml:space="preserve">Med</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b/>
                <w:bCs/>
                <w:color w:val="E26B0A"/>
                <w:sz w:val="18"/>
                <w:szCs w:val="18"/>
              </w:rPr>
              <w:t xml:space="preserve">Med</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Reduction + Mitigation</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Pin model version in Bedrock API calls; automated regression tests on evaluation dataset before promoting updates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Dev Team</w:t>
            </w:r>
          </w:p>
        </w:tc>
      </w:tr>
    </w:tbl>
    <w:p>
      <w:r>
        <w:rPr>
          <w:rFonts w:ascii="Arial" w:cs="Arial" w:eastAsia="Arial" w:hAnsi="Arial"/>
        </w:rPr>
        <w:t xml:space="preserve"/>
      </w:r>
    </w:p>
    <w:p>
      <w:pPr>
        <w:pStyle w:val="Heading2"/>
      </w:pPr>
      <w:r>
        <w:rPr>
          <w:rFonts w:ascii="Arial" w:cs="Arial" w:eastAsia="Arial" w:hAnsi="Arial"/>
          <w:b/>
          <w:bCs/>
          <w:color w:val="2E75B6"/>
        </w:rPr>
        <w:t xml:space="preserve">5.3 Risk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560"/>
        <w:gridCol w:w="2600"/>
      </w:tblGrid>
      <w:tr>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Risk Category</w:t>
            </w:r>
          </w:p>
        </w:tc>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Open-Source Stack</w:t>
            </w:r>
          </w:p>
        </w:tc>
        <w:tc>
          <w:tcPr>
            <w:tcW w:type="dxa" w:w="2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AWS Solution</w:t>
            </w:r>
          </w:p>
        </w:tc>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Assessment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sz w:val="18"/>
                <w:szCs w:val="18"/>
              </w:rPr>
              <w:t xml:space="preserve">Technical Ops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HIGH — no DevOps team, manual patching burden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MEDIUM — managed services, console-based ops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AWS wins: managed services eliminate most ops risk</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sz w:val="18"/>
                <w:szCs w:val="18"/>
              </w:rPr>
              <w:t xml:space="preserve">Cost Overrun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MEDIUM — API costs variable, hosting fixed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HIGH — pay-per-use can spike unexpectedly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Open-source wins: more predictable cost structure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sz w:val="18"/>
                <w:szCs w:val="18"/>
              </w:rPr>
              <w:t xml:space="preserve">Vendor Risk</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LOW — multi-vendor by design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MEDIUM — AWS lock-in and policy changes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Open-source wins: no single vendor dependency</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sz w:val="18"/>
                <w:szCs w:val="18"/>
              </w:rPr>
              <w:t xml:space="preserve">Security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HIGH — client responsible for all hardening</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MEDIUM — AWS shared responsibility model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AWS wins: built-in compliance and security tooling</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sz w:val="18"/>
                <w:szCs w:val="18"/>
              </w:rPr>
              <w:t xml:space="preserve">GenAI Quality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MEDIUM — same model risk, less safety tooling</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MEDIUM — Guardrails help but not foolproof</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AWS slight edge: Bedrock Guardrails add safety layer</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sz w:val="18"/>
                <w:szCs w:val="18"/>
              </w:rPr>
              <w:t xml:space="preserve">Overall Risk</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HIGHER (ops-heavy)</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LOWER (managed services)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AWS has lower operational risk given no DevOps team</w:t>
            </w:r>
          </w:p>
        </w:tc>
      </w:tr>
    </w:tbl>
    <w:p>
      <w:r>
        <w:rPr>
          <w:rFonts w:ascii="Arial" w:cs="Arial" w:eastAsia="Arial" w:hAnsi="Arial"/>
        </w:rPr>
        <w:t xml:space="preserve"/>
      </w:r>
    </w:p>
    <w:p>
      <w:r>
        <w:br w:type="page"/>
      </w:r>
    </w:p>
    <w:p>
      <w:pPr>
        <w:pStyle w:val="Heading1"/>
      </w:pPr>
      <w:r>
        <w:rPr>
          <w:rFonts w:ascii="Arial" w:cs="Arial" w:eastAsia="Arial" w:hAnsi="Arial"/>
          <w:b/>
          <w:bCs/>
          <w:color w:val="1F4E79"/>
        </w:rPr>
        <w:t xml:space="preserve">Part 6: Cost Estimation</w:t>
      </w:r>
    </w:p>
    <w:p>
      <w:pPr>
        <w:pStyle w:val="Heading2"/>
      </w:pPr>
      <w:r>
        <w:rPr>
          <w:rFonts w:ascii="Arial" w:cs="Arial" w:eastAsia="Arial" w:hAnsi="Arial"/>
          <w:b/>
          <w:bCs/>
          <w:color w:val="2E75B6"/>
        </w:rPr>
        <w:t xml:space="preserve">6.1 Open-Source Stack Cost Breakdown</w:t>
      </w:r>
    </w:p>
    <w:p>
      <w:r>
        <w:rPr>
          <w:rFonts w:ascii="Arial" w:cs="Arial" w:eastAsia="Arial" w:hAnsi="Arial"/>
        </w:rPr>
        <w:t xml:space="preserve">Assumptions: 50 active users/day, ~200 queries/day avg, avg prompt 800 tokens + completion 400 tokens, corpus of 5,000 documents at avg 10 chunks each, 2 dev person-months build cost at €6,000/month day rate.</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1800"/>
        <w:gridCol w:w="176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Cost Category</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Component</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Monthly (€)</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Year 1 (€)</w:t>
            </w:r>
          </w:p>
        </w:tc>
        <w:tc>
          <w:tcPr>
            <w:tcW w:type="dxa" w:w="1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1. Data Costs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Embedding (text-embedding-3-small)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€48</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50K chunks × 1536 dims; $0.02/1M tokens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1. Data Costs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Storage (DigitalOcean Spaces)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€60</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250 GB object storage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1. Data Costs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Data processing compute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Incl.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Incl.</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Runs on VPS — no extra cost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2. Model Costs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OpenAI GPT-4o-mini (200 queries/day)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€55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€660</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(800+400 tokens) × 6,000/mo × $0.15/1M in + $0.60/1M out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2. Model Costs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Anthropic Claude (fallback, 10% of traffic)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€96</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Backup provider for resilience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2. Model Costs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Prompt engineering / model evaluation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€10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€120</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OpenEvals API calls for LLM-as-judge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3. Application Costs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VPS hosting (Hostinger/DigitalOcean 4GB)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€20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€240</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Backend FastAPI + Redis cache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3. Application Costs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n8n self-hosted (Docker on VPS)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€0</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Runs on same VPS — no extra cost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3. Application Costs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Domain + SSL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€24</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Annual renewal prorated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4. Evaluation Costs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LangSmith (Developer plan)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€0</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Free tier covers 5K traces/month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4. Evaluation Costs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Additional LLM-as-judge API calls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€10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€120</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Automated eval suite on each release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5. Ops Costs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Monitoring (UptimeRobot + basic APM)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€96</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Uptime monitoring + response time tracking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5. Ops Costs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Operations team time (1hr/week maintenance)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€50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€600</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4hr/mo × €150 blended rate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5. Ops Costs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Backup storage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€36</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Weekly VPS snapshots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6. Compliance Costs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GDPR compliance tooling (PII filter)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€15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€180</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Presidio or custom PII scrubber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6. Compliance Costs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Security audit (annual)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€500</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One-time annual penetration test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Build Costs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Dev person-months (2 months)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€12,000</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One-time build cost; 2 × €6,000/month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Build Costs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Infrastructure setup time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€1,500</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0.25 person-months infra config</w:t>
            </w:r>
          </w:p>
        </w:tc>
      </w:tr>
      <w:tr>
        <w:tc>
          <w:tcPr>
            <w:tcW w:type="dxa" w:w="4000"/>
            <w:gridSpan w:val="2"/>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TOTAL (excl. one-time build)</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pPr>
              <w:jc w:val="center"/>
            </w:pPr>
            <w:r>
              <w:rPr>
                <w:rFonts w:ascii="Arial" w:cs="Arial" w:eastAsia="Arial" w:hAnsi="Arial"/>
                <w:b/>
                <w:bCs/>
                <w:color w:val="FFFFFF"/>
                <w:sz w:val="18"/>
                <w:szCs w:val="18"/>
              </w:rPr>
              <w:t xml:space="preserve">€190/mo</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pPr>
              <w:jc w:val="center"/>
            </w:pPr>
            <w:r>
              <w:rPr>
                <w:rFonts w:ascii="Arial" w:cs="Arial" w:eastAsia="Arial" w:hAnsi="Arial"/>
                <w:b/>
                <w:bCs/>
                <w:color w:val="FFFFFF"/>
                <w:sz w:val="18"/>
                <w:szCs w:val="18"/>
              </w:rPr>
              <w:t xml:space="preserve">€2,280/yr</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
            </w:r>
          </w:p>
        </w:tc>
      </w:tr>
      <w:tr>
        <w:tc>
          <w:tcPr>
            <w:tcW w:type="dxa" w:w="4000"/>
            <w:gridSpan w:val="2"/>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Year 1 TOTAL (incl. build)</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pPr>
              <w:jc w:val="center"/>
            </w:pPr>
            <w:r>
              <w:rPr>
                <w:rFonts w:ascii="Arial" w:cs="Arial" w:eastAsia="Arial" w:hAnsi="Arial"/>
                <w:b/>
                <w:bCs/>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pPr>
              <w:jc w:val="center"/>
            </w:pPr>
            <w:r>
              <w:rPr>
                <w:rFonts w:ascii="Arial" w:cs="Arial" w:eastAsia="Arial" w:hAnsi="Arial"/>
                <w:b/>
                <w:bCs/>
                <w:color w:val="FFFFFF"/>
                <w:sz w:val="18"/>
                <w:szCs w:val="18"/>
              </w:rPr>
              <w:t xml:space="preserve">€15,780</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
            </w:r>
          </w:p>
        </w:tc>
      </w:tr>
      <w:tr>
        <w:tc>
          <w:tcPr>
            <w:tcW w:type="dxa" w:w="4000"/>
            <w:gridSpan w:val="2"/>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3-Year TCO (Y1 + Y2 + Y3)</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pPr>
              <w:jc w:val="center"/>
            </w:pPr>
            <w:r>
              <w:rPr>
                <w:rFonts w:ascii="Arial" w:cs="Arial" w:eastAsia="Arial" w:hAnsi="Arial"/>
                <w:b/>
                <w:bCs/>
                <w:color w:val="FFFFFF"/>
                <w:sz w:val="18"/>
                <w:szCs w:val="18"/>
              </w:rPr>
              <w:t xml:space="preserve">€190/mo avg</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pPr>
              <w:jc w:val="center"/>
            </w:pPr>
            <w:r>
              <w:rPr>
                <w:rFonts w:ascii="Arial" w:cs="Arial" w:eastAsia="Arial" w:hAnsi="Arial"/>
                <w:b/>
                <w:bCs/>
                <w:color w:val="FFFFFF"/>
                <w:sz w:val="18"/>
                <w:szCs w:val="18"/>
              </w:rPr>
              <w:t xml:space="preserve">€20,040</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
            </w:r>
          </w:p>
        </w:tc>
      </w:tr>
    </w:tbl>
    <w:p>
      <w:r>
        <w:rPr>
          <w:rFonts w:ascii="Arial" w:cs="Arial" w:eastAsia="Arial" w:hAnsi="Arial"/>
        </w:rPr>
        <w:t xml:space="preserve"/>
      </w:r>
    </w:p>
    <w:p>
      <w:pPr>
        <w:pStyle w:val="Heading2"/>
      </w:pPr>
      <w:r>
        <w:rPr>
          <w:rFonts w:ascii="Arial" w:cs="Arial" w:eastAsia="Arial" w:hAnsi="Arial"/>
          <w:b/>
          <w:bCs/>
          <w:color w:val="2E75B6"/>
        </w:rPr>
        <w:t xml:space="preserve">6.2 AWS Cost Breakdown</w:t>
      </w:r>
    </w:p>
    <w:p>
      <w:r>
        <w:rPr>
          <w:rFonts w:ascii="Arial" w:cs="Arial" w:eastAsia="Arial" w:hAnsi="Arial"/>
        </w:rPr>
        <w:t xml:space="preserve">Same usage assumptions as open-source. AWS EU (Frankfurt) region. Pay-as-you-go pricing. Build cost higher due to AWS CDK development and AWS-specific architecture design.</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1800"/>
        <w:gridCol w:w="176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Cost Category</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Component</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Monthly (€)</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Year 1 (€)</w:t>
            </w:r>
          </w:p>
        </w:tc>
        <w:tc>
          <w:tcPr>
            <w:tcW w:type="dxa" w:w="1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1. Data Costs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Bedrock Titan Embeddings (corpus + queries)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€18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€216</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50K chunks initial + 6K query embeds/mo; $0.0002/1K tokens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1. Data Costs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S3 Standard storage (250 GB)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€72</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$0.023/GB-month EU region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1. Data Costs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S3 data transfer + requests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€36</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PUT/GET requests + egress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2. Model Costs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Bedrock Claude 3 Haiku (200 queries/day)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€90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€1,080</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6K queries/mo × 1.2K tokens avg; $0.25/$1.25 per 1M in/out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2. Model Costs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Bedrock model evaluation / Guardrails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€15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€180</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Guardrails content filtering per API call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3. Application Costs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App Runner (2 vCPU, 4GB, always-on)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€120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€1,440</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~$130/mo for always-on container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3. Application Costs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OpenSearch Serverless (2 OCU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€180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€2,160</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2 OCU × $0.24/OCU-hr × 730 hrs — dominant cost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3. Application Costs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API Gateway (REST, 6K req/day)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€12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€144</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$3.50/1M requests EU</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4. Evaluation Costs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CloudWatch custom metrics + dashboards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€10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€120</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Custom metrics for RAG quality tracking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4. Evaluation Costs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Bedrock model evaluation runs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€96</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Monthly evaluation job on test dataset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5. Ops Costs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CloudWatch Logs + X-Ray tracing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€15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€180</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Log ingestion + trace storage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5. Ops Costs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AWS Budgets + Cost Anomaly Detection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€0</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Free service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5. Ops Costs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Operations team time (2hr/week — simpler console ops)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€100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€1,200</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8hr/mo × €150 blended rate (more initial training)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6. Compliance Costs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AWS Security Hub + GuardDuty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€30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€360</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Automated compliance monitoring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6. Compliance Costs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AWS Config rules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€96</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Drift detection for IAM and network config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Build Costs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Dev person-months (1.75 months — shorter build)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€10,500</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Faster due to managed services; CDK IaC</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Build Costs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AWS architecture design + CDK setup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center"/>
            </w:pPr>
            <w:r>
              <w:rPr>
                <w:rFonts w:ascii="Arial" w:cs="Arial" w:eastAsia="Arial" w:hAnsi="Arial"/>
                <w:sz w:val="18"/>
                <w:szCs w:val="18"/>
              </w:rPr>
              <w:t xml:space="preserve">€2,500</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Additional complexity of AWS service configuration</w:t>
            </w:r>
          </w:p>
        </w:tc>
      </w:tr>
      <w:tr>
        <w:tc>
          <w:tcPr>
            <w:tcW w:type="dxa" w:w="4000"/>
            <w:gridSpan w:val="2"/>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TOTAL (excl. one-time build)</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pPr>
              <w:jc w:val="center"/>
            </w:pPr>
            <w:r>
              <w:rPr>
                <w:rFonts w:ascii="Arial" w:cs="Arial" w:eastAsia="Arial" w:hAnsi="Arial"/>
                <w:b/>
                <w:bCs/>
                <w:color w:val="FFFFFF"/>
                <w:sz w:val="18"/>
                <w:szCs w:val="18"/>
              </w:rPr>
              <w:t xml:space="preserve">€615/mo</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pPr>
              <w:jc w:val="center"/>
            </w:pPr>
            <w:r>
              <w:rPr>
                <w:rFonts w:ascii="Arial" w:cs="Arial" w:eastAsia="Arial" w:hAnsi="Arial"/>
                <w:b/>
                <w:bCs/>
                <w:color w:val="FFFFFF"/>
                <w:sz w:val="18"/>
                <w:szCs w:val="18"/>
              </w:rPr>
              <w:t xml:space="preserve">€7,380/yr</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
            </w:r>
          </w:p>
        </w:tc>
      </w:tr>
      <w:tr>
        <w:tc>
          <w:tcPr>
            <w:tcW w:type="dxa" w:w="4000"/>
            <w:gridSpan w:val="2"/>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Year 1 TOTAL (incl. build)</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pPr>
              <w:jc w:val="center"/>
            </w:pPr>
            <w:r>
              <w:rPr>
                <w:rFonts w:ascii="Arial" w:cs="Arial" w:eastAsia="Arial" w:hAnsi="Arial"/>
                <w:b/>
                <w:bCs/>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pPr>
              <w:jc w:val="center"/>
            </w:pPr>
            <w:r>
              <w:rPr>
                <w:rFonts w:ascii="Arial" w:cs="Arial" w:eastAsia="Arial" w:hAnsi="Arial"/>
                <w:b/>
                <w:bCs/>
                <w:color w:val="FFFFFF"/>
                <w:sz w:val="18"/>
                <w:szCs w:val="18"/>
              </w:rPr>
              <w:t xml:space="preserve">€20,380</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
            </w:r>
          </w:p>
        </w:tc>
      </w:tr>
      <w:tr>
        <w:tc>
          <w:tcPr>
            <w:tcW w:type="dxa" w:w="4000"/>
            <w:gridSpan w:val="2"/>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3-Year TCO (Y1 + Y2 + Y3)</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pPr>
              <w:jc w:val="center"/>
            </w:pPr>
            <w:r>
              <w:rPr>
                <w:rFonts w:ascii="Arial" w:cs="Arial" w:eastAsia="Arial" w:hAnsi="Arial"/>
                <w:b/>
                <w:bCs/>
                <w:color w:val="FFFFFF"/>
                <w:sz w:val="18"/>
                <w:szCs w:val="18"/>
              </w:rPr>
              <w:t xml:space="preserve">€615/mo avg</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pPr>
              <w:jc w:val="center"/>
            </w:pPr>
            <w:r>
              <w:rPr>
                <w:rFonts w:ascii="Arial" w:cs="Arial" w:eastAsia="Arial" w:hAnsi="Arial"/>
                <w:b/>
                <w:bCs/>
                <w:color w:val="FFFFFF"/>
                <w:sz w:val="18"/>
                <w:szCs w:val="18"/>
              </w:rPr>
              <w:t xml:space="preserve">€35,140</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
            </w:r>
          </w:p>
        </w:tc>
      </w:tr>
    </w:tbl>
    <w:p>
      <w:r>
        <w:rPr>
          <w:rFonts w:ascii="Arial" w:cs="Arial" w:eastAsia="Arial" w:hAnsi="Arial"/>
        </w:rPr>
        <w:t xml:space="preserve"/>
      </w:r>
    </w:p>
    <w:p>
      <w:pPr>
        <w:pStyle w:val="Heading2"/>
      </w:pPr>
      <w:r>
        <w:rPr>
          <w:rFonts w:ascii="Arial" w:cs="Arial" w:eastAsia="Arial" w:hAnsi="Arial"/>
          <w:b/>
          <w:bCs/>
          <w:color w:val="2E75B6"/>
        </w:rPr>
        <w:t xml:space="preserve">6.3 TCO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80"/>
        <w:gridCol w:w="2180"/>
        <w:gridCol w:w="2600"/>
      </w:tblGrid>
      <w:tr>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Cost Period</w:t>
            </w:r>
          </w:p>
        </w:tc>
        <w:tc>
          <w:tcPr>
            <w:tcW w:type="dxa" w:w="21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Open-Source Stack</w:t>
            </w:r>
          </w:p>
        </w:tc>
        <w:tc>
          <w:tcPr>
            <w:tcW w:type="dxa" w:w="21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AWS Solution</w:t>
            </w:r>
          </w:p>
        </w:tc>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Delta</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sz w:val="18"/>
                <w:szCs w:val="18"/>
              </w:rPr>
              <w:t xml:space="preserve">Monthly (steady-state, Y2+)</w:t>
            </w:r>
          </w:p>
        </w:tc>
        <w:tc>
          <w:tcPr>
            <w:tcW w:type="dxa" w:w="21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€190/mo</w:t>
            </w:r>
          </w:p>
        </w:tc>
        <w:tc>
          <w:tcPr>
            <w:tcW w:type="dxa" w:w="21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€615/mo</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AWS costs 3.2x more per month</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sz w:val="18"/>
                <w:szCs w:val="18"/>
              </w:rPr>
              <w:t xml:space="preserve">Year 1 (incl. build)</w:t>
            </w:r>
          </w:p>
        </w:tc>
        <w:tc>
          <w:tcPr>
            <w:tcW w:type="dxa" w:w="21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€15,780</w:t>
            </w:r>
          </w:p>
        </w:tc>
        <w:tc>
          <w:tcPr>
            <w:tcW w:type="dxa" w:w="21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€20,380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AWS costs €4,600 more in Y1</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sz w:val="18"/>
                <w:szCs w:val="18"/>
              </w:rPr>
              <w:t xml:space="preserve">Year 2 (ops only)</w:t>
            </w:r>
          </w:p>
        </w:tc>
        <w:tc>
          <w:tcPr>
            <w:tcW w:type="dxa" w:w="21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€2,280</w:t>
            </w:r>
          </w:p>
        </w:tc>
        <w:tc>
          <w:tcPr>
            <w:tcW w:type="dxa" w:w="21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€7,380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AWS costs €5,100 more in Y2</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sz w:val="18"/>
                <w:szCs w:val="18"/>
              </w:rPr>
              <w:t xml:space="preserve">Year 3 (ops only)</w:t>
            </w:r>
          </w:p>
        </w:tc>
        <w:tc>
          <w:tcPr>
            <w:tcW w:type="dxa" w:w="21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€2,280</w:t>
            </w:r>
          </w:p>
        </w:tc>
        <w:tc>
          <w:tcPr>
            <w:tcW w:type="dxa" w:w="21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€7,380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AWS costs €5,100 more in Y3</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sz w:val="18"/>
                <w:szCs w:val="18"/>
              </w:rPr>
              <w:t xml:space="preserve">3-Year TCO</w:t>
            </w:r>
          </w:p>
        </w:tc>
        <w:tc>
          <w:tcPr>
            <w:tcW w:type="dxa" w:w="21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€20,340</w:t>
            </w:r>
          </w:p>
        </w:tc>
        <w:tc>
          <w:tcPr>
            <w:tcW w:type="dxa" w:w="21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€35,140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AWS costs €14,800 more over 3 years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sz w:val="18"/>
                <w:szCs w:val="18"/>
              </w:rPr>
              <w:t xml:space="preserve">Cost Risk</w:t>
            </w:r>
          </w:p>
        </w:tc>
        <w:tc>
          <w:tcPr>
            <w:tcW w:type="dxa" w:w="21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Medium (API cost variability)</w:t>
            </w:r>
          </w:p>
        </w:tc>
        <w:tc>
          <w:tcPr>
            <w:tcW w:type="dxa" w:w="21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High (serverless scaling + OpenSearch OCU)</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Open-source more predictable</w:t>
            </w:r>
          </w:p>
        </w:tc>
      </w:tr>
    </w:tbl>
    <w:p>
      <w:r>
        <w:rPr>
          <w:rFonts w:ascii="Arial" w:cs="Arial" w:eastAsia="Arial" w:hAnsi="Arial"/>
        </w:rPr>
        <w:t xml:space="preserve"/>
      </w:r>
    </w:p>
    <w:p>
      <w:r>
        <w:br w:type="page"/>
      </w:r>
    </w:p>
    <w:p>
      <w:pPr>
        <w:pStyle w:val="Heading1"/>
      </w:pPr>
      <w:r>
        <w:rPr>
          <w:rFonts w:ascii="Arial" w:cs="Arial" w:eastAsia="Arial" w:hAnsi="Arial"/>
          <w:b/>
          <w:bCs/>
          <w:color w:val="1F4E79"/>
        </w:rPr>
        <w:t xml:space="preserve">Part 7: Final Recommendation</w:t>
      </w:r>
    </w:p>
    <w:p>
      <w:pPr>
        <w:pStyle w:val="Heading2"/>
      </w:pPr>
      <w:r>
        <w:rPr>
          <w:rFonts w:ascii="Arial" w:cs="Arial" w:eastAsia="Arial" w:hAnsi="Arial"/>
          <w:b/>
          <w:bCs/>
          <w:color w:val="2E75B6"/>
        </w:rPr>
        <w:t xml:space="preserve">7.1 Executive Summary</w:t>
      </w:r>
    </w:p>
    <w:p>
      <w:r>
        <w:rPr>
          <w:rFonts w:ascii="Arial" w:cs="Arial" w:eastAsia="Arial" w:hAnsi="Arial"/>
        </w:rPr>
        <w:t xml:space="preserve">After conducting a comprehensive analysis of PESTLE factors, stakeholder priorities, project objectives, risk profiles, and total cost of ownership, this report recommends the Open-Source Stack (Pinecone, n8n, LangChain/LangGraph, Hostinger VPS, OpenAI/Anthropic APIs) as the infrastructure foundation for the AI-Powered Knowledge Assistant. The primary deciding factors are cost efficiency, data sovereignty alignment, and the client's specific constraint profile: no in-house DevOps team, but a dedicated software operations team capable of managing the system with proper documentation and runbooks.</w:t>
      </w:r>
    </w:p>
    <w:p>
      <w:r>
        <w:rPr>
          <w:rFonts w:ascii="Arial" w:cs="Arial" w:eastAsia="Arial" w:hAnsi="Arial"/>
        </w:rPr>
        <w:t xml:space="preserve"/>
      </w:r>
    </w:p>
    <w:p>
      <w:r>
        <w:rPr>
          <w:rFonts w:ascii="Arial" w:cs="Arial" w:eastAsia="Arial" w:hAnsi="Arial"/>
        </w:rPr>
        <w:t xml:space="preserve">The open-source stack delivers the same core RAG functionality at approximately 42% of the 3-year TCO of the AWS solution (€20,340 vs €35,140). The operational risk differential — the primary argument for AWS — is addressed through investment in comprehensive runbooks, a structured 4-week operations handover programme, and a tiered support model that escalates to the hosting provider for infrastructure-level issues. This recommendation is contingent on the client committing to the operations training programme and accepting the moderate ongoing maintenance responsibility inherent in a self-hosted stack.</w:t>
      </w:r>
    </w:p>
    <w:p>
      <w:r>
        <w:rPr>
          <w:rFonts w:ascii="Arial" w:cs="Arial" w:eastAsia="Arial" w:hAnsi="Arial"/>
        </w:rPr>
        <w:t xml:space="preserve"/>
      </w:r>
    </w:p>
    <w:p>
      <w:pPr>
        <w:pStyle w:val="Heading2"/>
      </w:pPr>
      <w:r>
        <w:rPr>
          <w:rFonts w:ascii="Arial" w:cs="Arial" w:eastAsia="Arial" w:hAnsi="Arial"/>
          <w:b/>
          <w:bCs/>
          <w:color w:val="2E75B6"/>
        </w:rPr>
        <w:t xml:space="preserve">7.2 Comparison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40"/>
        <w:gridCol w:w="2120"/>
        <w:gridCol w:w="2120"/>
        <w:gridCol w:w="780"/>
        <w:gridCol w:w="2500"/>
      </w:tblGrid>
      <w:tr>
        <w:tc>
          <w:tcPr>
            <w:tcW w:type="dxa" w:w="18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Criteria</w:t>
            </w:r>
          </w:p>
        </w:tc>
        <w:tc>
          <w:tcPr>
            <w:tcW w:type="dxa" w:w="2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Open-Source Stack</w:t>
            </w:r>
          </w:p>
        </w:tc>
        <w:tc>
          <w:tcPr>
            <w:tcW w:type="dxa" w:w="2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AWS Solution</w:t>
            </w:r>
          </w:p>
        </w:tc>
        <w:tc>
          <w:tcPr>
            <w:tcW w:type="dxa" w:w="7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Winner</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Decision Weight</w:t>
            </w:r>
          </w:p>
        </w:tc>
      </w:tr>
      <w:tr>
        <w:tc>
          <w:tcPr>
            <w:tcW w:type="dxa" w:w="18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sz w:val="18"/>
                <w:szCs w:val="18"/>
              </w:rPr>
              <w:t xml:space="preserve">PESTLE: Political / Legal</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Full data sovereignty; mixed DPA burden</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CLOUD Act risk; pre-built DPAs</w:t>
            </w:r>
          </w:p>
        </w:tc>
        <w:tc>
          <w:tcPr>
            <w:tcW w:type="dxa" w:w="78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jc w:val="center"/>
            </w:pPr>
            <w:r>
              <w:rPr>
                <w:rFonts w:ascii="Arial" w:cs="Arial" w:eastAsia="Arial" w:hAnsi="Arial"/>
                <w:b/>
                <w:bCs/>
                <w:sz w:val="18"/>
                <w:szCs w:val="18"/>
              </w:rPr>
              <w:t xml:space="preserve">OS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High — GDPR critical</w:t>
            </w:r>
          </w:p>
        </w:tc>
      </w:tr>
      <w:tr>
        <w:tc>
          <w:tcPr>
            <w:tcW w:type="dxa" w:w="18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sz w:val="18"/>
                <w:szCs w:val="18"/>
              </w:rPr>
              <w:t xml:space="preserve">PESTLE: Economic</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Low, predictable fixed costs</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Higher variable costs</w:t>
            </w:r>
          </w:p>
        </w:tc>
        <w:tc>
          <w:tcPr>
            <w:tcW w:type="dxa" w:w="78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jc w:val="center"/>
            </w:pPr>
            <w:r>
              <w:rPr>
                <w:rFonts w:ascii="Arial" w:cs="Arial" w:eastAsia="Arial" w:hAnsi="Arial"/>
                <w:b/>
                <w:bCs/>
                <w:sz w:val="18"/>
                <w:szCs w:val="18"/>
              </w:rPr>
              <w:t xml:space="preserve">OS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High — budget constrained</w:t>
            </w:r>
          </w:p>
        </w:tc>
      </w:tr>
      <w:tr>
        <w:tc>
          <w:tcPr>
            <w:tcW w:type="dxa" w:w="18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sz w:val="18"/>
                <w:szCs w:val="18"/>
              </w:rPr>
              <w:t xml:space="preserve">PESTLE: Technological</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Ecosystem volatility risk</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Managed, stable platform</w:t>
            </w:r>
          </w:p>
        </w:tc>
        <w:tc>
          <w:tcPr>
            <w:tcW w:type="dxa" w:w="78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top"/>
          </w:tcPr>
          <w:p>
            <w:pPr>
              <w:jc w:val="center"/>
            </w:pPr>
            <w:r>
              <w:rPr>
                <w:rFonts w:ascii="Arial" w:cs="Arial" w:eastAsia="Arial" w:hAnsi="Arial"/>
                <w:b/>
                <w:bCs/>
                <w:sz w:val="18"/>
                <w:szCs w:val="18"/>
              </w:rPr>
              <w:t xml:space="preserve">AWS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Medium — mitigable</w:t>
            </w:r>
          </w:p>
        </w:tc>
      </w:tr>
      <w:tr>
        <w:tc>
          <w:tcPr>
            <w:tcW w:type="dxa" w:w="18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sz w:val="18"/>
                <w:szCs w:val="18"/>
              </w:rPr>
              <w:t xml:space="preserve">PESTLE: Ecological</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Moderate green credentials</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Strong renewable commitment</w:t>
            </w:r>
          </w:p>
        </w:tc>
        <w:tc>
          <w:tcPr>
            <w:tcW w:type="dxa" w:w="78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top"/>
          </w:tcPr>
          <w:p>
            <w:pPr>
              <w:jc w:val="center"/>
            </w:pPr>
            <w:r>
              <w:rPr>
                <w:rFonts w:ascii="Arial" w:cs="Arial" w:eastAsia="Arial" w:hAnsi="Arial"/>
                <w:b/>
                <w:bCs/>
                <w:sz w:val="18"/>
                <w:szCs w:val="18"/>
              </w:rPr>
              <w:t xml:space="preserve">AWS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Low — not a key constraint</w:t>
            </w:r>
          </w:p>
        </w:tc>
      </w:tr>
      <w:tr>
        <w:tc>
          <w:tcPr>
            <w:tcW w:type="dxa" w:w="18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sz w:val="18"/>
                <w:szCs w:val="18"/>
              </w:rPr>
              <w:t xml:space="preserve">Stakeholder: CEO/Exec</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Lower cost appealing</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Brand credibility</w:t>
            </w:r>
          </w:p>
        </w:tc>
        <w:tc>
          <w:tcPr>
            <w:tcW w:type="dxa" w:w="78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top"/>
          </w:tcPr>
          <w:p>
            <w:pPr>
              <w:jc w:val="center"/>
            </w:pPr>
            <w:r>
              <w:rPr>
                <w:rFonts w:ascii="Arial" w:cs="Arial" w:eastAsia="Arial" w:hAnsi="Arial"/>
                <w:b/>
                <w:bCs/>
                <w:sz w:val="18"/>
                <w:szCs w:val="18"/>
              </w:rPr>
              <w:t xml:space="preserve">Tie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High — must justify ROI</w:t>
            </w:r>
          </w:p>
        </w:tc>
      </w:tr>
      <w:tr>
        <w:tc>
          <w:tcPr>
            <w:tcW w:type="dxa" w:w="18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sz w:val="18"/>
                <w:szCs w:val="18"/>
              </w:rPr>
              <w:t xml:space="preserve">Stakeholder: Ops Team</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Higher training burden</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Console-based simplicity</w:t>
            </w:r>
          </w:p>
        </w:tc>
        <w:tc>
          <w:tcPr>
            <w:tcW w:type="dxa" w:w="78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top"/>
          </w:tcPr>
          <w:p>
            <w:pPr>
              <w:jc w:val="center"/>
            </w:pPr>
            <w:r>
              <w:rPr>
                <w:rFonts w:ascii="Arial" w:cs="Arial" w:eastAsia="Arial" w:hAnsi="Arial"/>
                <w:b/>
                <w:bCs/>
                <w:sz w:val="18"/>
                <w:szCs w:val="18"/>
              </w:rPr>
              <w:t xml:space="preserve">AWS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High — no DevOps team</w:t>
            </w:r>
          </w:p>
        </w:tc>
      </w:tr>
      <w:tr>
        <w:tc>
          <w:tcPr>
            <w:tcW w:type="dxa" w:w="18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sz w:val="18"/>
                <w:szCs w:val="18"/>
              </w:rPr>
              <w:t xml:space="preserve">Stakeholder: IT/Security</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Client-controlled security</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AWS certifications reduce audit</w:t>
            </w:r>
          </w:p>
        </w:tc>
        <w:tc>
          <w:tcPr>
            <w:tcW w:type="dxa" w:w="78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top"/>
          </w:tcPr>
          <w:p>
            <w:pPr>
              <w:jc w:val="center"/>
            </w:pPr>
            <w:r>
              <w:rPr>
                <w:rFonts w:ascii="Arial" w:cs="Arial" w:eastAsia="Arial" w:hAnsi="Arial"/>
                <w:b/>
                <w:bCs/>
                <w:sz w:val="18"/>
                <w:szCs w:val="18"/>
              </w:rPr>
              <w:t xml:space="preserve">AWS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Medium — mitigable with audit</w:t>
            </w:r>
          </w:p>
        </w:tc>
      </w:tr>
      <w:tr>
        <w:tc>
          <w:tcPr>
            <w:tcW w:type="dxa" w:w="18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sz w:val="18"/>
                <w:szCs w:val="18"/>
              </w:rPr>
              <w:t xml:space="preserve">Project Objectives Met</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6/6 objectives achievable</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6/6 objectives achievable</w:t>
            </w:r>
          </w:p>
        </w:tc>
        <w:tc>
          <w:tcPr>
            <w:tcW w:type="dxa" w:w="78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top"/>
          </w:tcPr>
          <w:p>
            <w:pPr>
              <w:jc w:val="center"/>
            </w:pPr>
            <w:r>
              <w:rPr>
                <w:rFonts w:ascii="Arial" w:cs="Arial" w:eastAsia="Arial" w:hAnsi="Arial"/>
                <w:b/>
                <w:bCs/>
                <w:sz w:val="18"/>
                <w:szCs w:val="18"/>
              </w:rPr>
              <w:t xml:space="preserve">Tie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High</w:t>
            </w:r>
          </w:p>
        </w:tc>
      </w:tr>
      <w:tr>
        <w:tc>
          <w:tcPr>
            <w:tcW w:type="dxa" w:w="18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sz w:val="18"/>
                <w:szCs w:val="18"/>
              </w:rPr>
              <w:t xml:space="preserve">Risk: Operational</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Higher — manual management</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Lower — managed services</w:t>
            </w:r>
          </w:p>
        </w:tc>
        <w:tc>
          <w:tcPr>
            <w:tcW w:type="dxa" w:w="78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top"/>
          </w:tcPr>
          <w:p>
            <w:pPr>
              <w:jc w:val="center"/>
            </w:pPr>
            <w:r>
              <w:rPr>
                <w:rFonts w:ascii="Arial" w:cs="Arial" w:eastAsia="Arial" w:hAnsi="Arial"/>
                <w:b/>
                <w:bCs/>
                <w:sz w:val="18"/>
                <w:szCs w:val="18"/>
              </w:rPr>
              <w:t xml:space="preserve">AWS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High — no DevOps team</w:t>
            </w:r>
          </w:p>
        </w:tc>
      </w:tr>
      <w:tr>
        <w:tc>
          <w:tcPr>
            <w:tcW w:type="dxa" w:w="18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sz w:val="18"/>
                <w:szCs w:val="18"/>
              </w:rPr>
              <w:t xml:space="preserve">Risk: Cost Overrun</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Lower — predictable</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Higher — pay-per-use spikes</w:t>
            </w:r>
          </w:p>
        </w:tc>
        <w:tc>
          <w:tcPr>
            <w:tcW w:type="dxa" w:w="78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jc w:val="center"/>
            </w:pPr>
            <w:r>
              <w:rPr>
                <w:rFonts w:ascii="Arial" w:cs="Arial" w:eastAsia="Arial" w:hAnsi="Arial"/>
                <w:b/>
                <w:bCs/>
                <w:sz w:val="18"/>
                <w:szCs w:val="18"/>
              </w:rPr>
              <w:t xml:space="preserve">OS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High — budget critical</w:t>
            </w:r>
          </w:p>
        </w:tc>
      </w:tr>
      <w:tr>
        <w:tc>
          <w:tcPr>
            <w:tcW w:type="dxa" w:w="18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sz w:val="18"/>
                <w:szCs w:val="18"/>
              </w:rPr>
              <w:t xml:space="preserve">Risk: Vendor Lock-In</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Very low</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Medium-high</w:t>
            </w:r>
          </w:p>
        </w:tc>
        <w:tc>
          <w:tcPr>
            <w:tcW w:type="dxa" w:w="78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jc w:val="center"/>
            </w:pPr>
            <w:r>
              <w:rPr>
                <w:rFonts w:ascii="Arial" w:cs="Arial" w:eastAsia="Arial" w:hAnsi="Arial"/>
                <w:b/>
                <w:bCs/>
                <w:sz w:val="18"/>
                <w:szCs w:val="18"/>
              </w:rPr>
              <w:t xml:space="preserve">OS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Medium</w:t>
            </w:r>
          </w:p>
        </w:tc>
      </w:tr>
      <w:tr>
        <w:tc>
          <w:tcPr>
            <w:tcW w:type="dxa" w:w="18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sz w:val="18"/>
                <w:szCs w:val="18"/>
              </w:rPr>
              <w:t xml:space="preserve">Cost: Year 1 TCO</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€15,780</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€20,380 (+€4,600)</w:t>
            </w:r>
          </w:p>
        </w:tc>
        <w:tc>
          <w:tcPr>
            <w:tcW w:type="dxa" w:w="78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jc w:val="center"/>
            </w:pPr>
            <w:r>
              <w:rPr>
                <w:rFonts w:ascii="Arial" w:cs="Arial" w:eastAsia="Arial" w:hAnsi="Arial"/>
                <w:b/>
                <w:bCs/>
                <w:sz w:val="18"/>
                <w:szCs w:val="18"/>
              </w:rPr>
              <w:t xml:space="preserve">OS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High</w:t>
            </w:r>
          </w:p>
        </w:tc>
      </w:tr>
      <w:tr>
        <w:tc>
          <w:tcPr>
            <w:tcW w:type="dxa" w:w="18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sz w:val="18"/>
                <w:szCs w:val="18"/>
              </w:rPr>
              <w:t xml:space="preserve">Cost: 3-Year TCO</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€20,340</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€35,140 (+€14,800)</w:t>
            </w:r>
          </w:p>
        </w:tc>
        <w:tc>
          <w:tcPr>
            <w:tcW w:type="dxa" w:w="78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jc w:val="center"/>
            </w:pPr>
            <w:r>
              <w:rPr>
                <w:rFonts w:ascii="Arial" w:cs="Arial" w:eastAsia="Arial" w:hAnsi="Arial"/>
                <w:b/>
                <w:bCs/>
                <w:sz w:val="18"/>
                <w:szCs w:val="18"/>
              </w:rPr>
              <w:t xml:space="preserve">OS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High</w:t>
            </w:r>
          </w:p>
        </w:tc>
      </w:tr>
      <w:tr>
        <w:tc>
          <w:tcPr>
            <w:tcW w:type="dxa" w:w="18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sz w:val="18"/>
                <w:szCs w:val="18"/>
              </w:rPr>
              <w:t xml:space="preserve">Time to Deploy</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10 weeks</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7 weeks</w:t>
            </w:r>
          </w:p>
        </w:tc>
        <w:tc>
          <w:tcPr>
            <w:tcW w:type="dxa" w:w="78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top"/>
          </w:tcPr>
          <w:p>
            <w:pPr>
              <w:jc w:val="center"/>
            </w:pPr>
            <w:r>
              <w:rPr>
                <w:rFonts w:ascii="Arial" w:cs="Arial" w:eastAsia="Arial" w:hAnsi="Arial"/>
                <w:b/>
                <w:bCs/>
                <w:sz w:val="18"/>
                <w:szCs w:val="18"/>
              </w:rPr>
              <w:t xml:space="preserve">AWS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Medium</w:t>
            </w:r>
          </w:p>
        </w:tc>
      </w:tr>
      <w:tr>
        <w:tc>
          <w:tcPr>
            <w:tcW w:type="dxa" w:w="18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sz w:val="18"/>
                <w:szCs w:val="18"/>
              </w:rPr>
              <w:t xml:space="preserve">Operations Complexity</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Medium (with runbooks)</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Low-Medium (console-based)</w:t>
            </w:r>
          </w:p>
        </w:tc>
        <w:tc>
          <w:tcPr>
            <w:tcW w:type="dxa" w:w="78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top"/>
          </w:tcPr>
          <w:p>
            <w:pPr>
              <w:jc w:val="center"/>
            </w:pPr>
            <w:r>
              <w:rPr>
                <w:rFonts w:ascii="Arial" w:cs="Arial" w:eastAsia="Arial" w:hAnsi="Arial"/>
                <w:b/>
                <w:bCs/>
                <w:sz w:val="18"/>
                <w:szCs w:val="18"/>
              </w:rPr>
              <w:t xml:space="preserve">AWS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High — key constraint</w:t>
            </w:r>
          </w:p>
        </w:tc>
      </w:tr>
      <w:tr>
        <w:tc>
          <w:tcPr>
            <w:tcW w:type="dxa" w:w="18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sz w:val="18"/>
                <w:szCs w:val="18"/>
              </w:rPr>
              <w:t xml:space="preserve">Flexibility / Portability</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High — no lock-in</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Low — AWS-specific</w:t>
            </w:r>
          </w:p>
        </w:tc>
        <w:tc>
          <w:tcPr>
            <w:tcW w:type="dxa" w:w="78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jc w:val="center"/>
            </w:pPr>
            <w:r>
              <w:rPr>
                <w:rFonts w:ascii="Arial" w:cs="Arial" w:eastAsia="Arial" w:hAnsi="Arial"/>
                <w:b/>
                <w:bCs/>
                <w:sz w:val="18"/>
                <w:szCs w:val="18"/>
              </w:rPr>
              <w:t xml:space="preserve">OS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Medium</w:t>
            </w:r>
          </w:p>
        </w:tc>
      </w:tr>
      <w:tr>
        <w:tc>
          <w:tcPr>
            <w:tcW w:type="dxa" w:w="18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OVERALL DECISION</w:t>
            </w:r>
          </w:p>
        </w:tc>
        <w:tc>
          <w:tcPr>
            <w:tcW w:type="dxa" w:w="212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jc w:val="left"/>
            </w:pPr>
            <w:r>
              <w:rPr>
                <w:rFonts w:ascii="Arial" w:cs="Arial" w:eastAsia="Arial" w:hAnsi="Arial"/>
                <w:b/>
                <w:bCs/>
                <w:sz w:val="18"/>
                <w:szCs w:val="18"/>
              </w:rPr>
              <w:t xml:space="preserve">RECOMMENDED</w:t>
            </w:r>
          </w:p>
        </w:tc>
        <w:tc>
          <w:tcPr>
            <w:tcW w:type="dxa" w:w="2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sz w:val="18"/>
                <w:szCs w:val="18"/>
              </w:rPr>
              <w:t xml:space="preserve">Alternative</w:t>
            </w:r>
          </w:p>
        </w:tc>
        <w:tc>
          <w:tcPr>
            <w:tcW w:type="dxa" w:w="78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jc w:val="center"/>
            </w:pPr>
            <w:r>
              <w:rPr>
                <w:rFonts w:ascii="Arial" w:cs="Arial" w:eastAsia="Arial" w:hAnsi="Arial"/>
                <w:b/>
                <w:bCs/>
                <w:sz w:val="18"/>
                <w:szCs w:val="18"/>
              </w:rPr>
              <w:t xml:space="preserve">OS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sz w:val="18"/>
                <w:szCs w:val="18"/>
              </w:rPr>
              <w:t xml:space="preserve"/>
            </w:r>
          </w:p>
        </w:tc>
      </w:tr>
    </w:tbl>
    <w:p>
      <w:r>
        <w:rPr>
          <w:rFonts w:ascii="Arial" w:cs="Arial" w:eastAsia="Arial" w:hAnsi="Arial"/>
        </w:rPr>
        <w:t xml:space="preserve"/>
      </w:r>
    </w:p>
    <w:p>
      <w:pPr>
        <w:pStyle w:val="Heading2"/>
      </w:pPr>
      <w:r>
        <w:rPr>
          <w:rFonts w:ascii="Arial" w:cs="Arial" w:eastAsia="Arial" w:hAnsi="Arial"/>
          <w:b/>
          <w:bCs/>
          <w:color w:val="2E75B6"/>
        </w:rPr>
        <w:t xml:space="preserve">7.3 Decision Rationale</w:t>
      </w:r>
    </w:p>
    <w:p>
      <w:pPr>
        <w:pStyle w:val="Heading3"/>
      </w:pPr>
      <w:r>
        <w:rPr>
          <w:rFonts w:ascii="Arial" w:cs="Arial" w:eastAsia="Arial" w:hAnsi="Arial"/>
          <w:b/>
          <w:bCs/>
          <w:color w:val="17375E"/>
        </w:rPr>
        <w:t xml:space="preserve">Primary Deciding Factors</w:t>
      </w:r>
    </w:p>
    <w:p>
      <w:pPr>
        <w:pStyle w:val="ListParagraph"/>
        <w:numPr>
          <w:ilvl w:val="0"/>
          <w:numId w:val="2"/>
        </w:numPr>
      </w:pPr>
      <w:r>
        <w:rPr>
          <w:rFonts w:ascii="Arial" w:cs="Arial" w:eastAsia="Arial" w:hAnsi="Arial"/>
        </w:rPr>
        <w:t xml:space="preserve">Cost differential is decisive at this project scale. The €14,800 saving over 3 years (AWS costs 73% more) is not justified by the operational benefits for a team that already has software operations capability.</w:t>
      </w:r>
    </w:p>
    <w:p>
      <w:pPr>
        <w:pStyle w:val="ListParagraph"/>
        <w:numPr>
          <w:ilvl w:val="0"/>
          <w:numId w:val="2"/>
        </w:numPr>
      </w:pPr>
      <w:r>
        <w:rPr>
          <w:rFonts w:ascii="Arial" w:cs="Arial" w:eastAsia="Arial" w:hAnsi="Arial"/>
        </w:rPr>
        <w:t xml:space="preserve">The client's operations team is not zero-capability — they manage software systems. The gap between managing a VPS and managing cloud infrastructure is bridgeable through runbooks and training, especially when n8n and LangGraph reduce day-to-day complexity.</w:t>
      </w:r>
    </w:p>
    <w:p>
      <w:pPr>
        <w:pStyle w:val="ListParagraph"/>
        <w:numPr>
          <w:ilvl w:val="0"/>
          <w:numId w:val="2"/>
        </w:numPr>
      </w:pPr>
      <w:r>
        <w:rPr>
          <w:rFonts w:ascii="Arial" w:cs="Arial" w:eastAsia="Arial" w:hAnsi="Arial"/>
        </w:rPr>
        <w:t xml:space="preserve">Data sovereignty is increasingly important in European regulatory environments. Self-hosted infrastructure on EU-based VPS providers eliminates CLOUD Act risk entirely, which AWS cannot fully address even with EU region selection.</w:t>
      </w:r>
    </w:p>
    <w:p>
      <w:pPr>
        <w:pStyle w:val="ListParagraph"/>
        <w:numPr>
          <w:ilvl w:val="0"/>
          <w:numId w:val="2"/>
        </w:numPr>
      </w:pPr>
      <w:r>
        <w:rPr>
          <w:rFonts w:ascii="Arial" w:cs="Arial" w:eastAsia="Arial" w:hAnsi="Arial"/>
        </w:rPr>
        <w:t xml:space="preserve">Vendor lock-in risk is asymmetric. Moving from open-source to AWS is straightforward (one-way door). Moving from AWS back to open-source or to another cloud requires significant rewrite effort (one-way door the other direction, at much higher cost).</w:t>
      </w:r>
    </w:p>
    <w:p>
      <w:r>
        <w:rPr>
          <w:rFonts w:ascii="Arial" w:cs="Arial" w:eastAsia="Arial" w:hAnsi="Arial"/>
        </w:rPr>
        <w:t xml:space="preserve"/>
      </w:r>
    </w:p>
    <w:p>
      <w:pPr>
        <w:pStyle w:val="Heading3"/>
      </w:pPr>
      <w:r>
        <w:rPr>
          <w:rFonts w:ascii="Arial" w:cs="Arial" w:eastAsia="Arial" w:hAnsi="Arial"/>
          <w:b/>
          <w:bCs/>
          <w:color w:val="17375E"/>
        </w:rPr>
        <w:t xml:space="preserve">Risks Being Accepted</w:t>
      </w:r>
    </w:p>
    <w:p>
      <w:pPr>
        <w:pStyle w:val="ListParagraph"/>
        <w:numPr>
          <w:ilvl w:val="0"/>
          <w:numId w:val="2"/>
        </w:numPr>
      </w:pPr>
      <w:r>
        <w:rPr>
          <w:rFonts w:ascii="Arial" w:cs="Arial" w:eastAsia="Arial" w:hAnsi="Arial"/>
        </w:rPr>
        <w:t xml:space="preserve">Accepting higher operational complexity. Mitigated by: 4-week structured handover, comprehensive runbooks with screenshot guides, VPS provider escalation path, and quarterly check-in support retainer.</w:t>
      </w:r>
    </w:p>
    <w:p>
      <w:pPr>
        <w:pStyle w:val="ListParagraph"/>
        <w:numPr>
          <w:ilvl w:val="0"/>
          <w:numId w:val="2"/>
        </w:numPr>
      </w:pPr>
      <w:r>
        <w:rPr>
          <w:rFonts w:ascii="Arial" w:cs="Arial" w:eastAsia="Arial" w:hAnsi="Arial"/>
        </w:rPr>
        <w:t xml:space="preserve">Accepting dependency on third-party open-source projects (LangChain, Pinecone). Mitigated by: abstraction layers in the codebase, annual stack review, and vendor diversification (Qdrant as tested fallback).</w:t>
      </w:r>
    </w:p>
    <w:p>
      <w:r>
        <w:rPr>
          <w:rFonts w:ascii="Arial" w:cs="Arial" w:eastAsia="Arial" w:hAnsi="Arial"/>
        </w:rPr>
        <w:t xml:space="preserve"/>
      </w:r>
    </w:p>
    <w:p>
      <w:pPr>
        <w:pStyle w:val="Heading3"/>
      </w:pPr>
      <w:r>
        <w:rPr>
          <w:rFonts w:ascii="Arial" w:cs="Arial" w:eastAsia="Arial" w:hAnsi="Arial"/>
          <w:b/>
          <w:bCs/>
          <w:color w:val="17375E"/>
        </w:rPr>
        <w:t xml:space="preserve">What Is Sacrificed by Choosing Open-Source</w:t>
      </w:r>
    </w:p>
    <w:p>
      <w:pPr>
        <w:pStyle w:val="ListParagraph"/>
        <w:numPr>
          <w:ilvl w:val="0"/>
          <w:numId w:val="2"/>
        </w:numPr>
      </w:pPr>
      <w:r>
        <w:rPr>
          <w:rFonts w:ascii="Arial" w:cs="Arial" w:eastAsia="Arial" w:hAnsi="Arial"/>
        </w:rPr>
        <w:t xml:space="preserve">Auto-scaling: the self-hosted VPS does not automatically scale. However, 50-500 concurrent user projections are manageable on a 4GB VPS with connection pooling and async endpoints.</w:t>
      </w:r>
    </w:p>
    <w:p>
      <w:pPr>
        <w:pStyle w:val="ListParagraph"/>
        <w:numPr>
          <w:ilvl w:val="0"/>
          <w:numId w:val="2"/>
        </w:numPr>
      </w:pPr>
      <w:r>
        <w:rPr>
          <w:rFonts w:ascii="Arial" w:cs="Arial" w:eastAsia="Arial" w:hAnsi="Arial"/>
        </w:rPr>
        <w:t xml:space="preserve">Compliance shortcut: AWS's pre-certified compliance posture means the client must conduct their own GDPR and security audits. Cost of annual audit (~€500) is included in the open-source TCO.</w:t>
      </w:r>
    </w:p>
    <w:p>
      <w:pPr>
        <w:pStyle w:val="ListParagraph"/>
        <w:numPr>
          <w:ilvl w:val="0"/>
          <w:numId w:val="2"/>
        </w:numPr>
      </w:pPr>
      <w:r>
        <w:rPr>
          <w:rFonts w:ascii="Arial" w:cs="Arial" w:eastAsia="Arial" w:hAnsi="Arial"/>
        </w:rPr>
        <w:t xml:space="preserve">3-week faster deployment: AWS CDK-based deployment would be ready in 7 weeks vs 10 weeks. The 3-week difference does not justify €14,800 extra cost over 3 years.</w:t>
      </w:r>
    </w:p>
    <w:p>
      <w:r>
        <w:rPr>
          <w:rFonts w:ascii="Arial" w:cs="Arial" w:eastAsia="Arial" w:hAnsi="Arial"/>
        </w:rPr>
        <w:t xml:space="preserve"/>
      </w:r>
    </w:p>
    <w:p>
      <w:pPr>
        <w:pStyle w:val="Heading2"/>
      </w:pPr>
      <w:r>
        <w:rPr>
          <w:rFonts w:ascii="Arial" w:cs="Arial" w:eastAsia="Arial" w:hAnsi="Arial"/>
          <w:b/>
          <w:bCs/>
          <w:color w:val="2E75B6"/>
        </w:rPr>
        <w:t xml:space="preserve">7.4 Implementation Considerations</w:t>
      </w:r>
    </w:p>
    <w:p>
      <w:pPr>
        <w:pStyle w:val="Heading3"/>
      </w:pPr>
      <w:r>
        <w:rPr>
          <w:rFonts w:ascii="Arial" w:cs="Arial" w:eastAsia="Arial" w:hAnsi="Arial"/>
          <w:b/>
          <w:bCs/>
          <w:color w:val="17375E"/>
        </w:rPr>
        <w:t xml:space="preserve">Next Steps (If Recommendation Accepted)</w:t>
      </w:r>
    </w:p>
    <w:p>
      <w:pPr>
        <w:pStyle w:val="ListParagraph"/>
        <w:numPr>
          <w:ilvl w:val="0"/>
          <w:numId w:val="2"/>
        </w:numPr>
      </w:pPr>
      <w:r>
        <w:rPr>
          <w:rFonts w:ascii="Arial" w:cs="Arial" w:eastAsia="Arial" w:hAnsi="Arial"/>
        </w:rPr>
        <w:t xml:space="preserve">Week 0: Sign hosting agreement with DigitalOcean (EU Amsterdam region). Procure Pinecone Serverless plan. Set up project repository and CI/CD pipeline.</w:t>
      </w:r>
    </w:p>
    <w:p>
      <w:pPr>
        <w:pStyle w:val="ListParagraph"/>
        <w:numPr>
          <w:ilvl w:val="0"/>
          <w:numId w:val="2"/>
        </w:numPr>
      </w:pPr>
      <w:r>
        <w:rPr>
          <w:rFonts w:ascii="Arial" w:cs="Arial" w:eastAsia="Arial" w:hAnsi="Arial"/>
        </w:rPr>
        <w:t xml:space="preserve">Week 1-2: Provision VPS, configure Docker environment, deploy n8n, set up domain and SSL, configure LangSmith workspace.</w:t>
      </w:r>
    </w:p>
    <w:p>
      <w:pPr>
        <w:pStyle w:val="ListParagraph"/>
        <w:numPr>
          <w:ilvl w:val="0"/>
          <w:numId w:val="2"/>
        </w:numPr>
      </w:pPr>
      <w:r>
        <w:rPr>
          <w:rFonts w:ascii="Arial" w:cs="Arial" w:eastAsia="Arial" w:hAnsi="Arial"/>
        </w:rPr>
        <w:t xml:space="preserve">Week 3-5: Build and test core RAG pipeline: ingestion → embedding → Pinecone → LangGraph retrieval → LLM generation. Integrate OpenEvals.</w:t>
      </w:r>
    </w:p>
    <w:p>
      <w:pPr>
        <w:pStyle w:val="ListParagraph"/>
        <w:numPr>
          <w:ilvl w:val="0"/>
          <w:numId w:val="2"/>
        </w:numPr>
      </w:pPr>
      <w:r>
        <w:rPr>
          <w:rFonts w:ascii="Arial" w:cs="Arial" w:eastAsia="Arial" w:hAnsi="Arial"/>
        </w:rPr>
        <w:t xml:space="preserve">Week 6-7: Build n8n automation workflows for document ingestion triggers. Integrate Slack/email notifications for ingestion status.</w:t>
      </w:r>
    </w:p>
    <w:p>
      <w:pPr>
        <w:pStyle w:val="ListParagraph"/>
        <w:numPr>
          <w:ilvl w:val="0"/>
          <w:numId w:val="2"/>
        </w:numPr>
      </w:pPr>
      <w:r>
        <w:rPr>
          <w:rFonts w:ascii="Arial" w:cs="Arial" w:eastAsia="Arial" w:hAnsi="Arial"/>
        </w:rPr>
        <w:t xml:space="preserve">Week 8-9: Evaluation and QA — run full eval suite, performance testing, security hardening, PII filter validation.</w:t>
      </w:r>
    </w:p>
    <w:p>
      <w:pPr>
        <w:pStyle w:val="ListParagraph"/>
        <w:numPr>
          <w:ilvl w:val="0"/>
          <w:numId w:val="2"/>
        </w:numPr>
      </w:pPr>
      <w:r>
        <w:rPr>
          <w:rFonts w:ascii="Arial" w:cs="Arial" w:eastAsia="Arial" w:hAnsi="Arial"/>
        </w:rPr>
        <w:t xml:space="preserve">Week 10: Structured handover. 4-session operations training. Runbook sign-off. Monitoring dashboard walkthrough.</w:t>
      </w:r>
    </w:p>
    <w:p>
      <w:r>
        <w:rPr>
          <w:rFonts w:ascii="Arial" w:cs="Arial" w:eastAsia="Arial" w:hAnsi="Arial"/>
        </w:rPr>
        <w:t xml:space="preserve"/>
      </w:r>
    </w:p>
    <w:p>
      <w:pPr>
        <w:pStyle w:val="Heading3"/>
      </w:pPr>
      <w:r>
        <w:rPr>
          <w:rFonts w:ascii="Arial" w:cs="Arial" w:eastAsia="Arial" w:hAnsi="Arial"/>
          <w:b/>
          <w:bCs/>
          <w:color w:val="17375E"/>
        </w:rPr>
        <w:t xml:space="preserve">Critical Success Factors</w:t>
      </w:r>
    </w:p>
    <w:p>
      <w:pPr>
        <w:pStyle w:val="ListParagraph"/>
        <w:numPr>
          <w:ilvl w:val="0"/>
          <w:numId w:val="2"/>
        </w:numPr>
      </w:pPr>
      <w:r>
        <w:rPr>
          <w:rFonts w:ascii="Arial" w:cs="Arial" w:eastAsia="Arial" w:hAnsi="Arial"/>
        </w:rPr>
        <w:t xml:space="preserve">Operations team must complete the 4-week training programme before the development team disengages.</w:t>
      </w:r>
    </w:p>
    <w:p>
      <w:pPr>
        <w:pStyle w:val="ListParagraph"/>
        <w:numPr>
          <w:ilvl w:val="0"/>
          <w:numId w:val="2"/>
        </w:numPr>
      </w:pPr>
      <w:r>
        <w:rPr>
          <w:rFonts w:ascii="Arial" w:cs="Arial" w:eastAsia="Arial" w:hAnsi="Arial"/>
        </w:rPr>
        <w:t xml:space="preserve">API budget alerts must be configured in OpenAI and Anthropic dashboards before go-live.</w:t>
      </w:r>
    </w:p>
    <w:p>
      <w:pPr>
        <w:pStyle w:val="ListParagraph"/>
        <w:numPr>
          <w:ilvl w:val="0"/>
          <w:numId w:val="2"/>
        </w:numPr>
      </w:pPr>
      <w:r>
        <w:rPr>
          <w:rFonts w:ascii="Arial" w:cs="Arial" w:eastAsia="Arial" w:hAnsi="Arial"/>
        </w:rPr>
        <w:t xml:space="preserve">RAG evaluation baseline (50-question test set) must be created and approved by client subject matter experts before Week 8.</w:t>
      </w:r>
    </w:p>
    <w:p>
      <w:pPr>
        <w:pStyle w:val="ListParagraph"/>
        <w:numPr>
          <w:ilvl w:val="0"/>
          <w:numId w:val="2"/>
        </w:numPr>
      </w:pPr>
      <w:r>
        <w:rPr>
          <w:rFonts w:ascii="Arial" w:cs="Arial" w:eastAsia="Arial" w:hAnsi="Arial"/>
        </w:rPr>
        <w:t xml:space="preserve">All infrastructure configuration must be codified (Ansible/bash scripts) so any server can be rebuilt in under 2 hours.</w:t>
      </w:r>
    </w:p>
    <w:p>
      <w:r>
        <w:rPr>
          <w:rFonts w:ascii="Arial" w:cs="Arial" w:eastAsia="Arial" w:hAnsi="Arial"/>
        </w:rPr>
        <w:t xml:space="preserve"/>
      </w:r>
    </w:p>
    <w:p>
      <w:pPr>
        <w:pBdr>
          <w:top w:val="single" w:color="2E75B6" w:sz="6" w:space="4"/>
        </w:pBdr>
      </w:pPr>
      <w:r>
        <w:rPr>
          <w:rFonts w:ascii="Arial" w:cs="Arial" w:eastAsia="Arial" w:hAnsi="Arial"/>
        </w:rPr>
        <w:t xml:space="preserve"/>
      </w:r>
    </w:p>
    <w:p>
      <w:r>
        <w:rPr>
          <w:rFonts w:ascii="Arial" w:cs="Arial" w:eastAsia="Arial" w:hAnsi="Arial"/>
        </w:rPr>
        <w:t xml:space="preserve"/>
      </w:r>
    </w:p>
    <w:p>
      <w:pPr>
        <w:jc w:val="center"/>
      </w:pPr>
      <w:r>
        <w:rPr>
          <w:rFonts w:ascii="Arial" w:cs="Arial" w:eastAsia="Arial" w:hAnsi="Arial"/>
          <w:b/>
          <w:bCs/>
          <w:color w:val="1F4E79"/>
          <w:sz w:val="32"/>
          <w:szCs w:val="32"/>
        </w:rPr>
        <w:t xml:space="preserve">RECOMMENDATION: OPEN-SOURCE STACK</w:t>
      </w:r>
    </w:p>
    <w:p>
      <w:pPr>
        <w:jc w:val="center"/>
      </w:pPr>
      <w:r>
        <w:rPr>
          <w:rFonts w:ascii="Arial" w:cs="Arial" w:eastAsia="Arial" w:hAnsi="Arial"/>
          <w:color w:val="595959"/>
          <w:sz w:val="22"/>
          <w:szCs w:val="22"/>
        </w:rPr>
        <w:t xml:space="preserve">3-Year TCO: €20,340  |  Time to Deploy: 10 weeks  |  Data Sovereignty: Full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737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2026-06-03T15:32:27.238Z</dcterms:created>
  <dcterms:modified xsi:type="dcterms:W3CDTF">2026-06-03T15:32:27.250Z</dcterms:modified>
</cp:coreProperties>
</file>

<file path=docProps/custom.xml><?xml version="1.0" encoding="utf-8"?>
<Properties xmlns="http://schemas.openxmlformats.org/officeDocument/2006/custom-properties" xmlns:vt="http://schemas.openxmlformats.org/officeDocument/2006/docPropsVTypes"/>
</file>