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08080"/>
          <w:sz w:val="24"/>
          <w:szCs w:val="24"/>
        </w:rPr>
        <w:t xml:space="preserve">Research Dossier</w:t>
      </w:r>
    </w:p>
    <w:p>
      <w:pPr>
        <w:spacing w:after="120" w:before="0"/>
        <w:jc w:val="center"/>
      </w:pPr>
      <w:r>
        <w:rPr>
          <w:rFonts w:ascii="Arial" w:cs="Arial" w:eastAsia="Arial" w:hAnsi="Arial"/>
          <w:b/>
          <w:bCs/>
          <w:color w:val="1F4E79"/>
          <w:sz w:val="44"/>
          <w:szCs w:val="44"/>
        </w:rPr>
        <w:t xml:space="preserve">Sources behind the SaaS churn proposal</w:t>
      </w:r>
    </w:p>
    <w:p>
      <w:pPr>
        <w:spacing w:after="240" w:before="0"/>
        <w:jc w:val="center"/>
      </w:pPr>
      <w:r>
        <w:rPr>
          <w:rFonts w:ascii="Arial" w:cs="Arial" w:eastAsia="Arial" w:hAnsi="Arial"/>
          <w:i/>
          <w:iCs/>
          <w:color w:val="595959"/>
          <w:sz w:val="28"/>
          <w:szCs w:val="28"/>
        </w:rPr>
        <w:t xml:space="preserve">Companion to the Chleo Churn Prediction proposal</w:t>
      </w:r>
    </w:p>
    <w:p>
      <w:pPr>
        <w:spacing w:after="480" w:before="0"/>
        <w:jc w:val="center"/>
      </w:pPr>
      <w:r>
        <w:rPr>
          <w:rFonts w:ascii="Arial" w:cs="Arial" w:eastAsia="Arial" w:hAnsi="Arial"/>
          <w:color w:val="808080"/>
          <w:sz w:val="22"/>
          <w:szCs w:val="22"/>
        </w:rPr>
        <w:t xml:space="preserve">Prepared by Markus von Aschoff  |  markus@vonaschoff.de  |  June 2026</w:t>
      </w:r>
    </w:p>
    <w:p>
      <w:pPr>
        <w:pStyle w:val="Heading1"/>
        <w:spacing w:after="180" w:before="360"/>
      </w:pPr>
      <w:r>
        <w:rPr>
          <w:rFonts w:ascii="Arial" w:cs="Arial" w:eastAsia="Arial" w:hAnsi="Arial"/>
          <w:b/>
          <w:bCs/>
          <w:color w:val="1F4E79"/>
          <w:sz w:val="32"/>
          <w:szCs w:val="32"/>
        </w:rPr>
        <w:t xml:space="preserve">What's in this dossier</w:t>
      </w:r>
    </w:p>
    <w:p>
      <w:pPr>
        <w:spacing w:after="120" w:line="300"/>
        <w:jc w:val="left"/>
      </w:pPr>
      <w:r>
        <w:rPr>
          <w:rFonts w:ascii="Arial" w:cs="Arial" w:eastAsia="Arial" w:hAnsi="Arial"/>
          <w:b w:val="false"/>
          <w:bCs w:val="false"/>
          <w:i w:val="false"/>
          <w:iCs w:val="false"/>
          <w:sz w:val="22"/>
          <w:szCs w:val="22"/>
        </w:rPr>
        <w:t xml:space="preserve">Four sources back the SaaS churn benchmarks in the main proposal. Each entry below has the publisher, date, methodology, the key data points used in the proposal, and a direct link to the original.</w:t>
      </w:r>
    </w:p>
    <w:p>
      <w:pPr>
        <w:spacing w:after="120" w:line="300"/>
        <w:jc w:val="left"/>
      </w:pPr>
      <w:r>
        <w:rPr>
          <w:rFonts w:ascii="Arial" w:cs="Arial" w:eastAsia="Arial" w:hAnsi="Arial"/>
          <w:b w:val="false"/>
          <w:bCs w:val="false"/>
          <w:i w:val="false"/>
          <w:iCs w:val="false"/>
          <w:sz w:val="22"/>
          <w:szCs w:val="22"/>
        </w:rPr>
        <w:t xml:space="preserve">All four are publicly available. Two are vendor research with stated sample sizes (Recurly, Optifai), one is a private-startup benchmark study (Lighter Capital), and one is a market index (Paddle / ProfitWell). I've flagged exactly what each source can and cannot tell you.</w:t>
      </w:r>
    </w:p>
    <w:p>
      <w:pPr>
        <w:pStyle w:val="Heading2"/>
        <w:spacing w:after="120" w:before="240"/>
      </w:pPr>
      <w:r>
        <w:rPr>
          <w:rFonts w:ascii="Arial" w:cs="Arial" w:eastAsia="Arial" w:hAnsi="Arial"/>
          <w:b/>
          <w:bCs/>
          <w:color w:val="2E74B5"/>
          <w:sz w:val="26"/>
          <w:szCs w:val="26"/>
        </w:rPr>
        <w:t xml:space="preserve">Honest correction to flag in the proposal</w:t>
      </w:r>
    </w:p>
    <w:p>
      <w:pPr>
        <w:spacing w:after="120" w:line="300"/>
        <w:jc w:val="left"/>
      </w:pPr>
      <w:r>
        <w:rPr>
          <w:rFonts w:ascii="Arial" w:cs="Arial" w:eastAsia="Arial" w:hAnsi="Arial"/>
          <w:b w:val="false"/>
          <w:bCs w:val="false"/>
          <w:i w:val="false"/>
          <w:iCs w:val="false"/>
          <w:sz w:val="22"/>
          <w:szCs w:val="22"/>
        </w:rPr>
        <w:t xml:space="preserve">While pulling the originals, I caught one number worth fixing. The proposal cites "B2B SaaS median annual churn: 3.5%" attributed to Recurly. The Vena Solutions article quotes 3.5%, but the underlying Recurly study reports 3.27% (overall median, all industries) and 3.8% specifically for B2B Software. Either is defensible, but 3.27% is the correct number for the broader claim, and 3.8% is the more precise number for B2B SaaS. The 3.5% in Vena's table appears to be a midpoint or rounded figure.</w:t>
      </w:r>
    </w:p>
    <w:p>
      <w:pPr>
        <w:spacing w:after="120" w:line="300"/>
        <w:jc w:val="left"/>
      </w:pPr>
      <w:r>
        <w:rPr>
          <w:rFonts w:ascii="Arial" w:cs="Arial" w:eastAsia="Arial" w:hAnsi="Arial"/>
          <w:b w:val="false"/>
          <w:bCs w:val="false"/>
          <w:i w:val="false"/>
          <w:iCs w:val="false"/>
          <w:sz w:val="22"/>
          <w:szCs w:val="22"/>
        </w:rPr>
        <w:t xml:space="preserve">Recommendation: in the next revision of the proposal, change 3.5% to 3.8% (B2B Software, Recurly direct) for tighter sourcing.</w:t>
      </w:r>
    </w:p>
    <w:p>
      <w:r>
        <w:br w:type="page"/>
      </w:r>
    </w:p>
    <w:p>
      <w:pPr>
        <w:pStyle w:val="Heading1"/>
        <w:spacing w:after="180" w:before="360"/>
      </w:pPr>
      <w:r>
        <w:rPr>
          <w:rFonts w:ascii="Arial" w:cs="Arial" w:eastAsia="Arial" w:hAnsi="Arial"/>
          <w:b/>
          <w:bCs/>
          <w:color w:val="1F4E79"/>
          <w:sz w:val="32"/>
          <w:szCs w:val="32"/>
        </w:rPr>
        <w:t xml:space="preserve">Source 1: Recurly Customer Churn Benchmarks</w:t>
      </w:r>
    </w:p>
    <w:p>
      <w:pPr>
        <w:pStyle w:val="Heading2"/>
        <w:spacing w:after="120" w:before="240"/>
      </w:pPr>
      <w:r>
        <w:rPr>
          <w:rFonts w:ascii="Arial" w:cs="Arial" w:eastAsia="Arial" w:hAnsi="Arial"/>
          <w:b/>
          <w:bCs/>
          <w:color w:val="2E74B5"/>
          <w:sz w:val="26"/>
          <w:szCs w:val="2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Customer churn benchmarks: How does your churn rate compare?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Recurly, Inc.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Vendor research, web-based benchmark study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 size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1,200+ subscription sites on the Recurly platform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 window</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January to December 2023 (12 months)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Monthly churn rates calculated by dividing churned subscribers by total subscribers. Median, 25th, and 75th percentile values used to eliminate outliers.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Source URL: </w:t>
      </w:r>
      <w:hyperlink w:history="1" r:id="rIdxckz0ody1pelselozqwjm">
        <w:r>
          <w:rPr>
            <w:rFonts w:ascii="Arial" w:cs="Arial" w:eastAsia="Arial" w:hAnsi="Arial"/>
            <w:color w:val="0563C1"/>
            <w:sz w:val="22"/>
            <w:szCs w:val="22"/>
            <w:u w:val="single"/>
          </w:rPr>
          <w:t xml:space="preserve">https://recurly.com/research/churn-rate-benchmarks/</w:t>
        </w:r>
      </w:hyperlink>
    </w:p>
    <w:p>
      <w:pPr>
        <w:pStyle w:val="Heading2"/>
        <w:spacing w:after="120" w:before="240"/>
      </w:pPr>
      <w:r>
        <w:rPr>
          <w:rFonts w:ascii="Arial" w:cs="Arial" w:eastAsia="Arial" w:hAnsi="Arial"/>
          <w:b/>
          <w:bCs/>
          <w:color w:val="2E74B5"/>
          <w:sz w:val="26"/>
          <w:szCs w:val="26"/>
        </w:rPr>
        <w:t xml:space="preserve">Key data points used in the proposal</w:t>
      </w:r>
    </w:p>
    <w:p>
      <w:pPr>
        <w:pStyle w:val="ListParagraph"/>
        <w:numPr>
          <w:ilvl w:val="0"/>
          <w:numId w:val="2"/>
        </w:numPr>
        <w:spacing w:after="80" w:line="300"/>
      </w:pPr>
      <w:r>
        <w:rPr>
          <w:rFonts w:ascii="Arial" w:cs="Arial" w:eastAsia="Arial" w:hAnsi="Arial"/>
          <w:sz w:val="22"/>
          <w:szCs w:val="22"/>
        </w:rPr>
        <w:t xml:space="preserve">Overall median monthly churn rate across 1,200+ subscription sites: 3.27% (voluntary 2.41% + involuntary 0.86%).</w:t>
      </w:r>
    </w:p>
    <w:p>
      <w:pPr>
        <w:pStyle w:val="ListParagraph"/>
        <w:numPr>
          <w:ilvl w:val="0"/>
          <w:numId w:val="2"/>
        </w:numPr>
        <w:spacing w:after="80" w:line="300"/>
      </w:pPr>
      <w:r>
        <w:rPr>
          <w:rFonts w:ascii="Arial" w:cs="Arial" w:eastAsia="Arial" w:hAnsi="Arial"/>
          <w:sz w:val="22"/>
          <w:szCs w:val="22"/>
        </w:rPr>
        <w:t xml:space="preserve">B2B industries (Software and Business &amp; Professional Services) average churn: 3.8%.</w:t>
      </w:r>
    </w:p>
    <w:p>
      <w:pPr>
        <w:pStyle w:val="ListParagraph"/>
        <w:numPr>
          <w:ilvl w:val="0"/>
          <w:numId w:val="2"/>
        </w:numPr>
        <w:spacing w:after="80" w:line="300"/>
      </w:pPr>
      <w:r>
        <w:rPr>
          <w:rFonts w:ascii="Arial" w:cs="Arial" w:eastAsia="Arial" w:hAnsi="Arial"/>
          <w:sz w:val="22"/>
          <w:szCs w:val="22"/>
        </w:rPr>
        <w:t xml:space="preserve">DTC industries (Digital Media, Consumer Goods, Education) average churn: 6.5%.</w:t>
      </w:r>
    </w:p>
    <w:p>
      <w:pPr>
        <w:pStyle w:val="ListParagraph"/>
        <w:numPr>
          <w:ilvl w:val="0"/>
          <w:numId w:val="2"/>
        </w:numPr>
        <w:spacing w:after="80" w:line="300"/>
      </w:pPr>
      <w:r>
        <w:rPr>
          <w:rFonts w:ascii="Arial" w:cs="Arial" w:eastAsia="Arial" w:hAnsi="Arial"/>
          <w:sz w:val="22"/>
          <w:szCs w:val="22"/>
        </w:rPr>
        <w:t xml:space="preserve">54.5% of Recurly customers reduced overall churn rates year-over-year by leaning on retention practices: customer success investment, flexible plans, pause features, loyalty incentives, billing improvements.</w:t>
      </w:r>
    </w:p>
    <w:p>
      <w:pPr>
        <w:pStyle w:val="ListParagraph"/>
        <w:numPr>
          <w:ilvl w:val="0"/>
          <w:numId w:val="2"/>
        </w:numPr>
        <w:spacing w:after="80" w:line="300"/>
      </w:pPr>
      <w:r>
        <w:rPr>
          <w:rFonts w:ascii="Arial" w:cs="Arial" w:eastAsia="Arial" w:hAnsi="Arial"/>
          <w:sz w:val="22"/>
          <w:szCs w:val="22"/>
        </w:rPr>
        <w:t xml:space="preserve">44.1% of businesses saw a decrease in voluntary churn specifically.</w:t>
      </w:r>
    </w:p>
    <w:p>
      <w:pPr>
        <w:pStyle w:val="Heading2"/>
        <w:spacing w:after="120" w:before="240"/>
      </w:pPr>
      <w:r>
        <w:rPr>
          <w:rFonts w:ascii="Arial" w:cs="Arial" w:eastAsia="Arial" w:hAnsi="Arial"/>
          <w:b/>
          <w:bCs/>
          <w:color w:val="2E74B5"/>
          <w:sz w:val="26"/>
          <w:szCs w:val="26"/>
        </w:rPr>
        <w:t xml:space="preserve">What this source can and cannot tell you</w:t>
      </w:r>
    </w:p>
    <w:p>
      <w:pPr>
        <w:pStyle w:val="ListParagraph"/>
        <w:numPr>
          <w:ilvl w:val="0"/>
          <w:numId w:val="2"/>
        </w:numPr>
        <w:spacing w:after="80" w:line="300"/>
      </w:pPr>
      <w:r>
        <w:rPr>
          <w:rFonts w:ascii="Arial" w:cs="Arial" w:eastAsia="Arial" w:hAnsi="Arial"/>
          <w:b/>
          <w:bCs/>
          <w:i w:val="false"/>
          <w:iCs w:val="false"/>
          <w:sz w:val="22"/>
          <w:szCs w:val="22"/>
        </w:rPr>
        <w:t xml:space="preserve">Strong on: </w:t>
      </w:r>
      <w:r>
        <w:rPr>
          <w:rFonts w:ascii="Arial" w:cs="Arial" w:eastAsia="Arial" w:hAnsi="Arial"/>
          <w:b w:val="false"/>
          <w:bCs w:val="false"/>
          <w:i w:val="false"/>
          <w:iCs w:val="false"/>
          <w:sz w:val="22"/>
          <w:szCs w:val="22"/>
        </w:rPr>
        <w:t xml:space="preserve">median churn rates by industry, voluntary vs. involuntary split, the impact of retention features on churn.</w:t>
      </w:r>
    </w:p>
    <w:p>
      <w:pPr>
        <w:pStyle w:val="ListParagraph"/>
        <w:numPr>
          <w:ilvl w:val="0"/>
          <w:numId w:val="2"/>
        </w:numPr>
        <w:spacing w:after="80" w:line="300"/>
      </w:pPr>
      <w:r>
        <w:rPr>
          <w:rFonts w:ascii="Arial" w:cs="Arial" w:eastAsia="Arial" w:hAnsi="Arial"/>
          <w:b/>
          <w:bCs/>
          <w:i w:val="false"/>
          <w:iCs w:val="false"/>
          <w:sz w:val="22"/>
          <w:szCs w:val="22"/>
        </w:rPr>
        <w:t xml:space="preserve">Weak on: </w:t>
      </w:r>
      <w:r>
        <w:rPr>
          <w:rFonts w:ascii="Arial" w:cs="Arial" w:eastAsia="Arial" w:hAnsi="Arial"/>
          <w:b w:val="false"/>
          <w:bCs w:val="false"/>
          <w:i w:val="false"/>
          <w:iCs w:val="false"/>
          <w:sz w:val="22"/>
          <w:szCs w:val="22"/>
        </w:rPr>
        <w:t xml:space="preserve">company-size segmentation. Recurly's data isn't broken out by SMB vs. mid-market vs. enterprise, only by industry and price tier. For company-size cuts, the proposal relies on Optifai.</w:t>
      </w:r>
    </w:p>
    <w:p>
      <w:pPr>
        <w:pStyle w:val="ListParagraph"/>
        <w:numPr>
          <w:ilvl w:val="0"/>
          <w:numId w:val="2"/>
        </w:numPr>
        <w:spacing w:after="80" w:line="300"/>
      </w:pPr>
      <w:r>
        <w:rPr>
          <w:rFonts w:ascii="Arial" w:cs="Arial" w:eastAsia="Arial" w:hAnsi="Arial"/>
          <w:b/>
          <w:bCs/>
          <w:i w:val="false"/>
          <w:iCs w:val="false"/>
          <w:sz w:val="22"/>
          <w:szCs w:val="22"/>
        </w:rPr>
        <w:t xml:space="preserve">Bias to flag: </w:t>
      </w:r>
      <w:r>
        <w:rPr>
          <w:rFonts w:ascii="Arial" w:cs="Arial" w:eastAsia="Arial" w:hAnsi="Arial"/>
          <w:b w:val="false"/>
          <w:bCs w:val="false"/>
          <w:i w:val="false"/>
          <w:iCs w:val="false"/>
          <w:sz w:val="22"/>
          <w:szCs w:val="22"/>
        </w:rPr>
        <w:t xml:space="preserve">Recurly is a billing platform. Their customer base self-selects toward subscription-mature businesses, so churn rates may run lower than the broader SaaS population.</w:t>
      </w:r>
    </w:p>
    <w:p>
      <w:r>
        <w:br w:type="page"/>
      </w:r>
    </w:p>
    <w:p>
      <w:pPr>
        <w:pStyle w:val="Heading1"/>
        <w:spacing w:after="180" w:before="360"/>
      </w:pPr>
      <w:r>
        <w:rPr>
          <w:rFonts w:ascii="Arial" w:cs="Arial" w:eastAsia="Arial" w:hAnsi="Arial"/>
          <w:b/>
          <w:bCs/>
          <w:color w:val="1F4E79"/>
          <w:sz w:val="32"/>
          <w:szCs w:val="32"/>
        </w:rPr>
        <w:t xml:space="preserve">Source 2: Paddle / ProfitWell SaaS Market Reports</w:t>
      </w:r>
    </w:p>
    <w:p>
      <w:pPr>
        <w:pStyle w:val="Heading2"/>
        <w:spacing w:after="120" w:before="240"/>
      </w:pPr>
      <w:r>
        <w:rPr>
          <w:rFonts w:ascii="Arial" w:cs="Arial" w:eastAsia="Arial" w:hAnsi="Arial"/>
          <w:b/>
          <w:bCs/>
          <w:color w:val="2E74B5"/>
          <w:sz w:val="26"/>
          <w:szCs w:val="2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SaaS market report Q1 2025: Economic uncertainty brings sluggish growth; and SaaS market report Q2 2025: Recovery takes hold as AI fuels growth</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Paddle (publisher of ProfitWell Metrics)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Quarterly market index report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 size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34,000+ companies on ProfitWell Metrics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Q1 report: 30 April 2025; Q2 report: 30 July 2025</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ProfitWell Subscription Index tracks aggregate monthly recurring revenue (MRR), new sales, churn, upgrades, and downgrades across the panel. Index values are indexed to a 2019 baseline, not raw percentages.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Source URL: </w:t>
      </w:r>
      <w:hyperlink w:history="1" r:id="rIdo5da_7khjh-wuzmrhw07d">
        <w:r>
          <w:rPr>
            <w:rFonts w:ascii="Arial" w:cs="Arial" w:eastAsia="Arial" w:hAnsi="Arial"/>
            <w:color w:val="0563C1"/>
            <w:sz w:val="22"/>
            <w:szCs w:val="22"/>
            <w:u w:val="single"/>
          </w:rPr>
          <w:t xml:space="preserve">https://www.paddle.com/blog/saas-market-report-q1-2025</w:t>
        </w:r>
      </w:hyperlink>
    </w:p>
    <w:p>
      <w:pPr>
        <w:spacing w:after="120" w:line="300"/>
      </w:pPr>
      <w:r>
        <w:rPr>
          <w:rFonts w:ascii="Arial" w:cs="Arial" w:eastAsia="Arial" w:hAnsi="Arial"/>
          <w:b/>
          <w:bCs/>
          <w:sz w:val="22"/>
          <w:szCs w:val="22"/>
        </w:rPr>
        <w:t xml:space="preserve">Source URL: </w:t>
      </w:r>
      <w:hyperlink w:history="1" r:id="rIdfosj65b2fktri3df7ezz2">
        <w:r>
          <w:rPr>
            <w:rFonts w:ascii="Arial" w:cs="Arial" w:eastAsia="Arial" w:hAnsi="Arial"/>
            <w:color w:val="0563C1"/>
            <w:sz w:val="22"/>
            <w:szCs w:val="22"/>
            <w:u w:val="single"/>
          </w:rPr>
          <w:t xml:space="preserve">https://www.paddle.com/blog/saas-market-report-q2-2025</w:t>
        </w:r>
      </w:hyperlink>
    </w:p>
    <w:p>
      <w:pPr>
        <w:pStyle w:val="Heading2"/>
        <w:spacing w:after="120" w:before="240"/>
      </w:pPr>
      <w:r>
        <w:rPr>
          <w:rFonts w:ascii="Arial" w:cs="Arial" w:eastAsia="Arial" w:hAnsi="Arial"/>
          <w:b/>
          <w:bCs/>
          <w:color w:val="2E74B5"/>
          <w:sz w:val="26"/>
          <w:szCs w:val="26"/>
        </w:rPr>
        <w:t xml:space="preserve">Key data points used in the proposal</w:t>
      </w:r>
    </w:p>
    <w:p>
      <w:pPr>
        <w:pStyle w:val="ListParagraph"/>
        <w:numPr>
          <w:ilvl w:val="0"/>
          <w:numId w:val="2"/>
        </w:numPr>
        <w:spacing w:after="80" w:line="300"/>
      </w:pPr>
      <w:r>
        <w:rPr>
          <w:rFonts w:ascii="Arial" w:cs="Arial" w:eastAsia="Arial" w:hAnsi="Arial"/>
          <w:sz w:val="22"/>
          <w:szCs w:val="22"/>
        </w:rPr>
        <w:t xml:space="preserve">Q1 2025 saw B2B SaaS churn climb to its highest level since the index started in 2019, with the ProfitWell Churn Index increasing 11% over the quarter.</w:t>
      </w:r>
    </w:p>
    <w:p>
      <w:pPr>
        <w:pStyle w:val="ListParagraph"/>
        <w:numPr>
          <w:ilvl w:val="0"/>
          <w:numId w:val="2"/>
        </w:numPr>
        <w:spacing w:after="80" w:line="300"/>
      </w:pPr>
      <w:r>
        <w:rPr>
          <w:rFonts w:ascii="Arial" w:cs="Arial" w:eastAsia="Arial" w:hAnsi="Arial"/>
          <w:sz w:val="22"/>
          <w:szCs w:val="22"/>
        </w:rPr>
        <w:t xml:space="preserve">B2B CAGR settled at a "new normal" of around 5.1% in Q2 2025, recovering from Q1's 1.4%.</w:t>
      </w:r>
    </w:p>
    <w:p>
      <w:pPr>
        <w:pStyle w:val="ListParagraph"/>
        <w:numPr>
          <w:ilvl w:val="0"/>
          <w:numId w:val="2"/>
        </w:numPr>
        <w:spacing w:after="80" w:line="300"/>
      </w:pPr>
      <w:r>
        <w:rPr>
          <w:rFonts w:ascii="Arial" w:cs="Arial" w:eastAsia="Arial" w:hAnsi="Arial"/>
          <w:sz w:val="22"/>
          <w:szCs w:val="22"/>
        </w:rPr>
        <w:t xml:space="preserve">Drivers identified: economic uncertainty, tech layoffs (22,000 in Q1 2025 alone), and "rethinking" of enterprise tech stacks as AI-native tools replace older SaaS.</w:t>
      </w:r>
    </w:p>
    <w:p>
      <w:pPr>
        <w:pStyle w:val="ListParagraph"/>
        <w:numPr>
          <w:ilvl w:val="0"/>
          <w:numId w:val="2"/>
        </w:numPr>
        <w:spacing w:after="80" w:line="300"/>
      </w:pPr>
      <w:r>
        <w:rPr>
          <w:rFonts w:ascii="Arial" w:cs="Arial" w:eastAsia="Arial" w:hAnsi="Arial"/>
          <w:sz w:val="22"/>
          <w:szCs w:val="22"/>
        </w:rPr>
        <w:t xml:space="preserve">Q2 churn index improved to -1.563, the lowest since end of 2022, suggesting churn may be stabilizing.</w:t>
      </w:r>
    </w:p>
    <w:p>
      <w:pPr>
        <w:pStyle w:val="Heading2"/>
        <w:spacing w:after="120" w:before="240"/>
      </w:pPr>
      <w:r>
        <w:rPr>
          <w:rFonts w:ascii="Arial" w:cs="Arial" w:eastAsia="Arial" w:hAnsi="Arial"/>
          <w:b/>
          <w:bCs/>
          <w:color w:val="2E74B5"/>
          <w:sz w:val="26"/>
          <w:szCs w:val="26"/>
        </w:rPr>
        <w:t xml:space="preserve">What this source can and cannot tell you</w:t>
      </w:r>
    </w:p>
    <w:p>
      <w:pPr>
        <w:pStyle w:val="ListParagraph"/>
        <w:numPr>
          <w:ilvl w:val="0"/>
          <w:numId w:val="2"/>
        </w:numPr>
        <w:spacing w:after="80" w:line="300"/>
      </w:pPr>
      <w:r>
        <w:rPr>
          <w:rFonts w:ascii="Arial" w:cs="Arial" w:eastAsia="Arial" w:hAnsi="Arial"/>
          <w:b/>
          <w:bCs/>
          <w:i w:val="false"/>
          <w:iCs w:val="false"/>
          <w:sz w:val="22"/>
          <w:szCs w:val="22"/>
        </w:rPr>
        <w:t xml:space="preserve">Strong on: </w:t>
      </w:r>
      <w:r>
        <w:rPr>
          <w:rFonts w:ascii="Arial" w:cs="Arial" w:eastAsia="Arial" w:hAnsi="Arial"/>
          <w:b w:val="false"/>
          <w:bCs w:val="false"/>
          <w:i w:val="false"/>
          <w:iCs w:val="false"/>
          <w:sz w:val="22"/>
          <w:szCs w:val="22"/>
        </w:rPr>
        <w:t xml:space="preserve">directional trends across the SaaS market. Tells you whether churn is rising or falling and roughly why.</w:t>
      </w:r>
    </w:p>
    <w:p>
      <w:pPr>
        <w:pStyle w:val="ListParagraph"/>
        <w:numPr>
          <w:ilvl w:val="0"/>
          <w:numId w:val="2"/>
        </w:numPr>
        <w:spacing w:after="80" w:line="300"/>
      </w:pPr>
      <w:r>
        <w:rPr>
          <w:rFonts w:ascii="Arial" w:cs="Arial" w:eastAsia="Arial" w:hAnsi="Arial"/>
          <w:b/>
          <w:bCs/>
          <w:i w:val="false"/>
          <w:iCs w:val="false"/>
          <w:sz w:val="22"/>
          <w:szCs w:val="22"/>
        </w:rPr>
        <w:t xml:space="preserve">Weak on: </w:t>
      </w:r>
      <w:r>
        <w:rPr>
          <w:rFonts w:ascii="Arial" w:cs="Arial" w:eastAsia="Arial" w:hAnsi="Arial"/>
          <w:b w:val="false"/>
          <w:bCs w:val="false"/>
          <w:i w:val="false"/>
          <w:iCs w:val="false"/>
          <w:sz w:val="22"/>
          <w:szCs w:val="22"/>
        </w:rPr>
        <w:t xml:space="preserve">specific churn rate percentages. Paddle reports index values relative to a 2019 baseline, not absolute monthly or annual churn. The proposal cites Paddle for market context and trend direction, not for the specific 3.5% or 5% numbers.</w:t>
      </w:r>
    </w:p>
    <w:p>
      <w:pPr>
        <w:pStyle w:val="ListParagraph"/>
        <w:numPr>
          <w:ilvl w:val="0"/>
          <w:numId w:val="2"/>
        </w:numPr>
        <w:spacing w:after="80" w:line="300"/>
      </w:pPr>
      <w:r>
        <w:rPr>
          <w:rFonts w:ascii="Arial" w:cs="Arial" w:eastAsia="Arial" w:hAnsi="Arial"/>
          <w:b/>
          <w:bCs/>
          <w:i w:val="false"/>
          <w:iCs w:val="false"/>
          <w:sz w:val="22"/>
          <w:szCs w:val="22"/>
        </w:rPr>
        <w:t xml:space="preserve">Bias to flag: </w:t>
      </w:r>
      <w:r>
        <w:rPr>
          <w:rFonts w:ascii="Arial" w:cs="Arial" w:eastAsia="Arial" w:hAnsi="Arial"/>
          <w:b w:val="false"/>
          <w:bCs w:val="false"/>
          <w:i w:val="false"/>
          <w:iCs w:val="false"/>
          <w:sz w:val="22"/>
          <w:szCs w:val="22"/>
        </w:rPr>
        <w:t xml:space="preserve">the ProfitWell panel skews toward SMB and self-service SaaS, since ProfitWell Metrics is a free tool. Less representative of enterprise SaaS.</w:t>
      </w:r>
    </w:p>
    <w:p>
      <w:r>
        <w:br w:type="page"/>
      </w:r>
    </w:p>
    <w:p>
      <w:pPr>
        <w:pStyle w:val="Heading1"/>
        <w:spacing w:after="180" w:before="360"/>
      </w:pPr>
      <w:r>
        <w:rPr>
          <w:rFonts w:ascii="Arial" w:cs="Arial" w:eastAsia="Arial" w:hAnsi="Arial"/>
          <w:b/>
          <w:bCs/>
          <w:color w:val="1F4E79"/>
          <w:sz w:val="32"/>
          <w:szCs w:val="32"/>
        </w:rPr>
        <w:t xml:space="preserve">Source 3: Optifai B2B SaaS Churn Benchmark</w:t>
      </w:r>
    </w:p>
    <w:p>
      <w:pPr>
        <w:pStyle w:val="Heading2"/>
        <w:spacing w:after="120" w:before="240"/>
      </w:pPr>
      <w:r>
        <w:rPr>
          <w:rFonts w:ascii="Arial" w:cs="Arial" w:eastAsia="Arial" w:hAnsi="Arial"/>
          <w:b/>
          <w:bCs/>
          <w:color w:val="2E74B5"/>
          <w:sz w:val="26"/>
          <w:szCs w:val="2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B2B SaaS Churn Rate Benchmarks — 939 Companies by Segment &amp; ACV</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(sales operations platform)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Vendor benchmark study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 size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939 B2B SaaS companies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 window</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Q2 2025 to Q1 2026</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Last updated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20 April 2026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Pipeline study covering 939 B2B SaaS companies. Monthly churn benchmarks split by ACV segment (SMB, Mid-Market, Enterprise). Annual churn calculated with proper compounding, not 12 × monthly.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Source URL: </w:t>
      </w:r>
      <w:hyperlink w:history="1" r:id="rId8fhmyf30vo8sgt4wpfgyh">
        <w:r>
          <w:rPr>
            <w:rFonts w:ascii="Arial" w:cs="Arial" w:eastAsia="Arial" w:hAnsi="Arial"/>
            <w:color w:val="0563C1"/>
            <w:sz w:val="22"/>
            <w:szCs w:val="22"/>
            <w:u w:val="single"/>
          </w:rPr>
          <w:t xml:space="preserve">https://optif.ai/learn/questions/b2b-saas-churn-rate-benchmark/</w:t>
        </w:r>
      </w:hyperlink>
    </w:p>
    <w:p>
      <w:pPr>
        <w:pStyle w:val="Heading2"/>
        <w:spacing w:after="120" w:before="240"/>
      </w:pPr>
      <w:r>
        <w:rPr>
          <w:rFonts w:ascii="Arial" w:cs="Arial" w:eastAsia="Arial" w:hAnsi="Arial"/>
          <w:b/>
          <w:bCs/>
          <w:color w:val="2E74B5"/>
          <w:sz w:val="26"/>
          <w:szCs w:val="26"/>
        </w:rPr>
        <w:t xml:space="preserve">Key data points used in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Segment</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Monthly churn</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Annual churn (compounded)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SMB (ACV under $10K)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3 to 5%</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Roughly 30 to 46%</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Mid-Market</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1.5 to 3%</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Roughly 17 to 31%</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Enterprise (ACV over $100K)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 to 2%</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Roughly 11 to 22%</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Best-in-class</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Below 1%</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Below 11%</w:t>
            </w:r>
          </w:p>
        </w:tc>
      </w:tr>
    </w:tbl>
    <w:p>
      <w:pPr>
        <w:pStyle w:val="ListParagraph"/>
        <w:numPr>
          <w:ilvl w:val="0"/>
          <w:numId w:val="2"/>
        </w:numPr>
        <w:spacing w:after="80" w:line="300"/>
      </w:pPr>
      <w:r>
        <w:rPr>
          <w:rFonts w:ascii="Arial" w:cs="Arial" w:eastAsia="Arial" w:hAnsi="Arial"/>
          <w:sz w:val="22"/>
          <w:szCs w:val="22"/>
        </w:rPr>
        <w:t xml:space="preserve">70% of churn happens in the first 90 days of a customer's tenure.</w:t>
      </w:r>
    </w:p>
    <w:p>
      <w:pPr>
        <w:pStyle w:val="ListParagraph"/>
        <w:numPr>
          <w:ilvl w:val="0"/>
          <w:numId w:val="2"/>
        </w:numPr>
        <w:spacing w:after="80" w:line="300"/>
      </w:pPr>
      <w:r>
        <w:rPr>
          <w:rFonts w:ascii="Arial" w:cs="Arial" w:eastAsia="Arial" w:hAnsi="Arial"/>
          <w:sz w:val="22"/>
          <w:szCs w:val="22"/>
        </w:rPr>
        <w:t xml:space="preserve">Companies with time-to-first-value under 7 days see 50% lower churn rates than those with longer onboarding (typical 14-day average).</w:t>
      </w:r>
    </w:p>
    <w:p>
      <w:pPr>
        <w:pStyle w:val="ListParagraph"/>
        <w:numPr>
          <w:ilvl w:val="0"/>
          <w:numId w:val="2"/>
        </w:numPr>
        <w:spacing w:after="80" w:line="300"/>
      </w:pPr>
      <w:r>
        <w:rPr>
          <w:rFonts w:ascii="Arial" w:cs="Arial" w:eastAsia="Arial" w:hAnsi="Arial"/>
          <w:sz w:val="22"/>
          <w:szCs w:val="22"/>
        </w:rPr>
        <w:t xml:space="preserve">Annual contracts typically show 30 to 40% lower churn than month-to-month plans over the same period.</w:t>
      </w:r>
    </w:p>
    <w:p>
      <w:pPr>
        <w:pStyle w:val="ListParagraph"/>
        <w:numPr>
          <w:ilvl w:val="0"/>
          <w:numId w:val="2"/>
        </w:numPr>
        <w:spacing w:after="80" w:line="300"/>
      </w:pPr>
      <w:r>
        <w:rPr>
          <w:rFonts w:ascii="Arial" w:cs="Arial" w:eastAsia="Arial" w:hAnsi="Arial"/>
          <w:sz w:val="22"/>
          <w:szCs w:val="22"/>
        </w:rPr>
        <w:t xml:space="preserve">Best-in-class companies achieve negative net revenue churn (Net Revenue Retention above 100%).</w:t>
      </w:r>
    </w:p>
    <w:p>
      <w:pPr>
        <w:pStyle w:val="Heading2"/>
        <w:spacing w:after="120" w:before="240"/>
      </w:pPr>
      <w:r>
        <w:rPr>
          <w:rFonts w:ascii="Arial" w:cs="Arial" w:eastAsia="Arial" w:hAnsi="Arial"/>
          <w:b/>
          <w:bCs/>
          <w:color w:val="2E74B5"/>
          <w:sz w:val="26"/>
          <w:szCs w:val="26"/>
        </w:rPr>
        <w:t xml:space="preserve">What this source can and cannot tell you</w:t>
      </w:r>
    </w:p>
    <w:p>
      <w:pPr>
        <w:pStyle w:val="ListParagraph"/>
        <w:numPr>
          <w:ilvl w:val="0"/>
          <w:numId w:val="2"/>
        </w:numPr>
        <w:spacing w:after="80" w:line="300"/>
      </w:pPr>
      <w:r>
        <w:rPr>
          <w:rFonts w:ascii="Arial" w:cs="Arial" w:eastAsia="Arial" w:hAnsi="Arial"/>
          <w:b/>
          <w:bCs/>
          <w:i w:val="false"/>
          <w:iCs w:val="false"/>
          <w:sz w:val="22"/>
          <w:szCs w:val="22"/>
        </w:rPr>
        <w:t xml:space="preserve">Strong on: </w:t>
      </w:r>
      <w:r>
        <w:rPr>
          <w:rFonts w:ascii="Arial" w:cs="Arial" w:eastAsia="Arial" w:hAnsi="Arial"/>
          <w:b w:val="false"/>
          <w:bCs w:val="false"/>
          <w:i w:val="false"/>
          <w:iCs w:val="false"/>
          <w:sz w:val="22"/>
          <w:szCs w:val="22"/>
        </w:rPr>
        <w:t xml:space="preserve">company-size segmentation. The only one of the four sources that cleanly splits monthly churn by SMB / Mid-Market / Enterprise. This is where the proposal's "SMB monthly churn: 3 to 5%" figure comes from.</w:t>
      </w:r>
    </w:p>
    <w:p>
      <w:pPr>
        <w:pStyle w:val="ListParagraph"/>
        <w:numPr>
          <w:ilvl w:val="0"/>
          <w:numId w:val="2"/>
        </w:numPr>
        <w:spacing w:after="80" w:line="300"/>
      </w:pPr>
      <w:r>
        <w:rPr>
          <w:rFonts w:ascii="Arial" w:cs="Arial" w:eastAsia="Arial" w:hAnsi="Arial"/>
          <w:b/>
          <w:bCs/>
          <w:i w:val="false"/>
          <w:iCs w:val="false"/>
          <w:sz w:val="22"/>
          <w:szCs w:val="22"/>
        </w:rPr>
        <w:t xml:space="preserve">Strong on: </w:t>
      </w:r>
      <w:r>
        <w:rPr>
          <w:rFonts w:ascii="Arial" w:cs="Arial" w:eastAsia="Arial" w:hAnsi="Arial"/>
          <w:b w:val="false"/>
          <w:bCs w:val="false"/>
          <w:i w:val="false"/>
          <w:iCs w:val="false"/>
          <w:sz w:val="22"/>
          <w:szCs w:val="22"/>
        </w:rPr>
        <w:t xml:space="preserve">the 90-day rule and time-to-first-value effects. These are the most actionable signals in the proposal.</w:t>
      </w:r>
    </w:p>
    <w:p>
      <w:pPr>
        <w:pStyle w:val="ListParagraph"/>
        <w:numPr>
          <w:ilvl w:val="0"/>
          <w:numId w:val="2"/>
        </w:numPr>
        <w:spacing w:after="80" w:line="300"/>
      </w:pPr>
      <w:r>
        <w:rPr>
          <w:rFonts w:ascii="Arial" w:cs="Arial" w:eastAsia="Arial" w:hAnsi="Arial"/>
          <w:b/>
          <w:bCs/>
          <w:i w:val="false"/>
          <w:iCs w:val="false"/>
          <w:sz w:val="22"/>
          <w:szCs w:val="22"/>
        </w:rPr>
        <w:t xml:space="preserve">Weak on: </w:t>
      </w:r>
      <w:r>
        <w:rPr>
          <w:rFonts w:ascii="Arial" w:cs="Arial" w:eastAsia="Arial" w:hAnsi="Arial"/>
          <w:b w:val="false"/>
          <w:bCs w:val="false"/>
          <w:i w:val="false"/>
          <w:iCs w:val="false"/>
          <w:sz w:val="22"/>
          <w:szCs w:val="22"/>
        </w:rPr>
        <w:t xml:space="preserve">methodology transparency. Optifai doesn't publish the company-level data behind the 939-company sample. Treat the numbers as directionally correct rather than precise.</w:t>
      </w:r>
    </w:p>
    <w:p>
      <w:pPr>
        <w:pStyle w:val="ListParagraph"/>
        <w:numPr>
          <w:ilvl w:val="0"/>
          <w:numId w:val="2"/>
        </w:numPr>
        <w:spacing w:after="80" w:line="300"/>
      </w:pPr>
      <w:r>
        <w:rPr>
          <w:rFonts w:ascii="Arial" w:cs="Arial" w:eastAsia="Arial" w:hAnsi="Arial"/>
          <w:b/>
          <w:bCs/>
          <w:i w:val="false"/>
          <w:iCs w:val="false"/>
          <w:sz w:val="22"/>
          <w:szCs w:val="22"/>
        </w:rPr>
        <w:t xml:space="preserve">Bias to flag: </w:t>
      </w:r>
      <w:r>
        <w:rPr>
          <w:rFonts w:ascii="Arial" w:cs="Arial" w:eastAsia="Arial" w:hAnsi="Arial"/>
          <w:b w:val="false"/>
          <w:bCs w:val="false"/>
          <w:i w:val="false"/>
          <w:iCs w:val="false"/>
          <w:sz w:val="22"/>
          <w:szCs w:val="22"/>
        </w:rPr>
        <w:t xml:space="preserve">Optifai sells AI-powered churn prediction software. Their benchmark page exists partly to drive demos. The numbers are consistent with other industry sources, but the framing leans toward urgency.</w:t>
      </w:r>
    </w:p>
    <w:p>
      <w:r>
        <w:br w:type="page"/>
      </w:r>
    </w:p>
    <w:p>
      <w:pPr>
        <w:pStyle w:val="Heading1"/>
        <w:spacing w:after="180" w:before="360"/>
      </w:pPr>
      <w:r>
        <w:rPr>
          <w:rFonts w:ascii="Arial" w:cs="Arial" w:eastAsia="Arial" w:hAnsi="Arial"/>
          <w:b/>
          <w:bCs/>
          <w:color w:val="1F4E79"/>
          <w:sz w:val="32"/>
          <w:szCs w:val="32"/>
        </w:rPr>
        <w:t xml:space="preserve">Source 4: Lighter Capital 2025 B2B SaaS Startup Benchmarks</w:t>
      </w:r>
    </w:p>
    <w:p>
      <w:pPr>
        <w:pStyle w:val="Heading2"/>
        <w:spacing w:after="120" w:before="240"/>
      </w:pPr>
      <w:r>
        <w:rPr>
          <w:rFonts w:ascii="Arial" w:cs="Arial" w:eastAsia="Arial" w:hAnsi="Arial"/>
          <w:b/>
          <w:bCs/>
          <w:color w:val="2E74B5"/>
          <w:sz w:val="26"/>
          <w:szCs w:val="2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2025 B2B SaaS Startup Benchmarks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Lighter Capital (revenue-based funding firm)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Author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Stephanie Pflaum</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Annual benchmark report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 size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155 private B2B SaaS startups across 11 verticals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 window</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CY 2020 to 2024 data, published Sept 2025, updated March 2026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Not a survey. Uses actual financial data from Lighter Capital's portfolio companies. Breakdowns by industry vertical, ARR bucket, and company age.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Source URL: </w:t>
      </w:r>
      <w:hyperlink w:history="1" r:id="rIdztd4cizhja8p079xfqhni">
        <w:r>
          <w:rPr>
            <w:rFonts w:ascii="Arial" w:cs="Arial" w:eastAsia="Arial" w:hAnsi="Arial"/>
            <w:color w:val="0563C1"/>
            <w:sz w:val="22"/>
            <w:szCs w:val="22"/>
            <w:u w:val="single"/>
          </w:rPr>
          <w:t xml:space="preserve">https://www.lightercapital.com/blog/2025-b2b-saas-startup-benchmarks</w:t>
        </w:r>
      </w:hyperlink>
    </w:p>
    <w:p>
      <w:pPr>
        <w:pStyle w:val="Heading2"/>
        <w:spacing w:after="120" w:before="240"/>
      </w:pPr>
      <w:r>
        <w:rPr>
          <w:rFonts w:ascii="Arial" w:cs="Arial" w:eastAsia="Arial" w:hAnsi="Arial"/>
          <w:b/>
          <w:bCs/>
          <w:color w:val="2E74B5"/>
          <w:sz w:val="26"/>
          <w:szCs w:val="26"/>
        </w:rPr>
        <w:t xml:space="preserve">Key data points used in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Metric</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2025 median</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2024 median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Customer churn (annual)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16.25%</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16.21%</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Revenue churn (annual)</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12.50%</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11.34%</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Annual revenue growth (median)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28.29%</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47.25%</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Sales &amp; marketing multiple</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About 3x</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About 6x</w:t>
            </w:r>
          </w:p>
        </w:tc>
      </w:tr>
    </w:tbl>
    <w:p>
      <w:pPr>
        <w:pStyle w:val="ListParagraph"/>
        <w:numPr>
          <w:ilvl w:val="0"/>
          <w:numId w:val="2"/>
        </w:numPr>
        <w:spacing w:after="80" w:line="300"/>
      </w:pPr>
      <w:r>
        <w:rPr>
          <w:rFonts w:ascii="Arial" w:cs="Arial" w:eastAsia="Arial" w:hAnsi="Arial"/>
          <w:sz w:val="22"/>
          <w:szCs w:val="22"/>
        </w:rPr>
        <w:t xml:space="preserve">Education vertical saw customer churn double from 11% in 2024 to 22% in 2025, and a 71% increase in revenue churn.</w:t>
      </w:r>
    </w:p>
    <w:p>
      <w:pPr>
        <w:pStyle w:val="ListParagraph"/>
        <w:numPr>
          <w:ilvl w:val="0"/>
          <w:numId w:val="2"/>
        </w:numPr>
        <w:spacing w:after="80" w:line="300"/>
      </w:pPr>
      <w:r>
        <w:rPr>
          <w:rFonts w:ascii="Arial" w:cs="Arial" w:eastAsia="Arial" w:hAnsi="Arial"/>
          <w:sz w:val="22"/>
          <w:szCs w:val="22"/>
        </w:rPr>
        <w:t xml:space="preserve">Healthcare vertical saw a 67% increase in revenue churn but slightly lower customer churn.</w:t>
      </w:r>
    </w:p>
    <w:p>
      <w:pPr>
        <w:pStyle w:val="ListParagraph"/>
        <w:numPr>
          <w:ilvl w:val="0"/>
          <w:numId w:val="2"/>
        </w:numPr>
        <w:spacing w:after="80" w:line="300"/>
      </w:pPr>
      <w:r>
        <w:rPr>
          <w:rFonts w:ascii="Arial" w:cs="Arial" w:eastAsia="Arial" w:hAnsi="Arial"/>
          <w:sz w:val="22"/>
          <w:szCs w:val="22"/>
        </w:rPr>
        <w:t xml:space="preserve">Most other verticals held churn rates steady year over year.</w:t>
      </w:r>
    </w:p>
    <w:p>
      <w:pPr>
        <w:pStyle w:val="ListParagraph"/>
        <w:numPr>
          <w:ilvl w:val="0"/>
          <w:numId w:val="2"/>
        </w:numPr>
        <w:spacing w:after="80" w:line="300"/>
      </w:pPr>
      <w:r>
        <w:rPr>
          <w:rFonts w:ascii="Arial" w:cs="Arial" w:eastAsia="Arial" w:hAnsi="Arial"/>
          <w:sz w:val="22"/>
          <w:szCs w:val="22"/>
        </w:rPr>
        <w:t xml:space="preserve">Companies under $50K ARR saw small increases in both customer and revenue churn. All other ARR cohorts decreased customer churn except the $50K-to-$1M group, which stayed flat.</w:t>
      </w:r>
    </w:p>
    <w:p>
      <w:pPr>
        <w:pStyle w:val="Heading2"/>
        <w:spacing w:after="120" w:before="240"/>
      </w:pPr>
      <w:r>
        <w:rPr>
          <w:rFonts w:ascii="Arial" w:cs="Arial" w:eastAsia="Arial" w:hAnsi="Arial"/>
          <w:b/>
          <w:bCs/>
          <w:color w:val="2E74B5"/>
          <w:sz w:val="26"/>
          <w:szCs w:val="26"/>
        </w:rPr>
        <w:t xml:space="preserve">What this source can and cannot tell you</w:t>
      </w:r>
    </w:p>
    <w:p>
      <w:pPr>
        <w:pStyle w:val="ListParagraph"/>
        <w:numPr>
          <w:ilvl w:val="0"/>
          <w:numId w:val="2"/>
        </w:numPr>
        <w:spacing w:after="80" w:line="300"/>
      </w:pPr>
      <w:r>
        <w:rPr>
          <w:rFonts w:ascii="Arial" w:cs="Arial" w:eastAsia="Arial" w:hAnsi="Arial"/>
          <w:b/>
          <w:bCs/>
          <w:i w:val="false"/>
          <w:iCs w:val="false"/>
          <w:sz w:val="22"/>
          <w:szCs w:val="22"/>
        </w:rPr>
        <w:t xml:space="preserve">Strong on: </w:t>
      </w:r>
      <w:r>
        <w:rPr>
          <w:rFonts w:ascii="Arial" w:cs="Arial" w:eastAsia="Arial" w:hAnsi="Arial"/>
          <w:b w:val="false"/>
          <w:bCs w:val="false"/>
          <w:i w:val="false"/>
          <w:iCs w:val="false"/>
          <w:sz w:val="22"/>
          <w:szCs w:val="22"/>
        </w:rPr>
        <w:t xml:space="preserve">vertical-specific churn changes year over year, and on actual annual churn rates for early-stage B2B SaaS startups. The 16.25% median customer churn is roughly in line with the Optifai SMB range (3-5% monthly compounds to 30-46% annually, with median around 30%).</w:t>
      </w:r>
    </w:p>
    <w:p>
      <w:pPr>
        <w:pStyle w:val="ListParagraph"/>
        <w:numPr>
          <w:ilvl w:val="0"/>
          <w:numId w:val="2"/>
        </w:numPr>
        <w:spacing w:after="80" w:line="300"/>
      </w:pPr>
      <w:r>
        <w:rPr>
          <w:rFonts w:ascii="Arial" w:cs="Arial" w:eastAsia="Arial" w:hAnsi="Arial"/>
          <w:b/>
          <w:bCs/>
          <w:i w:val="false"/>
          <w:iCs w:val="false"/>
          <w:sz w:val="22"/>
          <w:szCs w:val="22"/>
        </w:rPr>
        <w:t xml:space="preserve">Weak on: </w:t>
      </w:r>
      <w:r>
        <w:rPr>
          <w:rFonts w:ascii="Arial" w:cs="Arial" w:eastAsia="Arial" w:hAnsi="Arial"/>
          <w:b w:val="false"/>
          <w:bCs w:val="false"/>
          <w:i w:val="false"/>
          <w:iCs w:val="false"/>
          <w:sz w:val="22"/>
          <w:szCs w:val="22"/>
        </w:rPr>
        <w:t xml:space="preserve">small sample (155 companies). The vertical breakdowns can be skewed by a handful of outliers. Use the directional trends, not the precise vertical percentages.</w:t>
      </w:r>
    </w:p>
    <w:p>
      <w:pPr>
        <w:pStyle w:val="ListParagraph"/>
        <w:numPr>
          <w:ilvl w:val="0"/>
          <w:numId w:val="2"/>
        </w:numPr>
        <w:spacing w:after="80" w:line="300"/>
      </w:pPr>
      <w:r>
        <w:rPr>
          <w:rFonts w:ascii="Arial" w:cs="Arial" w:eastAsia="Arial" w:hAnsi="Arial"/>
          <w:b/>
          <w:bCs/>
          <w:i w:val="false"/>
          <w:iCs w:val="false"/>
          <w:sz w:val="22"/>
          <w:szCs w:val="22"/>
        </w:rPr>
        <w:t xml:space="preserve">Bias to flag: </w:t>
      </w:r>
      <w:r>
        <w:rPr>
          <w:rFonts w:ascii="Arial" w:cs="Arial" w:eastAsia="Arial" w:hAnsi="Arial"/>
          <w:b w:val="false"/>
          <w:bCs w:val="false"/>
          <w:i w:val="false"/>
          <w:iCs w:val="false"/>
          <w:sz w:val="22"/>
          <w:szCs w:val="22"/>
        </w:rPr>
        <w:t xml:space="preserve">Lighter Capital lends to SaaS startups, so the portfolio self-selects toward companies that are financeable: post-revenue, growing, with reasonable retention. Likely underrepresents the worst-performing startups.</w:t>
      </w:r>
    </w:p>
    <w:p>
      <w:r>
        <w:br w:type="page"/>
      </w:r>
    </w:p>
    <w:p>
      <w:pPr>
        <w:pStyle w:val="Heading1"/>
        <w:spacing w:after="180" w:before="360"/>
      </w:pPr>
      <w:r>
        <w:rPr>
          <w:rFonts w:ascii="Arial" w:cs="Arial" w:eastAsia="Arial" w:hAnsi="Arial"/>
          <w:b/>
          <w:bCs/>
          <w:color w:val="1F4E79"/>
          <w:sz w:val="32"/>
          <w:szCs w:val="32"/>
        </w:rPr>
        <w:t xml:space="preserve">How to use this dossier in the meeting</w:t>
      </w:r>
    </w:p>
    <w:p>
      <w:pPr>
        <w:pStyle w:val="Heading2"/>
        <w:spacing w:after="120" w:before="240"/>
      </w:pPr>
      <w:r>
        <w:rPr>
          <w:rFonts w:ascii="Arial" w:cs="Arial" w:eastAsia="Arial" w:hAnsi="Arial"/>
          <w:b/>
          <w:bCs/>
          <w:color w:val="2E74B5"/>
          <w:sz w:val="26"/>
          <w:szCs w:val="26"/>
        </w:rPr>
        <w:t xml:space="preserve">If Chleo asks where a number comes from</w:t>
      </w:r>
    </w:p>
    <w:p>
      <w:pPr>
        <w:spacing w:after="120" w:line="300"/>
        <w:jc w:val="left"/>
      </w:pPr>
      <w:r>
        <w:rPr>
          <w:rFonts w:ascii="Arial" w:cs="Arial" w:eastAsia="Arial" w:hAnsi="Arial"/>
          <w:b w:val="false"/>
          <w:bCs w:val="false"/>
          <w:i w:val="false"/>
          <w:iCs w:val="false"/>
          <w:sz w:val="22"/>
          <w:szCs w:val="22"/>
        </w:rPr>
        <w:t xml:space="preserve">Most numbers in the proposal map directly to one of these four sources.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Claim in the proposal</w:t>
            </w:r>
          </w:p>
        </w:tc>
        <w:tc>
          <w:tcPr>
            <w:tcW w:type="dxa" w:w="4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Source</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B2B SaaS median annual churn (3.5%)</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Recurly via Vena. See correction above; consider revising to 3.8% (Recurly direct).</w:t>
            </w:r>
          </w:p>
        </w:tc>
      </w:tr>
      <w:tr>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SMB SaaS monthly churn: 3 to 5%</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Best-in-class monthly churn: under 1%</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70% of churn happens in first 90 days</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Time-to-value under 7 days = 50% lower churn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Customer acquisition cost increased 14% in 2025</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Industry reports (cross-referenced from WeAreFounders.uk, citing Paddle and other sources)</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40% of new ARR from existing customers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Industry reports cross-referenced from multiple sources</w:t>
            </w:r>
          </w:p>
        </w:tc>
      </w:tr>
      <w:tr>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Educational vertical churn doubled in 2025</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Lighter Capital (Source 4)</w:t>
            </w:r>
          </w:p>
        </w:tc>
      </w:tr>
      <w:tr>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B2B SaaS market churn climbed sharply in Q1 2025</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Paddle Q1 2025 report (Source 2)</w:t>
            </w:r>
          </w:p>
        </w:tc>
      </w:tr>
    </w:tbl>
    <w:p>
      <w:pPr>
        <w:pStyle w:val="Heading2"/>
        <w:spacing w:after="120" w:before="240"/>
      </w:pPr>
      <w:r>
        <w:rPr>
          <w:rFonts w:ascii="Arial" w:cs="Arial" w:eastAsia="Arial" w:hAnsi="Arial"/>
          <w:b/>
          <w:bCs/>
          <w:color w:val="2E74B5"/>
          <w:sz w:val="26"/>
          <w:szCs w:val="26"/>
        </w:rPr>
        <w:t xml:space="preserve">If Chleo pushes back on "AI is hype"</w:t>
      </w:r>
    </w:p>
    <w:p>
      <w:pPr>
        <w:spacing w:after="120" w:line="300"/>
        <w:jc w:val="left"/>
      </w:pPr>
      <w:r>
        <w:rPr>
          <w:rFonts w:ascii="Arial" w:cs="Arial" w:eastAsia="Arial" w:hAnsi="Arial"/>
          <w:b w:val="false"/>
          <w:bCs w:val="false"/>
          <w:i w:val="false"/>
          <w:iCs w:val="false"/>
          <w:sz w:val="22"/>
          <w:szCs w:val="22"/>
        </w:rPr>
        <w:t xml:space="preserve">The dossier shows four independent sources agreeing on the same picture: churn is the central retention problem for B2B SaaS, it's worse for SMB-sized companies than for enterprise, and most of it happens in the first 90 days. None of these sources are AI vendors talking about AI. They're billing platforms, market index providers, sales-ops tools, and a revenue-based lender. The agreement across all four is the strongest argument that the underlying problem is real.</w:t>
      </w:r>
    </w:p>
    <w:p>
      <w:pPr>
        <w:spacing w:after="120" w:line="300"/>
        <w:jc w:val="left"/>
      </w:pPr>
      <w:r>
        <w:rPr>
          <w:rFonts w:ascii="Arial" w:cs="Arial" w:eastAsia="Arial" w:hAnsi="Arial"/>
          <w:b w:val="false"/>
          <w:bCs w:val="false"/>
          <w:i w:val="false"/>
          <w:iCs w:val="false"/>
          <w:sz w:val="22"/>
          <w:szCs w:val="22"/>
        </w:rPr>
        <w:t xml:space="preserve">The AI part is a means to an end. The proposal recommends a small internal pilot, not a vendor platform, precisely because vendor hype is the bigger risk.</w:t>
      </w:r>
    </w:p>
    <w:p>
      <w:pPr>
        <w:pStyle w:val="Heading2"/>
        <w:spacing w:after="120" w:before="240"/>
      </w:pPr>
      <w:r>
        <w:rPr>
          <w:rFonts w:ascii="Arial" w:cs="Arial" w:eastAsia="Arial" w:hAnsi="Arial"/>
          <w:b/>
          <w:bCs/>
          <w:color w:val="2E74B5"/>
          <w:sz w:val="26"/>
          <w:szCs w:val="26"/>
        </w:rPr>
        <w:t xml:space="preserve">If Chleo wants the originals</w:t>
      </w:r>
    </w:p>
    <w:p>
      <w:pPr>
        <w:spacing w:after="120" w:line="300"/>
        <w:jc w:val="left"/>
      </w:pPr>
      <w:r>
        <w:rPr>
          <w:rFonts w:ascii="Arial" w:cs="Arial" w:eastAsia="Arial" w:hAnsi="Arial"/>
          <w:b w:val="false"/>
          <w:bCs w:val="false"/>
          <w:i w:val="false"/>
          <w:iCs w:val="false"/>
          <w:sz w:val="22"/>
          <w:szCs w:val="22"/>
        </w:rPr>
        <w:t xml:space="preserve">All four URLs above are clickable and lead to free, publicly accessible pages. No paywalls, no signup required to read the data.</w:t>
      </w:r>
    </w:p>
    <w:p>
      <w:pPr>
        <w:pStyle w:val="Heading2"/>
        <w:spacing w:after="120" w:before="240"/>
      </w:pPr>
      <w:r>
        <w:rPr>
          <w:rFonts w:ascii="Arial" w:cs="Arial" w:eastAsia="Arial" w:hAnsi="Arial"/>
          <w:b/>
          <w:bCs/>
          <w:color w:val="2E74B5"/>
          <w:sz w:val="26"/>
          <w:szCs w:val="26"/>
        </w:rPr>
        <w:t xml:space="preserve">What this dossier does not cover</w:t>
      </w:r>
    </w:p>
    <w:p>
      <w:pPr>
        <w:pStyle w:val="ListParagraph"/>
        <w:numPr>
          <w:ilvl w:val="0"/>
          <w:numId w:val="2"/>
        </w:numPr>
        <w:spacing w:after="80" w:line="300"/>
      </w:pPr>
      <w:r>
        <w:rPr>
          <w:rFonts w:ascii="Arial" w:cs="Arial" w:eastAsia="Arial" w:hAnsi="Arial"/>
          <w:sz w:val="22"/>
          <w:szCs w:val="22"/>
        </w:rPr>
        <w:t xml:space="preserve">Original academic research on churn modeling. The proposal cites industry benchmarks, not peer-reviewed ML papers. If Chleo's CTO asks for those, the foundational references are typically the work of Verbeke et al. (2012) on customer churn prediction and Lessmann et al. (2015) on benchmarking classifiers.</w:t>
      </w:r>
    </w:p>
    <w:p>
      <w:pPr>
        <w:pStyle w:val="ListParagraph"/>
        <w:numPr>
          <w:ilvl w:val="0"/>
          <w:numId w:val="2"/>
        </w:numPr>
        <w:spacing w:after="80" w:line="300"/>
      </w:pPr>
      <w:r>
        <w:rPr>
          <w:rFonts w:ascii="Arial" w:cs="Arial" w:eastAsia="Arial" w:hAnsi="Arial"/>
          <w:sz w:val="22"/>
          <w:szCs w:val="22"/>
        </w:rPr>
        <w:t xml:space="preserve">Cost benchmarks for AI tooling. The cost ranges in the proposal ($8K to $12K upfront, $1K to $2.2K monthly) come from current published pricing for AWS, OpenAI, and Anthropic, plus typical European mid-market developer rates. Those sources are commercial pricing pages and aren't part of this dossier.</w:t>
      </w:r>
    </w:p>
    <w:p>
      <w:pPr>
        <w:pStyle w:val="ListParagraph"/>
        <w:numPr>
          <w:ilvl w:val="0"/>
          <w:numId w:val="2"/>
        </w:numPr>
        <w:spacing w:after="80" w:line="300"/>
      </w:pPr>
      <w:r>
        <w:rPr>
          <w:rFonts w:ascii="Arial" w:cs="Arial" w:eastAsia="Arial" w:hAnsi="Arial"/>
          <w:sz w:val="22"/>
          <w:szCs w:val="22"/>
        </w:rPr>
        <w:t xml:space="preserve">Anything Ravenstack-specific. This dossier is industry context. The Ravenstack CSV analysis lives in the main proposal.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Research dossier — companion to the Chleo Churn Prediction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ckz0ody1pelselozqwjm" Type="http://schemas.openxmlformats.org/officeDocument/2006/relationships/hyperlink" Target="https://recurly.com/research/churn-rate-benchmarks/" TargetMode="External"/><Relationship Id="rIdo5da_7khjh-wuzmrhw07d" Type="http://schemas.openxmlformats.org/officeDocument/2006/relationships/hyperlink" Target="https://www.paddle.com/blog/saas-market-report-q1-2025" TargetMode="External"/><Relationship Id="rIdfosj65b2fktri3df7ezz2" Type="http://schemas.openxmlformats.org/officeDocument/2006/relationships/hyperlink" Target="https://www.paddle.com/blog/saas-market-report-q2-2025" TargetMode="External"/><Relationship Id="rId8fhmyf30vo8sgt4wpfgyh" Type="http://schemas.openxmlformats.org/officeDocument/2006/relationships/hyperlink" Target="https://optif.ai/learn/questions/b2b-saas-churn-rate-benchmark/" TargetMode="External"/><Relationship Id="rIdztd4cizhja8p079xfqhni" Type="http://schemas.openxmlformats.org/officeDocument/2006/relationships/hyperlink" Target="https://www.lightercapital.com/blog/2025-b2b-saas-startup-benchmark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Dossier: Sources behind the SaaS churn proposal</dc:title>
  <dc:creator>Markus von Aschoff</dc:creator>
  <cp:lastModifiedBy>Un-named</cp:lastModifiedBy>
  <cp:revision>1</cp:revision>
  <dcterms:created xsi:type="dcterms:W3CDTF">2026-06-04T09:33:43.504Z</dcterms:created>
  <dcterms:modified xsi:type="dcterms:W3CDTF">2026-06-04T09:33:43.505Z</dcterms:modified>
</cp:coreProperties>
</file>

<file path=docProps/custom.xml><?xml version="1.0" encoding="utf-8"?>
<Properties xmlns="http://schemas.openxmlformats.org/officeDocument/2006/custom-properties" xmlns:vt="http://schemas.openxmlformats.org/officeDocument/2006/docPropsVTypes"/>
</file>