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E929" w14:textId="77777777" w:rsidR="00840C35" w:rsidRDefault="00840C35">
      <w:pPr>
        <w:pBdr>
          <w:bottom w:val="single" w:sz="2" w:space="1" w:color="DDDDDD"/>
        </w:pBdr>
      </w:pPr>
    </w:p>
    <w:p w14:paraId="65DFB26B" w14:textId="77777777" w:rsidR="00840C35" w:rsidRDefault="00840C35">
      <w:pPr>
        <w:spacing w:before="60" w:after="60"/>
      </w:pPr>
    </w:p>
    <w:p w14:paraId="51CC9B9F" w14:textId="77777777" w:rsidR="00840C35" w:rsidRDefault="00000000">
      <w:pPr>
        <w:pStyle w:val="Heading1"/>
      </w:pPr>
      <w:r>
        <w:t>Peer Review Rubric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900"/>
        <w:gridCol w:w="5060"/>
      </w:tblGrid>
      <w:tr w:rsidR="00840C35" w14:paraId="5DB7D3B6" w14:textId="77777777"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FA0E" w14:textId="77777777" w:rsidR="00840C35" w:rsidRDefault="00000000"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B603" w14:textId="77777777" w:rsidR="00840C35" w:rsidRDefault="00000000">
            <w:r>
              <w:rPr>
                <w:b/>
                <w:bCs/>
                <w:sz w:val="20"/>
                <w:szCs w:val="20"/>
              </w:rPr>
              <w:t>Score 1-3</w:t>
            </w:r>
          </w:p>
        </w:tc>
        <w:tc>
          <w:tcPr>
            <w:tcW w:w="5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8381" w14:textId="77777777" w:rsidR="00840C35" w:rsidRDefault="00000000">
            <w:r>
              <w:rPr>
                <w:b/>
                <w:bCs/>
                <w:sz w:val="20"/>
                <w:szCs w:val="20"/>
              </w:rPr>
              <w:t>Comment</w:t>
            </w:r>
          </w:p>
        </w:tc>
      </w:tr>
      <w:tr w:rsidR="00840C35" w14:paraId="5BE574A7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E3E0" w14:textId="77777777" w:rsidR="00840C35" w:rsidRDefault="00000000">
            <w:r>
              <w:rPr>
                <w:sz w:val="20"/>
                <w:szCs w:val="20"/>
              </w:rPr>
              <w:t>Clear bottom-line recommendation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04C2" w14:textId="77777777" w:rsidR="00840C35" w:rsidRDefault="00840C35">
            <w:r>
              <w:rPr>
                <w:sz w:val="20"/>
                <w:szCs w:val="20"/>
              </w:rPr>
              <w:t>3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4E09" w14:textId="77777777" w:rsidR="00840C35" w:rsidRDefault="00840C35">
            <w:r>
              <w:rPr>
                <w:sz w:val="20"/>
                <w:szCs w:val="20"/>
              </w:rPr>
              <w:t xml:space="preserve">Exemplary. “Go with conditions” is unambiguous and positioned front and centre before any analysis. The reader knows the verdict immediately.</w:t>
            </w:r>
          </w:p>
        </w:tc>
      </w:tr>
      <w:tr w:rsidR="00840C35" w14:paraId="40DDD6D2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0C27" w14:textId="77777777" w:rsidR="00840C35" w:rsidRDefault="00000000">
            <w:r>
              <w:rPr>
                <w:sz w:val="20"/>
                <w:szCs w:val="20"/>
              </w:rPr>
              <w:t>Lawful basis selection is justified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F3B5" w14:textId="77777777" w:rsidR="00840C35" w:rsidRDefault="00840C35">
            <w:r>
              <w:rPr>
                <w:sz w:val="20"/>
                <w:szCs w:val="20"/>
              </w:rPr>
              <w:t>2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41CB" w14:textId="77777777" w:rsidR="00840C35" w:rsidRDefault="00840C35">
            <w:r>
              <w:rPr>
                <w:sz w:val="20"/>
                <w:szCs w:val="20"/>
              </w:rPr>
              <w:t xml:space="preserve">The memo correctly identifies Article 22 and the DPIA obligation, and implicitly relies on legitimate interest / contractual necessity. However, it never explicitly names the lawful basis (Art. 6) chosen for the primary processing, which a full legal opinion would require.</w:t>
            </w:r>
          </w:p>
        </w:tc>
      </w:tr>
      <w:tr w:rsidR="00840C35" w14:paraId="78C0904C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1A79" w14:textId="77777777" w:rsidR="00840C35" w:rsidRDefault="00000000">
            <w:r>
              <w:rPr>
                <w:sz w:val="20"/>
                <w:szCs w:val="20"/>
              </w:rPr>
              <w:t>Top actions are specific and sequenced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41D0" w14:textId="77777777" w:rsidR="00840C35" w:rsidRDefault="00840C35">
            <w:r>
              <w:rPr>
                <w:sz w:val="20"/>
                <w:szCs w:val="20"/>
              </w:rPr>
              <w:t>3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A8B2" w14:textId="77777777" w:rsidR="00840C35" w:rsidRDefault="00840C35">
            <w:r>
              <w:rPr>
                <w:sz w:val="20"/>
                <w:szCs w:val="20"/>
              </w:rPr>
              <w:t xml:space="preserve">Strong sequencing: DPIA before deployment, vendor DPAs before data flows, Art. 22 safeguards before go-live. Each action names the specific obligation and explains the consequence of non-compliance. Actionable without further clarification.</w:t>
            </w:r>
          </w:p>
        </w:tc>
      </w:tr>
      <w:tr w:rsidR="00840C35" w14:paraId="7692BDDE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B96F" w14:textId="77777777" w:rsidR="00840C35" w:rsidRDefault="00000000">
            <w:r>
              <w:rPr>
                <w:sz w:val="20"/>
                <w:szCs w:val="20"/>
              </w:rPr>
              <w:t>Residual risks are named honestly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9A88" w14:textId="77777777" w:rsidR="00840C35" w:rsidRDefault="00840C35">
            <w:r>
              <w:rPr>
                <w:sz w:val="20"/>
                <w:szCs w:val="20"/>
              </w:rPr>
              <w:t>3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50FC" w14:textId="77777777" w:rsidR="00840C35" w:rsidRDefault="00840C35">
            <w:r>
              <w:rPr>
                <w:sz w:val="20"/>
                <w:szCs w:val="20"/>
              </w:rPr>
              <w:t xml:space="preserve">All three residual risks (Art. 9 inference, FISA 702 exposure, nominal oversight) are named with precision and without over-promising. The memo correctly flags that these cannot be fully contracted away, which is exactly the candour a client needs.</w:t>
            </w:r>
          </w:p>
        </w:tc>
      </w:tr>
      <w:tr w:rsidR="00840C35" w14:paraId="3B8560AA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E442" w14:textId="77777777" w:rsidR="00840C35" w:rsidRDefault="00000000">
            <w:r>
              <w:rPr>
                <w:sz w:val="20"/>
                <w:szCs w:val="20"/>
              </w:rPr>
              <w:t>Law stacking is addressed (AI Act / ePrivacy)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A67F" w14:textId="77777777" w:rsidR="00840C35" w:rsidRDefault="00840C35">
            <w:r>
              <w:rPr>
                <w:sz w:val="20"/>
                <w:szCs w:val="20"/>
              </w:rPr>
              <w:t>2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2CFB" w14:textId="77777777" w:rsidR="00840C35" w:rsidRDefault="00840C35">
            <w:r>
              <w:rPr>
                <w:sz w:val="20"/>
                <w:szCs w:val="20"/>
              </w:rPr>
              <w:t xml:space="preserve">The EU AI Act is acknowledged in the introduction (“enforcement risk under both GDPR and the EU AI Act simultaneously”) but is not developed further. A high-risk AI system classification under the AI Act carries its own conformity obligations that deserve at least a paragraph. ePrivacy is not mentioned at all.</w:t>
            </w:r>
          </w:p>
        </w:tc>
      </w:tr>
    </w:tbl>
    <w:p w14:paraId="06DA3E8A" w14:textId="77777777" w:rsidR="00840C35" w:rsidRDefault="00840C35">
      <w:pPr>
        <w:spacing w:before="60" w:after="60"/>
      </w:pPr>
    </w:p>
    <w:p w14:paraId="7D9DF35E" w14:textId="77777777" w:rsidR="00840C35" w:rsidRDefault="00840C35">
      <w:pPr>
        <w:spacing w:before="60" w:after="60"/>
      </w:pPr>
    </w:p>
    <w:p w14:paraId="2F8E690A" w14:textId="77777777" w:rsidR="00840C35" w:rsidRDefault="00000000">
      <w:pPr>
        <w:pStyle w:val="Heading2"/>
      </w:pPr>
      <w:r>
        <w:t>Reviewer note (as client)</w:t>
      </w:r>
    </w:p>
    <w:p w14:paraId="05608345" w14:textId="77777777" w:rsidR="00840C35" w:rsidRDefault="00000000">
      <w:pPr>
        <w:spacing w:before="80" w:after="80"/>
      </w:pPr>
      <w:r>
        <w:t>Write 2-3 sentences here after the swap: accept the recommendation, flag one concern, or ask for a redesign of one section.</w:t>
      </w:r>
    </w:p>
    <w:p w14:paraId="6298B15A" w14:textId="77777777" w:rsidR="00840C35" w:rsidRDefault="00840C35">
      <w:pPr>
        <w:spacing w:before="60" w:after="60"/>
      </w:pPr>
    </w:p>
    <w:p w14:paraId="16D8A7E2" w14:textId="77777777" w:rsidR="00840C35" w:rsidRDefault="00000000">
      <w:pPr>
        <w:spacing w:before="80" w:after="80"/>
      </w:pPr>
      <w:r>
        <w:t xml:space="preserve">We accept the recommendation and will prioritise the three pre-launch actions as sequenced. That said, we would ask the consultant to redesign the law stacking section: the current memo flags EU AI Act exposure in a single sentence but does not tell us whether our system falls into the high-risk category under Annex III of the AI Act, what conformity assessment obligations would follow, or how those obligations interact with the DPIA timeline — and those gaps leave us unable to properly scope the project or brief our board. A dedicated paragraph or short addendum addressing AI Act classification and its practical consequences would be necessary before we can finalise our go-live roadmap.</w:t>
      </w:r>
    </w:p>
    <w:sectPr w:rsidR="00840C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74FED"/>
    <w:multiLevelType w:val="hybridMultilevel"/>
    <w:tmpl w:val="F18E6584"/>
    <w:lvl w:ilvl="0" w:tplc="EE7CB558">
      <w:start w:val="1"/>
      <w:numFmt w:val="bullet"/>
      <w:lvlText w:val="•"/>
      <w:lvlJc w:val="left"/>
      <w:pPr>
        <w:ind w:left="720" w:hanging="360"/>
      </w:pPr>
    </w:lvl>
    <w:lvl w:ilvl="1" w:tplc="6B92539E">
      <w:numFmt w:val="decimal"/>
      <w:lvlText w:val=""/>
      <w:lvlJc w:val="left"/>
    </w:lvl>
    <w:lvl w:ilvl="2" w:tplc="55EA7564">
      <w:numFmt w:val="decimal"/>
      <w:lvlText w:val=""/>
      <w:lvlJc w:val="left"/>
    </w:lvl>
    <w:lvl w:ilvl="3" w:tplc="E0CEE1FA">
      <w:numFmt w:val="decimal"/>
      <w:lvlText w:val=""/>
      <w:lvlJc w:val="left"/>
    </w:lvl>
    <w:lvl w:ilvl="4" w:tplc="BCB4D466">
      <w:numFmt w:val="decimal"/>
      <w:lvlText w:val=""/>
      <w:lvlJc w:val="left"/>
    </w:lvl>
    <w:lvl w:ilvl="5" w:tplc="E07EE612">
      <w:numFmt w:val="decimal"/>
      <w:lvlText w:val=""/>
      <w:lvlJc w:val="left"/>
    </w:lvl>
    <w:lvl w:ilvl="6" w:tplc="C6A40FDE">
      <w:numFmt w:val="decimal"/>
      <w:lvlText w:val=""/>
      <w:lvlJc w:val="left"/>
    </w:lvl>
    <w:lvl w:ilvl="7" w:tplc="0F4C257E">
      <w:numFmt w:val="decimal"/>
      <w:lvlText w:val=""/>
      <w:lvlJc w:val="left"/>
    </w:lvl>
    <w:lvl w:ilvl="8" w:tplc="C2E6AA18">
      <w:numFmt w:val="decimal"/>
      <w:lvlText w:val=""/>
      <w:lvlJc w:val="left"/>
    </w:lvl>
  </w:abstractNum>
  <w:abstractNum w:abstractNumId="1" w15:restartNumberingAfterBreak="0">
    <w:nsid w:val="4B507A3B"/>
    <w:multiLevelType w:val="hybridMultilevel"/>
    <w:tmpl w:val="01C6615A"/>
    <w:lvl w:ilvl="0" w:tplc="21AE5524">
      <w:start w:val="1"/>
      <w:numFmt w:val="bullet"/>
      <w:lvlText w:val="●"/>
      <w:lvlJc w:val="left"/>
      <w:pPr>
        <w:ind w:left="720" w:hanging="360"/>
      </w:pPr>
    </w:lvl>
    <w:lvl w:ilvl="1" w:tplc="A02AE872">
      <w:start w:val="1"/>
      <w:numFmt w:val="bullet"/>
      <w:lvlText w:val="○"/>
      <w:lvlJc w:val="left"/>
      <w:pPr>
        <w:ind w:left="1440" w:hanging="360"/>
      </w:pPr>
    </w:lvl>
    <w:lvl w:ilvl="2" w:tplc="07E07708">
      <w:start w:val="1"/>
      <w:numFmt w:val="bullet"/>
      <w:lvlText w:val="■"/>
      <w:lvlJc w:val="left"/>
      <w:pPr>
        <w:ind w:left="2160" w:hanging="360"/>
      </w:pPr>
    </w:lvl>
    <w:lvl w:ilvl="3" w:tplc="EC366DF2">
      <w:start w:val="1"/>
      <w:numFmt w:val="bullet"/>
      <w:lvlText w:val="●"/>
      <w:lvlJc w:val="left"/>
      <w:pPr>
        <w:ind w:left="2880" w:hanging="360"/>
      </w:pPr>
    </w:lvl>
    <w:lvl w:ilvl="4" w:tplc="3FDA027C">
      <w:start w:val="1"/>
      <w:numFmt w:val="bullet"/>
      <w:lvlText w:val="○"/>
      <w:lvlJc w:val="left"/>
      <w:pPr>
        <w:ind w:left="3600" w:hanging="360"/>
      </w:pPr>
    </w:lvl>
    <w:lvl w:ilvl="5" w:tplc="968ACF76">
      <w:start w:val="1"/>
      <w:numFmt w:val="bullet"/>
      <w:lvlText w:val="■"/>
      <w:lvlJc w:val="left"/>
      <w:pPr>
        <w:ind w:left="4320" w:hanging="360"/>
      </w:pPr>
    </w:lvl>
    <w:lvl w:ilvl="6" w:tplc="7EC6FAD6">
      <w:start w:val="1"/>
      <w:numFmt w:val="bullet"/>
      <w:lvlText w:val="●"/>
      <w:lvlJc w:val="left"/>
      <w:pPr>
        <w:ind w:left="5040" w:hanging="360"/>
      </w:pPr>
    </w:lvl>
    <w:lvl w:ilvl="7" w:tplc="79F29F16">
      <w:start w:val="1"/>
      <w:numFmt w:val="bullet"/>
      <w:lvlText w:val="●"/>
      <w:lvlJc w:val="left"/>
      <w:pPr>
        <w:ind w:left="5760" w:hanging="360"/>
      </w:pPr>
    </w:lvl>
    <w:lvl w:ilvl="8" w:tplc="79E012E2">
      <w:start w:val="1"/>
      <w:numFmt w:val="bullet"/>
      <w:lvlText w:val="●"/>
      <w:lvlJc w:val="left"/>
      <w:pPr>
        <w:ind w:left="6480" w:hanging="360"/>
      </w:pPr>
    </w:lvl>
  </w:abstractNum>
  <w:num w:numId="1" w16cid:durableId="997461333">
    <w:abstractNumId w:val="1"/>
    <w:lvlOverride w:ilvl="0">
      <w:startOverride w:val="1"/>
    </w:lvlOverride>
  </w:num>
  <w:num w:numId="2" w16cid:durableId="2132239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C35"/>
    <w:rsid w:val="007F0952"/>
    <w:rsid w:val="00840C35"/>
    <w:rsid w:val="00BA6FAB"/>
    <w:rsid w:val="00DA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0EBBF2"/>
  <w15:docId w15:val="{6725B79B-9295-2A4C-94E6-C788994E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367</Characters>
  <Application>Microsoft Office Word</Application>
  <DocSecurity>0</DocSecurity>
  <Lines>6</Lines>
  <Paragraphs>3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Markus von Aschoff</cp:lastModifiedBy>
  <cp:revision>3</cp:revision>
  <dcterms:created xsi:type="dcterms:W3CDTF">2026-05-27T07:17:00Z</dcterms:created>
  <dcterms:modified xsi:type="dcterms:W3CDTF">2026-05-27T08:09:00Z</dcterms:modified>
</cp:coreProperties>
</file>