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Pain-Point Discovery Table</w:t>
      </w:r>
    </w:p>
    <w:p>
      <w:pPr>
        <w:spacing w:after="320" w:before="0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Persona  →  Discovered Pain Point  →  How It Affects the 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Persona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Discovered Pain Point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It Affects the Solution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Mira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Production Manager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DFD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Fragmented data across systems; reporting is slow and manual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Troubleshooting outages eats into production margins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real-time visibility into line performance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Crashes are reactive — problems are discovered too late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DFD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Prioritise real-time dashboarding and low-latency alerting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Implement shadow mode to suppress false alarms before go-live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Design UI for fast action — minimal clicks from alert to response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Pilot scope limited to one production line to prove ROI quickly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45A32"/>
                <w:sz w:val="22"/>
                <w:szCs w:val="22"/>
              </w:rPr>
              <w:t xml:space="preserve">Markus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45A32"/>
                <w:sz w:val="18"/>
                <w:szCs w:val="18"/>
              </w:rPr>
              <w:t xml:space="preserve">IT / Shopfloor Tech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DFD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siloing and complex integrations across legacy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 is the manual bottleneck who assembles all data by hand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Legal/GDPR concerns about sharing raw machine data externally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Strongly prefers on-prem, read-only approaches to avoid risk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DFD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read-only edge adapters — no write access to source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Keep raw telemetry on-prem; only aggregated signals leave the boundary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Provide Markus with tooling to manage and audit connectors himself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Minimise maintenance overhead; avoid changes to existing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Surface raw data access for diagnostics without altering production 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12E5F"/>
                <w:sz w:val="22"/>
                <w:szCs w:val="22"/>
              </w:rPr>
              <w:t xml:space="preserve">Ellen / Ingrid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12E5F"/>
                <w:sz w:val="18"/>
                <w:szCs w:val="18"/>
              </w:rPr>
              <w:t xml:space="preserve">Compliance &amp; QM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DFD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Needs accurate, auditable data for ISO certification and regulatory reporting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Uncertain whether AI is even necessary for compliance workflows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Worried about data retention periods, masking, and legal conformity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Requires clear paper trail and accountability for any flagged incidents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DFD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Provide immutable, redacted audit snapshots matching certification templates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 GDPR/DPIA and EU AI Act compliance stance in plain language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manual sign-off flows for any AI-flagged incidents before escalation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Ensure export formats align with ISO reporting requirements out of the box</w:t>
            </w:r>
          </w:p>
        </w:tc>
      </w:tr>
    </w:tbl>
    <w:p>
      <w:pPr>
        <w:spacing w:after="0" w:before="280"/>
        <w:jc w:val="right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SilverTrust AI Consulting  |  Project 4 — Discovery Findings</w:t>
      </w:r>
    </w:p>
    <w:sectPr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2026-06-01T13:11:02.334Z</dcterms:created>
  <dcterms:modified xsi:type="dcterms:W3CDTF">2026-06-01T13:11:02.354Z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