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C2340"/>
          <w:sz w:val="36"/>
          <w:szCs w:val="36"/>
        </w:rPr>
        <w:t xml:space="preserve">Pain-point discovery table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Persona  →  Discovered pain point  →  How it shapes the solution</w:t>
      </w:r>
    </w:p>
    <w:tbl>
      <w:tblPr>
        <w:tblW w:type="dxa" w:w="14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20"/>
        <w:gridCol w:w="6620"/>
      </w:tblGrid>
      <w:tr>
        <w:trPr>
          <w:tblHeader/>
        </w:trP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2340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5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2340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Discovered pain point</w:t>
            </w:r>
          </w:p>
        </w:tc>
        <w:tc>
          <w:tcPr>
            <w:tcW w:type="dxa" w:w="6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2340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shapes the solution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1FB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Mira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5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from 5 systems arrives in different formats. Mira assembles it by hand before every report.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Outages and defects are found after the line has already stopped — fixing them costs more time and material than catching them early.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live view of line performance. Crashes are reactive.</w:t>
            </w:r>
          </w:p>
        </w:tc>
        <w:tc>
          <w:tcPr>
            <w:tcW w:type="dxa" w:w="6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dashboard per line; alerts fire within seconds of a threshold breach.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 mode runs alongside production before go-live — alerts are tested without interrupting the floor.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designed for fast response: alert, reason, action in 3 clicks.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on 1 line first to show measurable ROI before expanding.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5EE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A4D2E"/>
                <w:sz w:val="22"/>
                <w:szCs w:val="22"/>
              </w:rPr>
              <w:t xml:space="preserve">Markus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4D2E"/>
                <w:sz w:val="18"/>
                <w:szCs w:val="18"/>
              </w:rPr>
              <w:t xml:space="preserve">IT / Shopfloor Tech</w:t>
            </w:r>
          </w:p>
        </w:tc>
        <w:tc>
          <w:tcPr>
            <w:tcW w:type="dxa" w:w="5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source databases, 3 on a separate DEV network with incompatible schemas. Integration is manual and sits entirely with Markus.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external data transfer raises GDPR and NDA concerns. Raw machine data can't leave the building.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Markus has refused cloud-based tools before. On-prem, read-only is a hard requirement.</w:t>
            </w:r>
          </w:p>
        </w:tc>
        <w:tc>
          <w:tcPr>
            <w:tcW w:type="dxa" w:w="6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edge adapters per source — no write access, no schema changes to existing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telemetry stays on-prem. Only aggregated signals go to the central store.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Markus gets a connector management UI so he can add, pause, and audit sources himself.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changes to existing production systems during rollout.</w:t>
            </w:r>
          </w:p>
        </w:tc>
      </w:tr>
      <w:tr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ECF9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D1A6E"/>
                <w:sz w:val="22"/>
                <w:szCs w:val="22"/>
              </w:rPr>
              <w:t xml:space="preserve">Ellen / Ingrid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D1A6E"/>
                <w:sz w:val="18"/>
                <w:szCs w:val="18"/>
              </w:rPr>
              <w:t xml:space="preserve">Compliance &amp; QM</w:t>
            </w:r>
          </w:p>
        </w:tc>
        <w:tc>
          <w:tcPr>
            <w:tcW w:type="dxa" w:w="5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 audits require clean, timestamped records. Current data is hard to trace back to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Uncertain whether AI adds compliance risk rather than reducing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files and work-time data fall under employee protection — retention periods and masking are open questions.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flagged incident needs a paper trail with a named human decision before escalation.</w:t>
            </w:r>
          </w:p>
        </w:tc>
        <w:tc>
          <w:tcPr>
            <w:tcW w:type="dxa" w:w="66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130"/>
              <w:left w:type="dxa" w:w="170"/>
              <w:bottom w:type="dxa" w:w="130"/>
              <w:right w:type="dxa" w:w="17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snapshots stored locally; records are redacted at ingestion where employee data is involved.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GDPR/DPIA and EU AI Act position documented in plain language before sign-off.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sign-off required on every AI-flagged incident — no automated escalation.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templates match ISO 9001 field requirements so reports don't need reformatting.</w:t>
            </w:r>
          </w:p>
        </w:tc>
      </w:tr>
    </w:tbl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SilverTrust AI Consulting  |  Project 4 — Discovery findings</w:t>
      </w:r>
    </w:p>
    <w:sectPr>
      <w:pgSz w:w="15840" w:h="12240" w:orient="portrait"/>
      <w:pgMar w:top="900" w:right="750" w:bottom="9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2026-06-01T13:26:34.495Z</dcterms:created>
  <dcterms:modified xsi:type="dcterms:W3CDTF">2026-06-01T13:26:34.510Z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