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2"/>
        </w:rPr>
        <w:t>面向低空经济合规问答与案例责任预测的</w:t>
        <w:br/>
        <w:t>NormCase-TARRAG 方法研究</w:t>
      </w:r>
    </w:p>
    <w:p>
      <w:pPr>
        <w:jc w:val="center"/>
      </w:pPr>
      <w:r>
        <w:rPr>
          <w:rFonts w:ascii="楷体" w:hAnsi="楷体" w:eastAsia="楷体"/>
          <w:sz w:val="22"/>
        </w:rPr>
        <w:t>——基于规范结构化、责任证据路由与边界消解的可信法律 RAG 研究</w:t>
      </w:r>
    </w:p>
    <w:p>
      <w:pPr>
        <w:pStyle w:val="Heading1"/>
      </w:pPr>
      <w:r>
        <w:rPr>
          <w:rFonts w:ascii="黑体" w:hAnsi="黑体" w:eastAsia="黑体"/>
          <w:b/>
          <w:sz w:val="28"/>
        </w:rPr>
        <w:t>摘要</w:t>
      </w:r>
    </w:p>
    <w:p>
      <w:pPr>
        <w:spacing w:line="324" w:lineRule="auto" w:after="80"/>
        <w:ind w:firstLine="440"/>
      </w:pPr>
      <w:r>
        <w:rPr>
          <w:rFonts w:ascii="宋体" w:hAnsi="宋体" w:eastAsia="宋体"/>
          <w:sz w:val="22"/>
        </w:rPr>
        <w:t>低空经济由无人驾驶航空器运行、空域管理、适航制造、城市治理、数据安全、测绘保密、民事侵权、行政处罚、刑事责任和保险理赔等多类规范共同调整，相关依据分布在法律、行政法规、部门规章、规范性文件、强制性标准、行业标准、政策文件和地方规则之中。普通检索增强生成（RAG）系统虽然能够缓解大模型幻觉，但在低空经济法律场景中仍容易出现证据来源不完整、法源层级混淆、地方规则遗漏、标准与法律责任边界不清、案例责任判断泛化等问题。为解决上述问题，本文构建面向低空经济法律问答的规范语料体系，并提出规范结构化与案例感知的事实追踪—证据对齐—规则消解框架 NormCase-TARRAG。该方法以“场景—规范槽位追踪、规范—责任证据路由、法源证据矩阵、规则边界消解、引用约束生成”为核心流程，将低空经济法律问题从普通文本问答转化为可追溯、可解释、可与真实处理结果对照的法律推理任务。</w:t>
      </w:r>
    </w:p>
    <w:p>
      <w:pPr>
        <w:spacing w:line="324" w:lineRule="auto" w:after="80"/>
        <w:ind w:firstLine="440"/>
      </w:pPr>
      <w:r>
        <w:rPr>
          <w:rFonts w:ascii="宋体" w:hAnsi="宋体" w:eastAsia="宋体"/>
          <w:sz w:val="22"/>
        </w:rPr>
        <w:t>在数据层面，本文整理国内现行低空经济相关规范资料，形成覆盖 88 项来源、5173 个法规 chunk 的低空经济规范语料，并按照法源层级、地域范围、施行时间、业务主题和规范类型进行分类。在任务层面，本文构造 LowAltBench XL 评测任务和案例责任预测任务，覆盖城市物流、基础设施巡检、应急公共服务、适航制造、实时空域拒答、规则冲突解析、文旅航拍、农业服务、产品责任、保险责任和多主体责任分配等场景。在方法层面，本文在 TARRAG 基础上加入案例责任规则补充语料、案例责任 facet、责任证据路由和规则边界消解，使系统能够同时回答一般合规问题和案例责任预测问题。实验结果表明，在 XL test200 方法验证中，结构化 TARRAG 方法相较 BM25 在 nDCG@10、facet 覆盖、工作流步骤覆盖、拒答准确率和 false safe rate 等指标上表现更优；在 15 条案例责任预测任务中，完整 NormCase-TARRAG 的 R@10 达到 0.9167，nDCG@10 达到 0.9498，引用精度达到 0.9849，案例责任方向一致性达到 0.7000，综合评分达到 3.6000。结果说明，低空经济法律 RAG 的关键不只是召回更多文本，而是通过法源结构、案例责任规则和边界消解把检索证据转化为可验证的法律结论。</w:t>
      </w:r>
    </w:p>
    <w:p>
      <w:pPr>
        <w:spacing w:line="324" w:lineRule="auto" w:after="80"/>
      </w:pPr>
      <w:r>
        <w:rPr>
          <w:rFonts w:ascii="宋体" w:hAnsi="宋体" w:eastAsia="宋体"/>
          <w:sz w:val="22"/>
        </w:rPr>
        <w:t>关键词：低空经济；法律 RAG；案例责任预测；法源层级；证据矩阵；法律三段论；可信问答</w:t>
      </w:r>
    </w:p>
    <w:p>
      <w:pPr>
        <w:pStyle w:val="Heading1"/>
      </w:pPr>
      <w:r>
        <w:rPr>
          <w:rFonts w:ascii="黑体" w:hAnsi="黑体" w:eastAsia="黑体"/>
          <w:b/>
          <w:sz w:val="28"/>
        </w:rPr>
        <w:t>Abstract</w:t>
      </w:r>
    </w:p>
    <w:p>
      <w:pPr>
        <w:spacing w:line="324" w:lineRule="auto" w:after="80"/>
        <w:ind w:firstLine="440"/>
      </w:pPr>
      <w:r>
        <w:rPr>
          <w:rFonts w:ascii="宋体" w:hAnsi="宋体" w:eastAsia="宋体"/>
          <w:sz w:val="22"/>
        </w:rPr>
        <w:t>Low-altitude economy governance involves heterogeneous legal sources and compound factual scenarios, including unmanned aircraft operation, airspace management, airworthiness, local governance, data security, surveying and mapping, public safety, tort liability, administrative penalty, criminal liability, and insurance claims. This paper proposes NormCase-TARRAG, a Trace-Align-Resolve retrieval-augmented generation framework for low-altitude legal question answering and case outcome prediction. The framework structures questions into scenario and liability slots, routes evidence to norm and case responsibility sources, aligns retrieved evidence by legal hierarchy and jurisdiction, resolves temporal and liability boundaries, and generates citation-constrained legal reasoning answers. Experiments on general legal workflow tasks and case responsibility tasks show that the proposed framework improves evidence recall, citation reliability, abstention behavior, and consistency with real case outcomes.</w:t>
      </w:r>
    </w:p>
    <w:p>
      <w:pPr>
        <w:spacing w:line="324" w:lineRule="auto" w:after="80"/>
      </w:pPr>
      <w:r>
        <w:rPr>
          <w:rFonts w:ascii="宋体" w:hAnsi="宋体" w:eastAsia="宋体"/>
          <w:sz w:val="22"/>
        </w:rPr>
        <w:t>Keywords: low-altitude economy; legal RAG; case outcome prediction; legal hierarchy; evidence matrix; legal reasoning</w:t>
      </w:r>
    </w:p>
    <w:p>
      <w:pPr>
        <w:pStyle w:val="Heading1"/>
      </w:pPr>
      <w:r>
        <w:rPr>
          <w:rFonts w:ascii="黑体" w:hAnsi="黑体" w:eastAsia="黑体"/>
          <w:b/>
          <w:sz w:val="28"/>
        </w:rPr>
        <w:t>1 引言</w:t>
      </w:r>
    </w:p>
    <w:p>
      <w:pPr>
        <w:spacing w:line="324" w:lineRule="auto" w:after="80"/>
        <w:ind w:firstLine="440"/>
      </w:pPr>
      <w:r>
        <w:rPr>
          <w:rFonts w:ascii="宋体" w:hAnsi="宋体" w:eastAsia="宋体"/>
          <w:sz w:val="22"/>
        </w:rPr>
        <w:t>近年来，低空经济从政策倡导逐步进入规模化应用阶段，无人机城市配送、基础设施巡检、文旅航拍、应急救援、农业植保、低空飞行服务系统、低空数据平台和通用航空装备制造等场景不断扩展。与一般产业问答不同，低空经济问题并不只涉及某一部法律或某一个行政许可事项，而是同时牵涉航空器登记、运行识别、空域申请、航线划设、适航审定、操控员培训、地方平台接入、数据采集、个人信息保护、测绘地理信息、公共安全和事故责任等多重规则。</w:t>
      </w:r>
    </w:p>
    <w:p>
      <w:pPr>
        <w:spacing w:line="324" w:lineRule="auto" w:after="80"/>
        <w:ind w:firstLine="440"/>
      </w:pPr>
      <w:r>
        <w:rPr>
          <w:rFonts w:ascii="宋体" w:hAnsi="宋体" w:eastAsia="宋体"/>
          <w:sz w:val="22"/>
        </w:rPr>
        <w:t>这种复合性给法律问答系统带来直接挑战。一个用户提出“在深圳开展无人机城市配送试点需要哪些合规准备”时，系统不仅要检索无人机飞行管理规则，还要识别城市物流航线标准、运行安全要求、地方低空经济规则、数据存证规则和实时空域核验边界；当用户提出“无人机坠落造成车辆损害由谁承担责任”时，系统还必须转向侵权责任、过错与因果关系、操作者与所有人关系、产品缺陷、保险赔付顺序等裁判逻辑。如果系统只按照语义相似度返回若干条法规，很容易把复杂问题压缩为片面的义务清单。</w:t>
      </w:r>
    </w:p>
    <w:p>
      <w:pPr>
        <w:spacing w:line="324" w:lineRule="auto" w:after="80"/>
        <w:ind w:firstLine="440"/>
      </w:pPr>
      <w:r>
        <w:rPr>
          <w:rFonts w:ascii="宋体" w:hAnsi="宋体" w:eastAsia="宋体"/>
          <w:sz w:val="22"/>
        </w:rPr>
        <w:t>检索增强生成技术为法律问答提供了重要基础。通过外部知识库检索，RAG 可以减少大模型凭空编造规则的风险，并为答案提供可追溯来源。然而，法律场景中的“相关”并不等于“可适用”。同一条文本可能因地域、时间、主体、法源层级或规范功能不同而不适用于当前问题；行业标准可能只说明技术流程，不能直接作为处罚依据；政策文件可以说明发展方向，却不能替代强制性规范；未来施行规则可以作为前瞻提醒，却不能作为当前合法性判断依据。因此，低空经济法律 RAG 需要在检索之外进一步处理法源属性、规范类型和责任边界。</w:t>
      </w:r>
    </w:p>
    <w:p>
      <w:pPr>
        <w:spacing w:line="324" w:lineRule="auto" w:after="80"/>
        <w:ind w:firstLine="440"/>
      </w:pPr>
      <w:r>
        <w:rPr>
          <w:rFonts w:ascii="宋体" w:hAnsi="宋体" w:eastAsia="宋体"/>
          <w:sz w:val="22"/>
        </w:rPr>
        <w:t>基于上述问题，本文将研究任务从普通法规问答扩展为“低空经济合规问答与案例责任预测”。本文的目标不是让模型自由生成法律意见，而是在规范语料和案例责任规则约束下，输出能够说明事实、依据、推理过程和结论边界的法律答案。为此，本文提出 NormCase-TARRAG 方法，将法律推理过程拆解为 Trace、Retrieve、Align、Resolve 和 Generate 五个阶段，并在案例任务中增加责任规则补充、案例 facet、证据路由和规则边界消解。</w:t>
      </w:r>
    </w:p>
    <w:p>
      <w:pPr>
        <w:spacing w:line="324" w:lineRule="auto" w:after="80"/>
        <w:ind w:firstLine="440"/>
      </w:pPr>
      <w:r>
        <w:rPr>
          <w:rFonts w:ascii="宋体" w:hAnsi="宋体" w:eastAsia="宋体"/>
          <w:sz w:val="22"/>
        </w:rPr>
        <w:t>本文的主要贡献包括三点。第一，在数据层面，整理国内现行低空经济相关规范资料，构建覆盖法律、行政法规、部门规章、规范性文件、标准、政策和地方规则的低空经济法律语料，并按照法源层级、地域范围、施行时间、业务主题和规范类型进行结构化分类。第二，在方法层面，提出 NormCase-TARRAG，通过场景—规范槽位追踪、规范—责任证据路由、法源证据矩阵和规则边界消解，提高检索证据的精准性与可适用性。第三，在应用层面，建立面向低空经济行业的标准化问答方式和案例责任预测任务，使系统答案从“法条罗列”转向“事实识别—规范寻找—规则适用—责任判断”的可验证法律推理过程。</w:t>
      </w:r>
    </w:p>
    <w:p>
      <w:pPr>
        <w:pStyle w:val="Heading1"/>
      </w:pPr>
      <w:r>
        <w:rPr>
          <w:rFonts w:ascii="黑体" w:hAnsi="黑体" w:eastAsia="黑体"/>
          <w:b/>
          <w:sz w:val="28"/>
        </w:rPr>
        <w:t>2 相关工作</w:t>
      </w:r>
    </w:p>
    <w:p>
      <w:pPr>
        <w:pStyle w:val="Heading2"/>
      </w:pPr>
      <w:r>
        <w:rPr>
          <w:rFonts w:ascii="黑体" w:hAnsi="黑体" w:eastAsia="黑体"/>
          <w:b/>
          <w:sz w:val="24"/>
        </w:rPr>
        <w:t>2.1 检索增强生成与知识密集型问答</w:t>
      </w:r>
    </w:p>
    <w:p>
      <w:pPr>
        <w:spacing w:line="324" w:lineRule="auto" w:after="80"/>
        <w:ind w:firstLine="440"/>
      </w:pPr>
      <w:r>
        <w:rPr>
          <w:rFonts w:ascii="宋体" w:hAnsi="宋体" w:eastAsia="宋体"/>
          <w:sz w:val="22"/>
        </w:rPr>
        <w:t>RAG 的基本思想是将生成模型与外部知识检索结合，使模型在回答时能够访问并引用特定知识来源。该思路特别适合政策、法律、医学、金融等知识密集型任务，因为这些任务要求答案不仅“像是合理”，还必须能够回到可核验的依据。传统 RAG 通常关注检索召回率、排序质量和生成流畅性，但在法律场景中，还必须进一步关注证据是否具有规范效力、是否适用于特定地域和特定时间、是否能够支持具体法律效果。</w:t>
      </w:r>
    </w:p>
    <w:p>
      <w:pPr>
        <w:spacing w:line="324" w:lineRule="auto" w:after="80"/>
        <w:ind w:firstLine="440"/>
      </w:pPr>
      <w:r>
        <w:rPr>
          <w:rFonts w:ascii="宋体" w:hAnsi="宋体" w:eastAsia="宋体"/>
          <w:sz w:val="22"/>
        </w:rPr>
        <w:t>低空经济法律问答体现了 RAG 在垂直领域落地时的典型难点：知识源不是单一文本集合，而是由多层级规范共同构成；检索对象也不是单纯事实，而是可为事项、义务、禁止、责任、例外和程序性要求等不同规范类型。因此，本文不把 RAG 理解为“相似条文召回—答案生成”的线性流程，而是将其改造为“结构化问题追踪—证据属性对齐—规则边界消解—引用约束生成”的法律推理流程。</w:t>
      </w:r>
    </w:p>
    <w:p>
      <w:pPr>
        <w:pStyle w:val="Heading2"/>
      </w:pPr>
      <w:r>
        <w:rPr>
          <w:rFonts w:ascii="黑体" w:hAnsi="黑体" w:eastAsia="黑体"/>
          <w:b/>
          <w:sz w:val="24"/>
        </w:rPr>
        <w:t>2.2 法律人工智能与可解释法律推理</w:t>
      </w:r>
    </w:p>
    <w:p>
      <w:pPr>
        <w:spacing w:line="324" w:lineRule="auto" w:after="80"/>
        <w:ind w:firstLine="440"/>
      </w:pPr>
      <w:r>
        <w:rPr>
          <w:rFonts w:ascii="宋体" w:hAnsi="宋体" w:eastAsia="宋体"/>
          <w:sz w:val="22"/>
        </w:rPr>
        <w:t>法律人工智能研究长期关注法规检索、案例检索、裁判预测、合同审查和法律问答等任务。与开放领域问答相比，法律任务具有更强的解释性要求：系统不仅要给出结论，还要说明该结论基于什么规范、适用于哪些事实、是否存在例外、责任由谁承担以及是否需要进一步人工核验。法律三段论提供了一个较为清晰的表达框架，即先确定大前提，再识别小前提，最后完成涵摄并推出法律效果。</w:t>
      </w:r>
    </w:p>
    <w:p>
      <w:pPr>
        <w:spacing w:line="324" w:lineRule="auto" w:after="80"/>
        <w:ind w:firstLine="440"/>
      </w:pPr>
      <w:r>
        <w:rPr>
          <w:rFonts w:ascii="宋体" w:hAnsi="宋体" w:eastAsia="宋体"/>
          <w:sz w:val="22"/>
        </w:rPr>
        <w:t>在低空经济场景中，三段论并不是简单把一个事实套入一个条文。许多问题需要先判断法源层级、地域适用、施行时间和规范性质，再将多个规则共同适用于同一事实。例如，无人机巡检采集视频可能同时触发飞行管理、运行安全、个人信息保护、数据安全、测绘地理信息和地方平台规则。本文方法因此把三段论前置到检索和证据组织阶段，使生成模型面对的是经过结构化整理的证据矩阵，而不是无序文本片段。</w:t>
      </w:r>
    </w:p>
    <w:p>
      <w:pPr>
        <w:pStyle w:val="Heading2"/>
      </w:pPr>
      <w:r>
        <w:rPr>
          <w:rFonts w:ascii="黑体" w:hAnsi="黑体" w:eastAsia="黑体"/>
          <w:b/>
          <w:sz w:val="24"/>
        </w:rPr>
        <w:t>2.3 低空经济合规与案例责任预测</w:t>
      </w:r>
    </w:p>
    <w:p>
      <w:pPr>
        <w:spacing w:line="324" w:lineRule="auto" w:after="80"/>
        <w:ind w:firstLine="440"/>
      </w:pPr>
      <w:r>
        <w:rPr>
          <w:rFonts w:ascii="宋体" w:hAnsi="宋体" w:eastAsia="宋体"/>
          <w:sz w:val="22"/>
        </w:rPr>
        <w:t>低空经济法律研究的特殊性在于，其规范体系仍处于快速发展和地方试点并行阶段。一方面，国家层面形成了无人驾驶航空器飞行管理、运行安全、无线电、适航、数据安全等基本规则；另一方面，深圳、广州、珠海、苏州、无锡、北京等地不断出台低空经济或无人机管理相关地方规则。地方规则通常不是替代国家规则，而是在国家底线之上补充属地平台、公共安全、应用场景和服务保障要求。</w:t>
      </w:r>
    </w:p>
    <w:p>
      <w:pPr>
        <w:spacing w:line="324" w:lineRule="auto" w:after="80"/>
        <w:ind w:firstLine="440"/>
      </w:pPr>
      <w:r>
        <w:rPr>
          <w:rFonts w:ascii="宋体" w:hAnsi="宋体" w:eastAsia="宋体"/>
          <w:sz w:val="22"/>
        </w:rPr>
        <w:t>除一般合规问题外，低空经济还存在大量现实纠纷和责任场景。例如，黑飞危及公共安全、破解电子围栏、军事设施航拍、城市轨道交通区域违规飞行、无人机坠落致损、农业植保喷洒损害、产品功能边界争议、第三者责任险赔付等。这些问题不能只用无人机运行管理规则回答，还必须引入民事侵权、刑事责任、行政处罚、产品责任、承揽关系和保险责任等判断结构。因此，本文在一般低空法规 RAG 的基础上进一步设计案例责任预测任务。</w:t>
      </w:r>
    </w:p>
    <w:p>
      <w:pPr>
        <w:pStyle w:val="Heading1"/>
      </w:pPr>
      <w:r>
        <w:rPr>
          <w:rFonts w:ascii="黑体" w:hAnsi="黑体" w:eastAsia="黑体"/>
          <w:b/>
          <w:sz w:val="28"/>
        </w:rPr>
        <w:t>3 研究任务与总体框架</w:t>
      </w:r>
    </w:p>
    <w:p>
      <w:pPr>
        <w:pStyle w:val="Heading2"/>
      </w:pPr>
      <w:r>
        <w:rPr>
          <w:rFonts w:ascii="黑体" w:hAnsi="黑体" w:eastAsia="黑体"/>
          <w:b/>
          <w:sz w:val="24"/>
        </w:rPr>
        <w:t>3.1 问题定义</w:t>
      </w:r>
    </w:p>
    <w:p>
      <w:pPr>
        <w:spacing w:line="324" w:lineRule="auto" w:after="80"/>
        <w:ind w:firstLine="440"/>
      </w:pPr>
      <w:r>
        <w:rPr>
          <w:rFonts w:ascii="宋体" w:hAnsi="宋体" w:eastAsia="宋体"/>
          <w:sz w:val="22"/>
        </w:rPr>
        <w:t>本文研究的问题可以表述为：给定一个低空经济法律问题或案例事实，系统应当从低空经济法规语料及责任规则语料中检索相关依据，识别问题所涉及的事实槽位、法律维度和责任边界，并在证据约束下输出可追溯、可解释、可与真实处理结果对照的法律推理答案。对于一般合规问题，答案应覆盖可为事项、义务、禁止、责任、例外和人工核验事项；对于案例责任预测问题，答案还应明确案件类型、责任主体、责任方向、法律效果和证据支持。</w:t>
      </w:r>
    </w:p>
    <w:p>
      <w:pPr>
        <w:spacing w:line="324" w:lineRule="auto" w:after="80"/>
        <w:ind w:firstLine="440"/>
      </w:pPr>
      <w:r>
        <w:rPr>
          <w:rFonts w:ascii="宋体" w:hAnsi="宋体" w:eastAsia="宋体"/>
          <w:sz w:val="22"/>
        </w:rPr>
        <w:t>本文将低空经济法律问答拆分为两类任务。第一类是行业合规问答，重点回答某一业务场景应当如何准备、应当核验哪些规则、哪些事项无法仅凭静态语料判断。第二类是案例责任预测，重点回答某一低空经济纠纷或处罚场景中责任类型、责任主体、请求方向和法律效果是否与真实处理方向一致。两类任务共享同一套法源结构和证据约束，但在检索路由、生成格式和评价指标上有所区别。</w:t>
      </w:r>
    </w:p>
    <w:p>
      <w:pPr>
        <w:pStyle w:val="Heading2"/>
      </w:pPr>
      <w:r>
        <w:rPr>
          <w:rFonts w:ascii="黑体" w:hAnsi="黑体" w:eastAsia="黑体"/>
          <w:b/>
          <w:sz w:val="24"/>
        </w:rPr>
        <w:t>3.2 总体方法：规范结构化与案例感知的 TARRAG 框架</w:t>
      </w:r>
    </w:p>
    <w:p>
      <w:pPr>
        <w:spacing w:line="324" w:lineRule="auto" w:after="80"/>
        <w:ind w:firstLine="440"/>
      </w:pPr>
      <w:r>
        <w:rPr>
          <w:rFonts w:ascii="宋体" w:hAnsi="宋体" w:eastAsia="宋体"/>
          <w:sz w:val="22"/>
        </w:rPr>
        <w:t>本文将主方法命名为 NormCase-TARRAG，即规范结构化与案例感知的事实追踪—证据对齐—规则消解检索增强生成框架。为使读者更容易理解，本文将工程模块重新表述为五个论文模块：场景—规范槽位追踪、规范—责任证据路由、法源证据矩阵、规则边界消解、引用约束生成。五个模块对应真实法律工作中的五个步骤：先识别事实和问题类型，再寻找相关依据，然后判断证据能否适用，接着处理冲突、例外和责任边界，最后形成可引用的法律结论。</w:t>
      </w:r>
    </w:p>
    <w:p>
      <w:pPr>
        <w:spacing w:after="60"/>
        <w:jc w:val="center"/>
      </w:pPr>
      <w:r>
        <w:rPr>
          <w:rFonts w:ascii="黑体" w:hAnsi="黑体" w:eastAsia="黑体"/>
          <w:b/>
          <w:sz w:val="20"/>
        </w:rPr>
        <w:t>图1  NormCase-TARRAG 总体流程示意</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E8F2FF"/>
          </w:tcPr>
          <w:p>
            <w:pPr>
              <w:spacing w:after="0" w:line="264" w:lineRule="auto"/>
            </w:pPr>
            <w:r/>
            <w:r>
              <w:rPr>
                <w:rFonts w:ascii="宋体" w:hAnsi="宋体" w:eastAsia="宋体"/>
                <w:b/>
                <w:sz w:val="16"/>
              </w:rPr>
              <w:t>问题/案例事实</w:t>
            </w:r>
          </w:p>
        </w:tc>
        <w:tc>
          <w:tcPr>
            <w:tcW w:type="dxa" w:w="1568"/>
            <w:shd w:fill="EAF7EA"/>
          </w:tcPr>
          <w:p>
            <w:pPr>
              <w:spacing w:after="0"/>
            </w:pPr>
            <w:r/>
            <w:r>
              <w:rPr>
                <w:rFonts w:ascii="宋体" w:hAnsi="宋体" w:eastAsia="宋体"/>
                <w:b/>
                <w:sz w:val="16"/>
              </w:rPr>
              <w:t>场景—规范槽位追踪</w:t>
            </w:r>
          </w:p>
        </w:tc>
        <w:tc>
          <w:tcPr>
            <w:tcW w:type="dxa" w:w="1568"/>
            <w:shd w:fill="FFF4E2"/>
          </w:tcPr>
          <w:p>
            <w:pPr>
              <w:spacing w:after="0" w:line="264" w:lineRule="auto"/>
            </w:pPr>
            <w:r/>
            <w:r>
              <w:rPr>
                <w:rFonts w:ascii="宋体" w:hAnsi="宋体" w:eastAsia="宋体"/>
                <w:b/>
                <w:sz w:val="16"/>
              </w:rPr>
              <w:t>规范—责任证据路由</w:t>
            </w:r>
          </w:p>
        </w:tc>
        <w:tc>
          <w:tcPr>
            <w:tcW w:type="dxa" w:w="1568"/>
            <w:shd w:fill="F1ECFF"/>
          </w:tcPr>
          <w:p>
            <w:pPr>
              <w:spacing w:after="0" w:line="264" w:lineRule="auto"/>
            </w:pPr>
            <w:r/>
            <w:r>
              <w:rPr>
                <w:rFonts w:ascii="宋体" w:hAnsi="宋体" w:eastAsia="宋体"/>
                <w:b/>
                <w:sz w:val="16"/>
              </w:rPr>
              <w:t>法源证据矩阵</w:t>
            </w:r>
          </w:p>
        </w:tc>
        <w:tc>
          <w:tcPr>
            <w:tcW w:type="dxa" w:w="1568"/>
            <w:shd w:fill="FFECEC"/>
          </w:tcPr>
          <w:p>
            <w:pPr>
              <w:spacing w:after="0" w:line="264" w:lineRule="auto"/>
            </w:pPr>
            <w:r/>
            <w:r>
              <w:rPr>
                <w:rFonts w:ascii="宋体" w:hAnsi="宋体" w:eastAsia="宋体"/>
                <w:b/>
                <w:sz w:val="16"/>
              </w:rPr>
              <w:t>规则边界消解</w:t>
            </w:r>
          </w:p>
        </w:tc>
        <w:tc>
          <w:tcPr>
            <w:tcW w:type="dxa" w:w="1568"/>
            <w:shd w:fill="EFFFF8"/>
          </w:tcPr>
          <w:p>
            <w:pPr>
              <w:spacing w:after="0" w:line="264" w:lineRule="auto"/>
            </w:pPr>
            <w:r/>
            <w:r>
              <w:rPr>
                <w:rFonts w:ascii="宋体" w:hAnsi="宋体" w:eastAsia="宋体"/>
                <w:b/>
                <w:sz w:val="16"/>
              </w:rPr>
              <w:t>引用约束生成</w:t>
            </w:r>
          </w:p>
        </w:tc>
      </w:tr>
    </w:tbl>
    <w:p>
      <w:pPr>
        <w:spacing w:after="160"/>
        <w:jc w:val="center"/>
      </w:pPr>
      <w:r>
        <w:rPr>
          <w:rFonts w:ascii="宋体" w:hAnsi="宋体" w:eastAsia="宋体"/>
          <w:sz w:val="18"/>
        </w:rPr>
        <w:t>说明：该流程将低空经济问题先转化为结构化事实与法律维度，再在证据矩阵约束下完成规则适用和责任判断。</w:t>
      </w:r>
    </w:p>
    <w:p>
      <w:pPr>
        <w:pStyle w:val="Heading2"/>
      </w:pPr>
      <w:r>
        <w:rPr>
          <w:rFonts w:ascii="黑体" w:hAnsi="黑体" w:eastAsia="黑体"/>
          <w:b/>
          <w:sz w:val="24"/>
        </w:rPr>
        <w:t>3.3 模块命名与功能说明</w:t>
      </w:r>
    </w:p>
    <w:p>
      <w:pPr>
        <w:spacing w:after="60"/>
        <w:jc w:val="center"/>
      </w:pPr>
      <w:r>
        <w:rPr>
          <w:rFonts w:ascii="黑体" w:hAnsi="黑体" w:eastAsia="黑体"/>
          <w:b/>
          <w:sz w:val="20"/>
        </w:rPr>
        <w:t>表1  模块名称优化与功能说明</w:t>
      </w:r>
    </w:p>
    <w:tbl>
      <w:tblPr>
        <w:tblStyle w:val="TableGrid"/>
        <w:tblW w:type="auto" w:w="0"/>
        <w:jc w:val="center"/>
        <w:tblLayout w:type="autofit"/>
        <w:tblLook w:firstColumn="1" w:firstRow="1" w:lastColumn="0" w:lastRow="0" w:noHBand="0" w:noVBand="1" w:val="04A0"/>
      </w:tblPr>
      <w:tblGrid>
        <w:gridCol w:w="3135"/>
        <w:gridCol w:w="3135"/>
        <w:gridCol w:w="3135"/>
      </w:tblGrid>
      <w:tr>
        <w:tc>
          <w:tcPr>
            <w:tcW w:type="dxa" w:w="3135"/>
            <w:shd w:fill="D9EAF7"/>
            <w:vAlign w:val="center"/>
          </w:tcPr>
          <w:p>
            <w:pPr>
              <w:spacing w:after="0" w:line="264" w:lineRule="auto"/>
            </w:pPr>
            <w:r/>
            <w:r>
              <w:rPr>
                <w:rFonts w:ascii="宋体" w:hAnsi="宋体" w:eastAsia="宋体"/>
                <w:b/>
                <w:sz w:val="16"/>
              </w:rPr>
              <w:t>英文模块名</w:t>
            </w:r>
          </w:p>
        </w:tc>
        <w:tc>
          <w:tcPr>
            <w:tcW w:type="dxa" w:w="3135"/>
            <w:shd w:fill="D9EAF7"/>
            <w:vAlign w:val="center"/>
          </w:tcPr>
          <w:p>
            <w:pPr>
              <w:spacing w:after="0" w:line="264" w:lineRule="auto"/>
            </w:pPr>
            <w:r/>
            <w:r>
              <w:rPr>
                <w:rFonts w:ascii="宋体" w:hAnsi="宋体" w:eastAsia="宋体"/>
                <w:b/>
                <w:sz w:val="16"/>
              </w:rPr>
              <w:t>中文论文名</w:t>
            </w:r>
          </w:p>
        </w:tc>
        <w:tc>
          <w:tcPr>
            <w:tcW w:type="dxa" w:w="3135"/>
            <w:shd w:fill="D9EAF7"/>
            <w:vAlign w:val="center"/>
          </w:tcPr>
          <w:p>
            <w:pPr>
              <w:spacing w:after="0" w:line="264" w:lineRule="auto"/>
            </w:pPr>
            <w:r/>
            <w:r>
              <w:rPr>
                <w:rFonts w:ascii="宋体" w:hAnsi="宋体" w:eastAsia="宋体"/>
                <w:b/>
                <w:sz w:val="16"/>
              </w:rPr>
              <w:t>核心作用</w:t>
            </w:r>
          </w:p>
        </w:tc>
      </w:tr>
      <w:tr>
        <w:tc>
          <w:tcPr>
            <w:tcW w:type="dxa" w:w="3135"/>
            <w:vAlign w:val="center"/>
          </w:tcPr>
          <w:p>
            <w:pPr>
              <w:spacing w:after="0" w:line="264" w:lineRule="auto"/>
            </w:pPr>
            <w:r/>
            <w:r>
              <w:rPr>
                <w:rFonts w:ascii="宋体" w:hAnsi="宋体" w:eastAsia="宋体"/>
                <w:b w:val="0"/>
                <w:sz w:val="16"/>
              </w:rPr>
              <w:t>LowAlt-LawBase</w:t>
            </w:r>
          </w:p>
        </w:tc>
        <w:tc>
          <w:tcPr>
            <w:tcW w:type="dxa" w:w="3135"/>
            <w:vAlign w:val="center"/>
          </w:tcPr>
          <w:p>
            <w:pPr>
              <w:spacing w:after="0" w:line="264" w:lineRule="auto"/>
            </w:pPr>
            <w:r/>
            <w:r>
              <w:rPr>
                <w:rFonts w:ascii="宋体" w:hAnsi="宋体" w:eastAsia="宋体"/>
                <w:b w:val="0"/>
                <w:sz w:val="16"/>
              </w:rPr>
              <w:t>低空经济规范语料库</w:t>
            </w:r>
          </w:p>
        </w:tc>
        <w:tc>
          <w:tcPr>
            <w:tcW w:type="dxa" w:w="3135"/>
            <w:vAlign w:val="center"/>
          </w:tcPr>
          <w:p>
            <w:pPr>
              <w:spacing w:after="0" w:line="264" w:lineRule="auto"/>
            </w:pPr>
            <w:r/>
            <w:r>
              <w:rPr>
                <w:rFonts w:ascii="宋体" w:hAnsi="宋体" w:eastAsia="宋体"/>
                <w:b w:val="0"/>
                <w:sz w:val="16"/>
              </w:rPr>
              <w:t>按法源层级、地域、时间、主题和规范类型组织法规、标准、政策和地方规则</w:t>
            </w:r>
          </w:p>
        </w:tc>
      </w:tr>
      <w:tr>
        <w:tc>
          <w:tcPr>
            <w:tcW w:type="dxa" w:w="3135"/>
            <w:vAlign w:val="center"/>
          </w:tcPr>
          <w:p>
            <w:pPr>
              <w:spacing w:after="0" w:line="264" w:lineRule="auto"/>
            </w:pPr>
            <w:r/>
            <w:r>
              <w:rPr>
                <w:rFonts w:ascii="宋体" w:hAnsi="宋体" w:eastAsia="宋体"/>
                <w:b w:val="0"/>
                <w:sz w:val="16"/>
              </w:rPr>
              <w:t>Scenario-Norm Trace</w:t>
            </w:r>
          </w:p>
        </w:tc>
        <w:tc>
          <w:tcPr>
            <w:tcW w:type="dxa" w:w="3135"/>
            <w:vAlign w:val="center"/>
          </w:tcPr>
          <w:p>
            <w:pPr>
              <w:spacing w:after="0" w:line="264" w:lineRule="auto"/>
            </w:pPr>
            <w:r/>
            <w:r>
              <w:rPr>
                <w:rFonts w:ascii="宋体" w:hAnsi="宋体" w:eastAsia="宋体"/>
                <w:b w:val="0"/>
                <w:sz w:val="16"/>
              </w:rPr>
              <w:t>场景—规范槽位追踪</w:t>
            </w:r>
          </w:p>
        </w:tc>
        <w:tc>
          <w:tcPr>
            <w:tcW w:type="dxa" w:w="3135"/>
            <w:vAlign w:val="center"/>
          </w:tcPr>
          <w:p>
            <w:pPr>
              <w:spacing w:after="0" w:line="264" w:lineRule="auto"/>
            </w:pPr>
            <w:r/>
            <w:r>
              <w:rPr>
                <w:rFonts w:ascii="宋体" w:hAnsi="宋体" w:eastAsia="宋体"/>
                <w:b w:val="0"/>
                <w:sz w:val="16"/>
              </w:rPr>
              <w:t>从问题中识别地点、主体、航空器、业务场景、数据活动、风险类型和案例责任维度</w:t>
            </w:r>
          </w:p>
        </w:tc>
      </w:tr>
      <w:tr>
        <w:tc>
          <w:tcPr>
            <w:tcW w:type="dxa" w:w="3135"/>
            <w:vAlign w:val="center"/>
          </w:tcPr>
          <w:p>
            <w:pPr>
              <w:spacing w:after="0" w:line="264" w:lineRule="auto"/>
            </w:pPr>
            <w:r/>
            <w:r>
              <w:rPr>
                <w:rFonts w:ascii="宋体" w:hAnsi="宋体" w:eastAsia="宋体"/>
                <w:b w:val="0"/>
                <w:sz w:val="16"/>
              </w:rPr>
              <w:t>NormCase Evidence Router</w:t>
            </w:r>
          </w:p>
        </w:tc>
        <w:tc>
          <w:tcPr>
            <w:tcW w:type="dxa" w:w="3135"/>
            <w:vAlign w:val="center"/>
          </w:tcPr>
          <w:p>
            <w:pPr>
              <w:spacing w:after="0" w:line="264" w:lineRule="auto"/>
            </w:pPr>
            <w:r/>
            <w:r>
              <w:rPr>
                <w:rFonts w:ascii="宋体" w:hAnsi="宋体" w:eastAsia="宋体"/>
                <w:b w:val="0"/>
                <w:sz w:val="16"/>
              </w:rPr>
              <w:t>规范—责任证据路由</w:t>
            </w:r>
          </w:p>
        </w:tc>
        <w:tc>
          <w:tcPr>
            <w:tcW w:type="dxa" w:w="3135"/>
            <w:vAlign w:val="center"/>
          </w:tcPr>
          <w:p>
            <w:pPr>
              <w:spacing w:after="0" w:line="264" w:lineRule="auto"/>
            </w:pPr>
            <w:r/>
            <w:r>
              <w:rPr>
                <w:rFonts w:ascii="宋体" w:hAnsi="宋体" w:eastAsia="宋体"/>
                <w:b w:val="0"/>
                <w:sz w:val="16"/>
              </w:rPr>
              <w:t>针对空域、数据、地方规则、标准、民事侵权、刑事、保险等 facet 生成检索路径</w:t>
            </w:r>
          </w:p>
        </w:tc>
      </w:tr>
      <w:tr>
        <w:tc>
          <w:tcPr>
            <w:tcW w:type="dxa" w:w="3135"/>
            <w:vAlign w:val="center"/>
          </w:tcPr>
          <w:p>
            <w:pPr>
              <w:spacing w:after="0" w:line="264" w:lineRule="auto"/>
            </w:pPr>
            <w:r/>
            <w:r>
              <w:rPr>
                <w:rFonts w:ascii="宋体" w:hAnsi="宋体" w:eastAsia="宋体"/>
                <w:b w:val="0"/>
                <w:sz w:val="16"/>
              </w:rPr>
              <w:t>Legal Source Matrix</w:t>
            </w:r>
          </w:p>
        </w:tc>
        <w:tc>
          <w:tcPr>
            <w:tcW w:type="dxa" w:w="3135"/>
            <w:vAlign w:val="center"/>
          </w:tcPr>
          <w:p>
            <w:pPr>
              <w:spacing w:after="0" w:line="264" w:lineRule="auto"/>
            </w:pPr>
            <w:r/>
            <w:r>
              <w:rPr>
                <w:rFonts w:ascii="宋体" w:hAnsi="宋体" w:eastAsia="宋体"/>
                <w:b w:val="0"/>
                <w:sz w:val="16"/>
              </w:rPr>
              <w:t>法源证据矩阵</w:t>
            </w:r>
          </w:p>
        </w:tc>
        <w:tc>
          <w:tcPr>
            <w:tcW w:type="dxa" w:w="3135"/>
            <w:vAlign w:val="center"/>
          </w:tcPr>
          <w:p>
            <w:pPr>
              <w:spacing w:after="0" w:line="264" w:lineRule="auto"/>
            </w:pPr>
            <w:r/>
            <w:r>
              <w:rPr>
                <w:rFonts w:ascii="宋体" w:hAnsi="宋体" w:eastAsia="宋体"/>
                <w:b w:val="0"/>
                <w:sz w:val="16"/>
              </w:rPr>
              <w:t>按照法源层级、地域、效力状态、角色和规范类型组织候选证据</w:t>
            </w:r>
          </w:p>
        </w:tc>
      </w:tr>
      <w:tr>
        <w:tc>
          <w:tcPr>
            <w:tcW w:type="dxa" w:w="3135"/>
            <w:vAlign w:val="center"/>
          </w:tcPr>
          <w:p>
            <w:pPr>
              <w:spacing w:after="0" w:line="264" w:lineRule="auto"/>
            </w:pPr>
            <w:r/>
            <w:r>
              <w:rPr>
                <w:rFonts w:ascii="宋体" w:hAnsi="宋体" w:eastAsia="宋体"/>
                <w:b w:val="0"/>
                <w:sz w:val="16"/>
              </w:rPr>
              <w:t>Boundary Resolver</w:t>
            </w:r>
          </w:p>
        </w:tc>
        <w:tc>
          <w:tcPr>
            <w:tcW w:type="dxa" w:w="3135"/>
            <w:vAlign w:val="center"/>
          </w:tcPr>
          <w:p>
            <w:pPr>
              <w:spacing w:after="0" w:line="264" w:lineRule="auto"/>
            </w:pPr>
            <w:r/>
            <w:r>
              <w:rPr>
                <w:rFonts w:ascii="宋体" w:hAnsi="宋体" w:eastAsia="宋体"/>
                <w:b w:val="0"/>
                <w:sz w:val="16"/>
              </w:rPr>
              <w:t>规则边界消解器</w:t>
            </w:r>
          </w:p>
        </w:tc>
        <w:tc>
          <w:tcPr>
            <w:tcW w:type="dxa" w:w="3135"/>
            <w:vAlign w:val="center"/>
          </w:tcPr>
          <w:p>
            <w:pPr>
              <w:spacing w:after="0" w:line="264" w:lineRule="auto"/>
            </w:pPr>
            <w:r/>
            <w:r>
              <w:rPr>
                <w:rFonts w:ascii="宋体" w:hAnsi="宋体" w:eastAsia="宋体"/>
                <w:b w:val="0"/>
                <w:sz w:val="16"/>
              </w:rPr>
              <w:t>处理上位法/下位法、法律/标准、当前/未来、一般/例外和多主体责任边界</w:t>
            </w:r>
          </w:p>
        </w:tc>
      </w:tr>
      <w:tr>
        <w:tc>
          <w:tcPr>
            <w:tcW w:type="dxa" w:w="3135"/>
            <w:vAlign w:val="center"/>
          </w:tcPr>
          <w:p>
            <w:pPr>
              <w:spacing w:after="0" w:line="264" w:lineRule="auto"/>
            </w:pPr>
            <w:r/>
            <w:r>
              <w:rPr>
                <w:rFonts w:ascii="宋体" w:hAnsi="宋体" w:eastAsia="宋体"/>
                <w:b w:val="0"/>
                <w:sz w:val="16"/>
              </w:rPr>
              <w:t>Citation-Guided Generator</w:t>
            </w:r>
          </w:p>
        </w:tc>
        <w:tc>
          <w:tcPr>
            <w:tcW w:type="dxa" w:w="3135"/>
            <w:vAlign w:val="center"/>
          </w:tcPr>
          <w:p>
            <w:pPr>
              <w:spacing w:after="0" w:line="264" w:lineRule="auto"/>
            </w:pPr>
            <w:r/>
            <w:r>
              <w:rPr>
                <w:rFonts w:ascii="宋体" w:hAnsi="宋体" w:eastAsia="宋体"/>
                <w:b w:val="0"/>
                <w:sz w:val="16"/>
              </w:rPr>
              <w:t>引用约束生成器</w:t>
            </w:r>
          </w:p>
        </w:tc>
        <w:tc>
          <w:tcPr>
            <w:tcW w:type="dxa" w:w="3135"/>
            <w:vAlign w:val="center"/>
          </w:tcPr>
          <w:p>
            <w:pPr>
              <w:spacing w:after="0" w:line="264" w:lineRule="auto"/>
            </w:pPr>
            <w:r/>
            <w:r>
              <w:rPr>
                <w:rFonts w:ascii="宋体" w:hAnsi="宋体" w:eastAsia="宋体"/>
                <w:b w:val="0"/>
                <w:sz w:val="16"/>
              </w:rPr>
              <w:t>在证据矩阵约束下输出三段论式答案，并要求关键结论附带 article_id 引用</w:t>
            </w:r>
          </w:p>
        </w:tc>
      </w:tr>
    </w:tbl>
    <w:p>
      <w:pPr>
        <w:spacing w:after="0"/>
      </w:pPr>
    </w:p>
    <w:p>
      <w:pPr>
        <w:pStyle w:val="Heading1"/>
      </w:pPr>
      <w:r>
        <w:rPr>
          <w:rFonts w:ascii="黑体" w:hAnsi="黑体" w:eastAsia="黑体"/>
          <w:b/>
          <w:sz w:val="28"/>
        </w:rPr>
        <w:t>4 低空经济规范数据集构建</w:t>
      </w:r>
    </w:p>
    <w:p>
      <w:pPr>
        <w:pStyle w:val="Heading2"/>
      </w:pPr>
      <w:r>
        <w:rPr>
          <w:rFonts w:ascii="黑体" w:hAnsi="黑体" w:eastAsia="黑体"/>
          <w:b/>
          <w:sz w:val="24"/>
        </w:rPr>
        <w:t>4.1 法源范围与数据规模</w:t>
      </w:r>
    </w:p>
    <w:p>
      <w:pPr>
        <w:spacing w:line="324" w:lineRule="auto" w:after="80"/>
        <w:ind w:firstLine="440"/>
      </w:pPr>
      <w:r>
        <w:rPr>
          <w:rFonts w:ascii="宋体" w:hAnsi="宋体" w:eastAsia="宋体"/>
          <w:sz w:val="22"/>
        </w:rPr>
        <w:t>本文构建的 LowAlt-LawBase 以“完整覆盖当前任务所需法源”为原则，既包括直接调整无人驾驶航空器和通用航空活动的规则，也包括低空经济场景中共同适用的数据安全、个人信息保护、测绘地理信息、保密、网络安全、公共安全、侵权责任和保险规则。现阶段语料覆盖 88 项来源，处理为 5173 个法规 chunk；全量评测集 LowAltBench XL 包含 1200 条任务，用于主实验、消融实验、API 预测和评审。</w:t>
      </w:r>
    </w:p>
    <w:p>
      <w:pPr>
        <w:spacing w:line="324" w:lineRule="auto" w:after="80"/>
        <w:ind w:firstLine="440"/>
      </w:pPr>
      <w:r>
        <w:rPr>
          <w:rFonts w:ascii="宋体" w:hAnsi="宋体" w:eastAsia="宋体"/>
          <w:sz w:val="22"/>
        </w:rPr>
        <w:t>在语料组织上，本文不以法规名称为唯一索引，而是为每个 chunk 标注或推断 source_id、title_zh、legal_level、jurisdiction、validity、article_no、text、norm_types 和 themes 等字段。这样做的目的在于使系统检索后仍能继续判断证据的适用性。例如，检索到地方规则时，系统需要判断该地方规则是否与问题地域一致；检索到标准时，系统需要说明其主要补充技术实现，而不能直接当作处罚依据；检索到未来施行规则时，系统需要将其作为前瞻提示，而不能替代当前有效规则。</w:t>
      </w:r>
    </w:p>
    <w:p>
      <w:pPr>
        <w:spacing w:after="60"/>
        <w:jc w:val="center"/>
      </w:pPr>
      <w:r>
        <w:rPr>
          <w:rFonts w:ascii="黑体" w:hAnsi="黑体" w:eastAsia="黑体"/>
          <w:b/>
          <w:sz w:val="20"/>
        </w:rPr>
        <w:t>表2  低空经济规范语料来源构成</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D9EAF7"/>
            <w:vAlign w:val="center"/>
          </w:tcPr>
          <w:p>
            <w:pPr>
              <w:spacing w:after="0" w:line="264" w:lineRule="auto"/>
            </w:pPr>
            <w:r/>
            <w:r>
              <w:rPr>
                <w:rFonts w:ascii="宋体" w:hAnsi="宋体" w:eastAsia="宋体"/>
                <w:b/>
                <w:sz w:val="16"/>
              </w:rPr>
              <w:t>来源类别</w:t>
            </w:r>
          </w:p>
        </w:tc>
        <w:tc>
          <w:tcPr>
            <w:tcW w:type="dxa" w:w="2351"/>
            <w:shd w:fill="D9EAF7"/>
            <w:vAlign w:val="center"/>
          </w:tcPr>
          <w:p>
            <w:pPr>
              <w:spacing w:after="0" w:line="264" w:lineRule="auto"/>
            </w:pPr>
            <w:r/>
            <w:r>
              <w:rPr>
                <w:rFonts w:ascii="宋体" w:hAnsi="宋体" w:eastAsia="宋体"/>
                <w:b/>
                <w:sz w:val="16"/>
              </w:rPr>
              <w:t>来源数</w:t>
            </w:r>
          </w:p>
        </w:tc>
        <w:tc>
          <w:tcPr>
            <w:tcW w:type="dxa" w:w="2351"/>
            <w:shd w:fill="D9EAF7"/>
            <w:vAlign w:val="center"/>
          </w:tcPr>
          <w:p>
            <w:pPr>
              <w:spacing w:after="0" w:line="264" w:lineRule="auto"/>
            </w:pPr>
            <w:r/>
            <w:r>
              <w:rPr>
                <w:rFonts w:ascii="宋体" w:hAnsi="宋体" w:eastAsia="宋体"/>
                <w:b/>
                <w:sz w:val="16"/>
              </w:rPr>
              <w:t>chunk 数</w:t>
            </w:r>
          </w:p>
        </w:tc>
        <w:tc>
          <w:tcPr>
            <w:tcW w:type="dxa" w:w="2351"/>
            <w:shd w:fill="D9EAF7"/>
            <w:vAlign w:val="center"/>
          </w:tcPr>
          <w:p>
            <w:pPr>
              <w:spacing w:after="0" w:line="264" w:lineRule="auto"/>
            </w:pPr>
            <w:r/>
            <w:r>
              <w:rPr>
                <w:rFonts w:ascii="宋体" w:hAnsi="宋体" w:eastAsia="宋体"/>
                <w:b/>
                <w:sz w:val="16"/>
              </w:rPr>
              <w:t>主要作用</w:t>
            </w:r>
          </w:p>
        </w:tc>
      </w:tr>
      <w:tr>
        <w:tc>
          <w:tcPr>
            <w:tcW w:type="dxa" w:w="2351"/>
            <w:vAlign w:val="center"/>
          </w:tcPr>
          <w:p>
            <w:pPr>
              <w:spacing w:after="0" w:line="264" w:lineRule="auto"/>
            </w:pPr>
            <w:r/>
            <w:r>
              <w:rPr>
                <w:rFonts w:ascii="宋体" w:hAnsi="宋体" w:eastAsia="宋体"/>
                <w:b w:val="0"/>
                <w:sz w:val="16"/>
              </w:rPr>
              <w:t>法律</w:t>
            </w:r>
          </w:p>
        </w:tc>
        <w:tc>
          <w:tcPr>
            <w:tcW w:type="dxa" w:w="2351"/>
            <w:vAlign w:val="center"/>
          </w:tcPr>
          <w:p>
            <w:pPr>
              <w:spacing w:after="0" w:line="264" w:lineRule="auto"/>
            </w:pPr>
            <w:r/>
            <w:r>
              <w:rPr>
                <w:rFonts w:ascii="宋体" w:hAnsi="宋体" w:eastAsia="宋体"/>
                <w:b w:val="0"/>
                <w:sz w:val="16"/>
              </w:rPr>
              <w:t>9</w:t>
            </w:r>
          </w:p>
        </w:tc>
        <w:tc>
          <w:tcPr>
            <w:tcW w:type="dxa" w:w="2351"/>
            <w:vAlign w:val="center"/>
          </w:tcPr>
          <w:p>
            <w:pPr>
              <w:spacing w:after="0" w:line="264" w:lineRule="auto"/>
            </w:pPr>
            <w:r/>
            <w:r>
              <w:rPr>
                <w:rFonts w:ascii="宋体" w:hAnsi="宋体" w:eastAsia="宋体"/>
                <w:b w:val="0"/>
                <w:sz w:val="16"/>
              </w:rPr>
              <w:t>1023</w:t>
            </w:r>
          </w:p>
        </w:tc>
        <w:tc>
          <w:tcPr>
            <w:tcW w:type="dxa" w:w="2351"/>
            <w:vAlign w:val="center"/>
          </w:tcPr>
          <w:p>
            <w:pPr>
              <w:spacing w:after="0" w:line="264" w:lineRule="auto"/>
            </w:pPr>
            <w:r/>
            <w:r>
              <w:rPr>
                <w:rFonts w:ascii="宋体" w:hAnsi="宋体" w:eastAsia="宋体"/>
                <w:b w:val="0"/>
                <w:sz w:val="16"/>
              </w:rPr>
              <w:t>民航活动、数据安全、个人信息保护、测绘、保密、公共安全等底线约束</w:t>
            </w:r>
          </w:p>
        </w:tc>
      </w:tr>
      <w:tr>
        <w:tc>
          <w:tcPr>
            <w:tcW w:type="dxa" w:w="2351"/>
            <w:vAlign w:val="center"/>
          </w:tcPr>
          <w:p>
            <w:pPr>
              <w:spacing w:after="0" w:line="264" w:lineRule="auto"/>
            </w:pPr>
            <w:r/>
            <w:r>
              <w:rPr>
                <w:rFonts w:ascii="宋体" w:hAnsi="宋体" w:eastAsia="宋体"/>
                <w:b w:val="0"/>
                <w:sz w:val="16"/>
              </w:rPr>
              <w:t>行政法规</w:t>
            </w:r>
          </w:p>
        </w:tc>
        <w:tc>
          <w:tcPr>
            <w:tcW w:type="dxa" w:w="2351"/>
            <w:vAlign w:val="center"/>
          </w:tcPr>
          <w:p>
            <w:pPr>
              <w:spacing w:after="0" w:line="264" w:lineRule="auto"/>
            </w:pPr>
            <w:r/>
            <w:r>
              <w:rPr>
                <w:rFonts w:ascii="宋体" w:hAnsi="宋体" w:eastAsia="宋体"/>
                <w:b w:val="0"/>
                <w:sz w:val="16"/>
              </w:rPr>
              <w:t>8</w:t>
            </w:r>
          </w:p>
        </w:tc>
        <w:tc>
          <w:tcPr>
            <w:tcW w:type="dxa" w:w="2351"/>
            <w:vAlign w:val="center"/>
          </w:tcPr>
          <w:p>
            <w:pPr>
              <w:spacing w:after="0" w:line="264" w:lineRule="auto"/>
            </w:pPr>
            <w:r/>
            <w:r>
              <w:rPr>
                <w:rFonts w:ascii="宋体" w:hAnsi="宋体" w:eastAsia="宋体"/>
                <w:b w:val="0"/>
                <w:sz w:val="16"/>
              </w:rPr>
              <w:t>509</w:t>
            </w:r>
          </w:p>
        </w:tc>
        <w:tc>
          <w:tcPr>
            <w:tcW w:type="dxa" w:w="2351"/>
            <w:vAlign w:val="center"/>
          </w:tcPr>
          <w:p>
            <w:pPr>
              <w:spacing w:after="0" w:line="264" w:lineRule="auto"/>
            </w:pPr>
            <w:r/>
            <w:r>
              <w:rPr>
                <w:rFonts w:ascii="宋体" w:hAnsi="宋体" w:eastAsia="宋体"/>
                <w:b w:val="0"/>
                <w:sz w:val="16"/>
              </w:rPr>
              <w:t>无人驾驶航空器飞行管理、通用航空管制、机场、适航、无线电等上位规则</w:t>
            </w:r>
          </w:p>
        </w:tc>
      </w:tr>
      <w:tr>
        <w:tc>
          <w:tcPr>
            <w:tcW w:type="dxa" w:w="2351"/>
            <w:vAlign w:val="center"/>
          </w:tcPr>
          <w:p>
            <w:pPr>
              <w:spacing w:after="0" w:line="264" w:lineRule="auto"/>
            </w:pPr>
            <w:r/>
            <w:r>
              <w:rPr>
                <w:rFonts w:ascii="宋体" w:hAnsi="宋体" w:eastAsia="宋体"/>
                <w:b w:val="0"/>
                <w:sz w:val="16"/>
              </w:rPr>
              <w:t>部门规章</w:t>
            </w:r>
          </w:p>
        </w:tc>
        <w:tc>
          <w:tcPr>
            <w:tcW w:type="dxa" w:w="2351"/>
            <w:vAlign w:val="center"/>
          </w:tcPr>
          <w:p>
            <w:pPr>
              <w:spacing w:after="0" w:line="264" w:lineRule="auto"/>
            </w:pPr>
            <w:r/>
            <w:r>
              <w:rPr>
                <w:rFonts w:ascii="宋体" w:hAnsi="宋体" w:eastAsia="宋体"/>
                <w:b w:val="0"/>
                <w:sz w:val="16"/>
              </w:rPr>
              <w:t>9</w:t>
            </w:r>
          </w:p>
        </w:tc>
        <w:tc>
          <w:tcPr>
            <w:tcW w:type="dxa" w:w="2351"/>
            <w:vAlign w:val="center"/>
          </w:tcPr>
          <w:p>
            <w:pPr>
              <w:spacing w:after="0" w:line="264" w:lineRule="auto"/>
            </w:pPr>
            <w:r/>
            <w:r>
              <w:rPr>
                <w:rFonts w:ascii="宋体" w:hAnsi="宋体" w:eastAsia="宋体"/>
                <w:b w:val="0"/>
                <w:sz w:val="16"/>
              </w:rPr>
              <w:t>1713</w:t>
            </w:r>
          </w:p>
        </w:tc>
        <w:tc>
          <w:tcPr>
            <w:tcW w:type="dxa" w:w="2351"/>
            <w:vAlign w:val="center"/>
          </w:tcPr>
          <w:p>
            <w:pPr>
              <w:spacing w:after="0" w:line="264" w:lineRule="auto"/>
            </w:pPr>
            <w:r/>
            <w:r>
              <w:rPr>
                <w:rFonts w:ascii="宋体" w:hAnsi="宋体" w:eastAsia="宋体"/>
                <w:b w:val="0"/>
                <w:sz w:val="16"/>
              </w:rPr>
              <w:t>运行安全、空中交通管理、适航审定、许可和通用航空运行细化规则</w:t>
            </w:r>
          </w:p>
        </w:tc>
      </w:tr>
      <w:tr>
        <w:tc>
          <w:tcPr>
            <w:tcW w:type="dxa" w:w="2351"/>
            <w:vAlign w:val="center"/>
          </w:tcPr>
          <w:p>
            <w:pPr>
              <w:spacing w:after="0" w:line="264" w:lineRule="auto"/>
            </w:pPr>
            <w:r/>
            <w:r>
              <w:rPr>
                <w:rFonts w:ascii="宋体" w:hAnsi="宋体" w:eastAsia="宋体"/>
                <w:b w:val="0"/>
                <w:sz w:val="16"/>
              </w:rPr>
              <w:t>部门规范性文件及公告</w:t>
            </w:r>
          </w:p>
        </w:tc>
        <w:tc>
          <w:tcPr>
            <w:tcW w:type="dxa" w:w="2351"/>
            <w:vAlign w:val="center"/>
          </w:tcPr>
          <w:p>
            <w:pPr>
              <w:spacing w:after="0" w:line="264" w:lineRule="auto"/>
            </w:pPr>
            <w:r/>
            <w:r>
              <w:rPr>
                <w:rFonts w:ascii="宋体" w:hAnsi="宋体" w:eastAsia="宋体"/>
                <w:b w:val="0"/>
                <w:sz w:val="16"/>
              </w:rPr>
              <w:t>18</w:t>
            </w:r>
          </w:p>
        </w:tc>
        <w:tc>
          <w:tcPr>
            <w:tcW w:type="dxa" w:w="2351"/>
            <w:vAlign w:val="center"/>
          </w:tcPr>
          <w:p>
            <w:pPr>
              <w:spacing w:after="0" w:line="264" w:lineRule="auto"/>
            </w:pPr>
            <w:r/>
            <w:r>
              <w:rPr>
                <w:rFonts w:ascii="宋体" w:hAnsi="宋体" w:eastAsia="宋体"/>
                <w:b w:val="0"/>
                <w:sz w:val="16"/>
              </w:rPr>
              <w:t>619</w:t>
            </w:r>
          </w:p>
        </w:tc>
        <w:tc>
          <w:tcPr>
            <w:tcW w:type="dxa" w:w="2351"/>
            <w:vAlign w:val="center"/>
          </w:tcPr>
          <w:p>
            <w:pPr>
              <w:spacing w:after="0" w:line="264" w:lineRule="auto"/>
            </w:pPr>
            <w:r/>
            <w:r>
              <w:rPr>
                <w:rFonts w:ascii="宋体" w:hAnsi="宋体" w:eastAsia="宋体"/>
                <w:b w:val="0"/>
                <w:sz w:val="16"/>
              </w:rPr>
              <w:t>实名登记、远程识别、适航程序、监管服务和运行试点等执行规则</w:t>
            </w:r>
          </w:p>
        </w:tc>
      </w:tr>
      <w:tr>
        <w:tc>
          <w:tcPr>
            <w:tcW w:type="dxa" w:w="2351"/>
            <w:vAlign w:val="center"/>
          </w:tcPr>
          <w:p>
            <w:pPr>
              <w:spacing w:after="0" w:line="264" w:lineRule="auto"/>
            </w:pPr>
            <w:r/>
            <w:r>
              <w:rPr>
                <w:rFonts w:ascii="宋体" w:hAnsi="宋体" w:eastAsia="宋体"/>
                <w:b w:val="0"/>
                <w:sz w:val="16"/>
              </w:rPr>
              <w:t>强制性国家标准</w:t>
            </w:r>
          </w:p>
        </w:tc>
        <w:tc>
          <w:tcPr>
            <w:tcW w:type="dxa" w:w="2351"/>
            <w:vAlign w:val="center"/>
          </w:tcPr>
          <w:p>
            <w:pPr>
              <w:spacing w:after="0" w:line="264" w:lineRule="auto"/>
            </w:pPr>
            <w:r/>
            <w:r>
              <w:rPr>
                <w:rFonts w:ascii="宋体" w:hAnsi="宋体" w:eastAsia="宋体"/>
                <w:b w:val="0"/>
                <w:sz w:val="16"/>
              </w:rPr>
              <w:t>2</w:t>
            </w:r>
          </w:p>
        </w:tc>
        <w:tc>
          <w:tcPr>
            <w:tcW w:type="dxa" w:w="2351"/>
            <w:vAlign w:val="center"/>
          </w:tcPr>
          <w:p>
            <w:pPr>
              <w:spacing w:after="0" w:line="264" w:lineRule="auto"/>
            </w:pPr>
            <w:r/>
            <w:r>
              <w:rPr>
                <w:rFonts w:ascii="宋体" w:hAnsi="宋体" w:eastAsia="宋体"/>
                <w:b w:val="0"/>
                <w:sz w:val="16"/>
              </w:rPr>
              <w:t>45</w:t>
            </w:r>
          </w:p>
        </w:tc>
        <w:tc>
          <w:tcPr>
            <w:tcW w:type="dxa" w:w="2351"/>
            <w:vAlign w:val="center"/>
          </w:tcPr>
          <w:p>
            <w:pPr>
              <w:spacing w:after="0" w:line="264" w:lineRule="auto"/>
            </w:pPr>
            <w:r/>
            <w:r>
              <w:rPr>
                <w:rFonts w:ascii="宋体" w:hAnsi="宋体" w:eastAsia="宋体"/>
                <w:b w:val="0"/>
                <w:sz w:val="16"/>
              </w:rPr>
              <w:t>运行识别、实名制激活等技术和合规底线</w:t>
            </w:r>
          </w:p>
        </w:tc>
      </w:tr>
      <w:tr>
        <w:tc>
          <w:tcPr>
            <w:tcW w:type="dxa" w:w="2351"/>
            <w:vAlign w:val="center"/>
          </w:tcPr>
          <w:p>
            <w:pPr>
              <w:spacing w:after="0" w:line="264" w:lineRule="auto"/>
            </w:pPr>
            <w:r/>
            <w:r>
              <w:rPr>
                <w:rFonts w:ascii="宋体" w:hAnsi="宋体" w:eastAsia="宋体"/>
                <w:b w:val="0"/>
                <w:sz w:val="16"/>
              </w:rPr>
              <w:t>民航行业标准</w:t>
            </w:r>
          </w:p>
        </w:tc>
        <w:tc>
          <w:tcPr>
            <w:tcW w:type="dxa" w:w="2351"/>
            <w:vAlign w:val="center"/>
          </w:tcPr>
          <w:p>
            <w:pPr>
              <w:spacing w:after="0" w:line="264" w:lineRule="auto"/>
            </w:pPr>
            <w:r/>
            <w:r>
              <w:rPr>
                <w:rFonts w:ascii="宋体" w:hAnsi="宋体" w:eastAsia="宋体"/>
                <w:b w:val="0"/>
                <w:sz w:val="16"/>
              </w:rPr>
              <w:t>12</w:t>
            </w:r>
          </w:p>
        </w:tc>
        <w:tc>
          <w:tcPr>
            <w:tcW w:type="dxa" w:w="2351"/>
            <w:vAlign w:val="center"/>
          </w:tcPr>
          <w:p>
            <w:pPr>
              <w:spacing w:after="0" w:line="264" w:lineRule="auto"/>
            </w:pPr>
            <w:r/>
            <w:r>
              <w:rPr>
                <w:rFonts w:ascii="宋体" w:hAnsi="宋体" w:eastAsia="宋体"/>
                <w:b w:val="0"/>
                <w:sz w:val="16"/>
              </w:rPr>
              <w:t>308</w:t>
            </w:r>
          </w:p>
        </w:tc>
        <w:tc>
          <w:tcPr>
            <w:tcW w:type="dxa" w:w="2351"/>
            <w:vAlign w:val="center"/>
          </w:tcPr>
          <w:p>
            <w:pPr>
              <w:spacing w:after="0" w:line="264" w:lineRule="auto"/>
            </w:pPr>
            <w:r/>
            <w:r>
              <w:rPr>
                <w:rFonts w:ascii="宋体" w:hAnsi="宋体" w:eastAsia="宋体"/>
                <w:b w:val="0"/>
                <w:sz w:val="16"/>
              </w:rPr>
              <w:t>飞行服务系统、数据接口、物流航线、数据存证、空域信息数字化等技术依据</w:t>
            </w:r>
          </w:p>
        </w:tc>
      </w:tr>
      <w:tr>
        <w:tc>
          <w:tcPr>
            <w:tcW w:type="dxa" w:w="2351"/>
            <w:vAlign w:val="center"/>
          </w:tcPr>
          <w:p>
            <w:pPr>
              <w:spacing w:after="0" w:line="264" w:lineRule="auto"/>
            </w:pPr>
            <w:r/>
            <w:r>
              <w:rPr>
                <w:rFonts w:ascii="宋体" w:hAnsi="宋体" w:eastAsia="宋体"/>
                <w:b w:val="0"/>
                <w:sz w:val="16"/>
              </w:rPr>
              <w:t>政策文件</w:t>
            </w:r>
          </w:p>
        </w:tc>
        <w:tc>
          <w:tcPr>
            <w:tcW w:type="dxa" w:w="2351"/>
            <w:vAlign w:val="center"/>
          </w:tcPr>
          <w:p>
            <w:pPr>
              <w:spacing w:after="0" w:line="264" w:lineRule="auto"/>
            </w:pPr>
            <w:r/>
            <w:r>
              <w:rPr>
                <w:rFonts w:ascii="宋体" w:hAnsi="宋体" w:eastAsia="宋体"/>
                <w:b w:val="0"/>
                <w:sz w:val="16"/>
              </w:rPr>
              <w:t>5</w:t>
            </w:r>
          </w:p>
        </w:tc>
        <w:tc>
          <w:tcPr>
            <w:tcW w:type="dxa" w:w="2351"/>
            <w:vAlign w:val="center"/>
          </w:tcPr>
          <w:p>
            <w:pPr>
              <w:spacing w:after="0" w:line="264" w:lineRule="auto"/>
            </w:pPr>
            <w:r/>
            <w:r>
              <w:rPr>
                <w:rFonts w:ascii="宋体" w:hAnsi="宋体" w:eastAsia="宋体"/>
                <w:b w:val="0"/>
                <w:sz w:val="16"/>
              </w:rPr>
              <w:t>100</w:t>
            </w:r>
          </w:p>
        </w:tc>
        <w:tc>
          <w:tcPr>
            <w:tcW w:type="dxa" w:w="2351"/>
            <w:vAlign w:val="center"/>
          </w:tcPr>
          <w:p>
            <w:pPr>
              <w:spacing w:after="0" w:line="264" w:lineRule="auto"/>
            </w:pPr>
            <w:r/>
            <w:r>
              <w:rPr>
                <w:rFonts w:ascii="宋体" w:hAnsi="宋体" w:eastAsia="宋体"/>
                <w:b w:val="0"/>
                <w:sz w:val="16"/>
              </w:rPr>
              <w:t>产业发展、装备创新、标准体系、保险机制等背景性依据</w:t>
            </w:r>
          </w:p>
        </w:tc>
      </w:tr>
      <w:tr>
        <w:tc>
          <w:tcPr>
            <w:tcW w:type="dxa" w:w="2351"/>
            <w:vAlign w:val="center"/>
          </w:tcPr>
          <w:p>
            <w:pPr>
              <w:spacing w:after="0" w:line="264" w:lineRule="auto"/>
            </w:pPr>
            <w:r/>
            <w:r>
              <w:rPr>
                <w:rFonts w:ascii="宋体" w:hAnsi="宋体" w:eastAsia="宋体"/>
                <w:b w:val="0"/>
                <w:sz w:val="16"/>
              </w:rPr>
              <w:t>地方规则</w:t>
            </w:r>
          </w:p>
        </w:tc>
        <w:tc>
          <w:tcPr>
            <w:tcW w:type="dxa" w:w="2351"/>
            <w:vAlign w:val="center"/>
          </w:tcPr>
          <w:p>
            <w:pPr>
              <w:spacing w:after="0" w:line="264" w:lineRule="auto"/>
            </w:pPr>
            <w:r/>
            <w:r>
              <w:rPr>
                <w:rFonts w:ascii="宋体" w:hAnsi="宋体" w:eastAsia="宋体"/>
                <w:b w:val="0"/>
                <w:sz w:val="16"/>
              </w:rPr>
              <w:t>25</w:t>
            </w:r>
          </w:p>
        </w:tc>
        <w:tc>
          <w:tcPr>
            <w:tcW w:type="dxa" w:w="2351"/>
            <w:vAlign w:val="center"/>
          </w:tcPr>
          <w:p>
            <w:pPr>
              <w:spacing w:after="0" w:line="264" w:lineRule="auto"/>
            </w:pPr>
            <w:r/>
            <w:r>
              <w:rPr>
                <w:rFonts w:ascii="宋体" w:hAnsi="宋体" w:eastAsia="宋体"/>
                <w:b w:val="0"/>
                <w:sz w:val="16"/>
              </w:rPr>
              <w:t>856</w:t>
            </w:r>
          </w:p>
        </w:tc>
        <w:tc>
          <w:tcPr>
            <w:tcW w:type="dxa" w:w="2351"/>
            <w:vAlign w:val="center"/>
          </w:tcPr>
          <w:p>
            <w:pPr>
              <w:spacing w:after="0" w:line="264" w:lineRule="auto"/>
            </w:pPr>
            <w:r/>
            <w:r>
              <w:rPr>
                <w:rFonts w:ascii="宋体" w:hAnsi="宋体" w:eastAsia="宋体"/>
                <w:b w:val="0"/>
                <w:sz w:val="16"/>
              </w:rPr>
              <w:t>地方性法规、地方政府规章和地方行政规范性文件，补充属地执行要求</w:t>
            </w:r>
          </w:p>
        </w:tc>
      </w:tr>
    </w:tbl>
    <w:p>
      <w:pPr>
        <w:spacing w:after="0"/>
      </w:pPr>
    </w:p>
    <w:p>
      <w:pPr>
        <w:pStyle w:val="Heading2"/>
      </w:pPr>
      <w:r>
        <w:rPr>
          <w:rFonts w:ascii="黑体" w:hAnsi="黑体" w:eastAsia="黑体"/>
          <w:b/>
          <w:sz w:val="24"/>
        </w:rPr>
        <w:t>4.2 分类维度：层级、地域、时间、主题与规范类型</w:t>
      </w:r>
    </w:p>
    <w:p>
      <w:pPr>
        <w:spacing w:line="324" w:lineRule="auto" w:after="80"/>
        <w:ind w:firstLine="440"/>
      </w:pPr>
      <w:r>
        <w:rPr>
          <w:rFonts w:ascii="宋体" w:hAnsi="宋体" w:eastAsia="宋体"/>
          <w:sz w:val="22"/>
        </w:rPr>
        <w:t>本文对低空经济规范材料进行多维分类。第一，按法源层级区分法律、行政法规、部门规章、地方性法规、地方政府规章、规范性文件、强制性标准、行业标准和政策文件。第二，按地域区分全国规则和地方规则。第三，按施行时间区分当前有效规则、未来施行规则和需核验规则。第四，按业务主题区分登记、空域、运行、适航、地方服务、数据安全、测绘地理信息、标准、政策和责任场景。第五，按规范类型区分授权、义务、禁止、责任、例外和一般规则。</w:t>
      </w:r>
    </w:p>
    <w:p>
      <w:pPr>
        <w:spacing w:line="324" w:lineRule="auto" w:after="80"/>
        <w:ind w:firstLine="440"/>
      </w:pPr>
      <w:r>
        <w:rPr>
          <w:rFonts w:ascii="宋体" w:hAnsi="宋体" w:eastAsia="宋体"/>
          <w:sz w:val="22"/>
        </w:rPr>
        <w:t>上述分类服务于两个目标：一是提升检索阶段的证据覆盖，使系统不会只返回语义相似度最高的少数条文；二是提升生成阶段的法律适用能力，使系统能够解释为什么某一规则是底线规则、技术规则、属地规则、前瞻规则或责任规则。换言之，数据集不是被动知识库，而是方法的一部分。</w:t>
      </w:r>
    </w:p>
    <w:p>
      <w:pPr>
        <w:pStyle w:val="Heading2"/>
      </w:pPr>
      <w:r>
        <w:rPr>
          <w:rFonts w:ascii="黑体" w:hAnsi="黑体" w:eastAsia="黑体"/>
          <w:b/>
          <w:sz w:val="24"/>
        </w:rPr>
        <w:t>4.3 LowAltBench XL 与标准化问答任务</w:t>
      </w:r>
    </w:p>
    <w:p>
      <w:pPr>
        <w:spacing w:line="324" w:lineRule="auto" w:after="80"/>
        <w:ind w:firstLine="440"/>
      </w:pPr>
      <w:r>
        <w:rPr>
          <w:rFonts w:ascii="宋体" w:hAnsi="宋体" w:eastAsia="宋体"/>
          <w:sz w:val="22"/>
        </w:rPr>
        <w:t>为评估系统在不同低空经济场景中的泛化能力，本文构建 LowAltBench XL 任务集。任务类型覆盖农业县域服务、应急公共服务、基础设施巡检数据、低空飞行服务平台、适航制造、实时飞行拒答、规则冲突解析、文旅航拍和城市物流工作流等。每个任务包含 question、scenario_slots、must_cover_facets、gold_source_ids、gold_article_ids、expected_workflow_steps 和 abstain_expected 等字段。</w:t>
      </w:r>
    </w:p>
    <w:p>
      <w:pPr>
        <w:spacing w:line="324" w:lineRule="auto" w:after="80"/>
        <w:ind w:firstLine="440"/>
      </w:pPr>
      <w:r>
        <w:rPr>
          <w:rFonts w:ascii="宋体" w:hAnsi="宋体" w:eastAsia="宋体"/>
          <w:sz w:val="22"/>
        </w:rPr>
        <w:t>标准化问答方式是本文的第三个应用贡献。本文要求系统答案尽量按照“场景识别—结论摘要—法律规范结构审查—分步骤合规工作流—法律三段论涵摄—关键证据—规则冲突与边界—人工核验事项—免责声明”的结构输出。该格式既便于用户理解，也便于实验评价，因为它把答案质量拆解为证据召回、法律维度覆盖、引用可靠性、工作流完整性和拒答边界等可度量指标。</w:t>
      </w:r>
    </w:p>
    <w:p>
      <w:pPr>
        <w:pStyle w:val="Heading1"/>
      </w:pPr>
      <w:r>
        <w:rPr>
          <w:rFonts w:ascii="黑体" w:hAnsi="黑体" w:eastAsia="黑体"/>
          <w:b/>
          <w:sz w:val="28"/>
        </w:rPr>
        <w:t>5 NormCase-TARRAG 方法设计</w:t>
      </w:r>
    </w:p>
    <w:p>
      <w:pPr>
        <w:pStyle w:val="Heading2"/>
      </w:pPr>
      <w:r>
        <w:rPr>
          <w:rFonts w:ascii="黑体" w:hAnsi="黑体" w:eastAsia="黑体"/>
          <w:b/>
          <w:sz w:val="24"/>
        </w:rPr>
        <w:t>5.1 场景—规范槽位追踪</w:t>
      </w:r>
    </w:p>
    <w:p>
      <w:pPr>
        <w:spacing w:line="324" w:lineRule="auto" w:after="80"/>
        <w:ind w:firstLine="440"/>
      </w:pPr>
      <w:r>
        <w:rPr>
          <w:rFonts w:ascii="宋体" w:hAnsi="宋体" w:eastAsia="宋体"/>
          <w:sz w:val="22"/>
        </w:rPr>
        <w:t>Trace 阶段负责把自然语言问题转化为结构化检索意图。系统首先抽取地点、主体、航空器类型、运行场景、数据活动、时间信息和潜在风险等事实槽位，再根据关键词和场景规则识别法律 facet。通用 facet 包括登记、空域、运行、适航、数据安全、地方规则、标准、政策、未来规则、授权、义务、禁止、责任、例外和法律推理；案例任务进一步触发公共安全、网络犯罪、保密、行政处罚、民事侵权、农业喷洒、责任分配、产品责任和保险责任等案例 facet。</w:t>
      </w:r>
    </w:p>
    <w:p>
      <w:pPr>
        <w:spacing w:line="324" w:lineRule="auto" w:after="80"/>
        <w:ind w:firstLine="440"/>
      </w:pPr>
      <w:r>
        <w:rPr>
          <w:rFonts w:ascii="宋体" w:hAnsi="宋体" w:eastAsia="宋体"/>
          <w:sz w:val="22"/>
        </w:rPr>
        <w:t>本文强调“场景约束下的识别”。例如，题干出现“破解、限高、电子围栏”等词语时，不当然触发网络犯罪责任；只有当题干同时包含“为他人提供程序、工具或服务”等事实时，才优先进入网络犯罪路径。如果题干体现的是操作者自行突破限高后在机场、航道或管制空域飞行，则主问题应优先归入公共安全或空域违法。这种约束可以减少模型将所有高风险行为都泛化为同一种责任的错误。</w:t>
      </w:r>
    </w:p>
    <w:p>
      <w:pPr>
        <w:pStyle w:val="Heading2"/>
      </w:pPr>
      <w:r>
        <w:rPr>
          <w:rFonts w:ascii="黑体" w:hAnsi="黑体" w:eastAsia="黑体"/>
          <w:b/>
          <w:sz w:val="24"/>
        </w:rPr>
        <w:t>5.2 规范—责任证据路由</w:t>
      </w:r>
    </w:p>
    <w:p>
      <w:pPr>
        <w:spacing w:line="324" w:lineRule="auto" w:after="80"/>
        <w:ind w:firstLine="440"/>
      </w:pPr>
      <w:r>
        <w:rPr>
          <w:rFonts w:ascii="宋体" w:hAnsi="宋体" w:eastAsia="宋体"/>
          <w:sz w:val="22"/>
        </w:rPr>
        <w:t>Retrieve 阶段不只使用原始问题作为查询，而是为每个 facet 生成子查询，并在完整法规语料和案例责任规则补充语料中执行多查询检索。对空域问题，系统生成与飞行计划、空域申请、管制和临时限制相关的查询；对数据合规问题，系统生成与个人信息、数据安全、测绘、保密和地理信息相关的查询；对民事侵权问题，系统生成与过错、因果关系、赔偿、请求方向和保险责任相关的查询。</w:t>
      </w:r>
    </w:p>
    <w:p>
      <w:pPr>
        <w:spacing w:line="324" w:lineRule="auto" w:after="80"/>
        <w:ind w:firstLine="440"/>
      </w:pPr>
      <w:r>
        <w:rPr>
          <w:rFonts w:ascii="宋体" w:hAnsi="宋体" w:eastAsia="宋体"/>
          <w:sz w:val="22"/>
        </w:rPr>
        <w:t>在基础 BM25 或相似度检索结果之上，系统叠加规范类型加权、语义 facet 加权和效力状态加权。案例任务中进一步加入 NormCase Evidence Router，对关键责任来源进行定向召回。公共安全类案件优先召回刑法公共安全条款、无人驾驶航空器飞行管理规则和空域管理依据；民事侵权类案件优先召回侵权责任、运行安全和因果关系规则；保险类案件优先召回第三者责任险和保险赔付顺序规则。该模块的作用是解决“运行安全证据很多、责任分配证据不足”的常见问题。</w:t>
      </w:r>
    </w:p>
    <w:p>
      <w:pPr>
        <w:pStyle w:val="Heading2"/>
      </w:pPr>
      <w:r>
        <w:rPr>
          <w:rFonts w:ascii="黑体" w:hAnsi="黑体" w:eastAsia="黑体"/>
          <w:b/>
          <w:sz w:val="24"/>
        </w:rPr>
        <w:t>5.3 法源证据矩阵</w:t>
      </w:r>
    </w:p>
    <w:p>
      <w:pPr>
        <w:spacing w:line="324" w:lineRule="auto" w:after="80"/>
        <w:ind w:firstLine="440"/>
      </w:pPr>
      <w:r>
        <w:rPr>
          <w:rFonts w:ascii="宋体" w:hAnsi="宋体" w:eastAsia="宋体"/>
          <w:sz w:val="22"/>
        </w:rPr>
        <w:t>检索得到的候选证据并不能直接交给生成模型。法律推理要求判断每条证据的法源层级、适用地域、效力状态、来源类型、规范功能和约束角色。因此，Align 阶段将候选证据重组为 Legal Evidence Matrix。矩阵按照 facet、legal_level、jurisdiction、validity、source_type、role 和 norm_types 进行分组，使证据从无序文本列表转化为可适用的法律材料结构。</w:t>
      </w:r>
    </w:p>
    <w:p>
      <w:pPr>
        <w:spacing w:line="324" w:lineRule="auto" w:after="80"/>
        <w:ind w:firstLine="440"/>
      </w:pPr>
      <w:r>
        <w:rPr>
          <w:rFonts w:ascii="宋体" w:hAnsi="宋体" w:eastAsia="宋体"/>
          <w:sz w:val="22"/>
        </w:rPr>
        <w:t>证据矩阵可以降低三类风险。第一，降低地方规则被遗漏或误用的风险，因为地域字段可以把全国规则和地方规则区分开来。第二，降低标准被当作法律责任依据的风险，因为 source_type 和 legal_level 可以提示标准主要补充技术实现。第三，降低未来施行规则被误用的风险，因为 validity 字段可以提示当前判断应优先采用现行有效规则。</w:t>
      </w:r>
    </w:p>
    <w:p>
      <w:pPr>
        <w:pStyle w:val="Heading2"/>
      </w:pPr>
      <w:r>
        <w:rPr>
          <w:rFonts w:ascii="黑体" w:hAnsi="黑体" w:eastAsia="黑体"/>
          <w:b/>
          <w:sz w:val="24"/>
        </w:rPr>
        <w:t>5.4 规则边界消解</w:t>
      </w:r>
    </w:p>
    <w:p>
      <w:pPr>
        <w:spacing w:line="324" w:lineRule="auto" w:after="80"/>
        <w:ind w:firstLine="440"/>
      </w:pPr>
      <w:r>
        <w:rPr>
          <w:rFonts w:ascii="宋体" w:hAnsi="宋体" w:eastAsia="宋体"/>
          <w:sz w:val="22"/>
        </w:rPr>
        <w:t>Resolve 阶段负责处理规则冲突、时效边界、例外结构和责任边界。一般合规问题中，系统先判断是否存在同地域、同主体、同事项、同期间的真实冲突；如果只是国家规则和地方规则的互补关系，则不把地方规则理解为替代国家底线；如果构成真实冲突，再适用上位法优于下位法、特别规定优于一般规定、新规定优于旧规定等规则。</w:t>
      </w:r>
    </w:p>
    <w:p>
      <w:pPr>
        <w:spacing w:line="324" w:lineRule="auto" w:after="80"/>
        <w:ind w:firstLine="440"/>
      </w:pPr>
      <w:r>
        <w:rPr>
          <w:rFonts w:ascii="宋体" w:hAnsi="宋体" w:eastAsia="宋体"/>
          <w:sz w:val="22"/>
        </w:rPr>
        <w:t>案例责任预测中，Resolve 阶段进一步承担规则边界消解功能。本文设置五类高频边界：一是自行破解并黑飞不当然等于提供破解工具犯罪，应区分操作者个人行为与工具服务提供行为；二是事故发生不当然等于产品责任成立，需要证明产品缺陷、警示不足和因果关系；三是无人机与车辆碰撞等案件必须区分请求方向，无人机一方违法后向无过错车主索赔通常难以支持；四是农业植保和承揽场景应区分定作人、承揽人和实际操作者责任；五是保险案件应先判断侵权责任是否成立，再判断保险公司是否在责任险限额内赔付。</w:t>
      </w:r>
    </w:p>
    <w:p>
      <w:pPr>
        <w:pStyle w:val="Heading2"/>
      </w:pPr>
      <w:r>
        <w:rPr>
          <w:rFonts w:ascii="黑体" w:hAnsi="黑体" w:eastAsia="黑体"/>
          <w:b/>
          <w:sz w:val="24"/>
        </w:rPr>
        <w:t>5.5 引用约束生成</w:t>
      </w:r>
    </w:p>
    <w:p>
      <w:pPr>
        <w:spacing w:line="324" w:lineRule="auto" w:after="80"/>
        <w:ind w:firstLine="440"/>
      </w:pPr>
      <w:r>
        <w:rPr>
          <w:rFonts w:ascii="宋体" w:hAnsi="宋体" w:eastAsia="宋体"/>
          <w:sz w:val="22"/>
        </w:rPr>
        <w:t>Generate 阶段以问题、Trace 结果、证据矩阵、Resolve 规则和检索证据为输入，生成最终答案。本文要求模型严格基于证据回答，不能编造未检索到的规则、平台入口、临时禁飞信息、处罚金额或赔偿数额。一般合规问题采用固定结构输出；案例责任预测问题则进一步要求说明案件类型、责任主体、责任方向、法律效果和责任边界。</w:t>
      </w:r>
    </w:p>
    <w:p>
      <w:pPr>
        <w:spacing w:line="324" w:lineRule="auto" w:after="80"/>
        <w:ind w:firstLine="440"/>
      </w:pPr>
      <w:r>
        <w:rPr>
          <w:rFonts w:ascii="宋体" w:hAnsi="宋体" w:eastAsia="宋体"/>
          <w:sz w:val="22"/>
        </w:rPr>
        <w:t>引用约束是本文方法的重要质量控制。每个关键结论应当能够回到检索证据中的 article_id。若证据不足以支持精确金额、比例或审批结果，系统应输出方向性结论或提示人工核验，而不能给出看似精确但缺乏依据的结论。这种设计使答案具有可复核性，也方便后续人工标注错误类型。</w:t>
      </w:r>
    </w:p>
    <w:p>
      <w:pPr>
        <w:pStyle w:val="Heading1"/>
      </w:pPr>
      <w:r>
        <w:rPr>
          <w:rFonts w:ascii="黑体" w:hAnsi="黑体" w:eastAsia="黑体"/>
          <w:b/>
          <w:sz w:val="28"/>
        </w:rPr>
        <w:t>6 低空经济行业标准问答方式</w:t>
      </w:r>
    </w:p>
    <w:p>
      <w:pPr>
        <w:pStyle w:val="Heading2"/>
      </w:pPr>
      <w:r>
        <w:rPr>
          <w:rFonts w:ascii="黑体" w:hAnsi="黑体" w:eastAsia="黑体"/>
          <w:b/>
          <w:sz w:val="24"/>
        </w:rPr>
        <w:t>6.1 问题标准化</w:t>
      </w:r>
    </w:p>
    <w:p>
      <w:pPr>
        <w:spacing w:line="324" w:lineRule="auto" w:after="80"/>
        <w:ind w:firstLine="440"/>
      </w:pPr>
      <w:r>
        <w:rPr>
          <w:rFonts w:ascii="宋体" w:hAnsi="宋体" w:eastAsia="宋体"/>
          <w:sz w:val="22"/>
        </w:rPr>
        <w:t>低空经济行业问题通常呈现场景化、流程化和风险导向特征。本文将问题标准化为“事实槽位 + 法律 facet + 输出目标”的形式。事实槽位包括地点、主体、航空器、业务活动、数据活动、时间和风险事件；法律 facet 包括登记、空域、运行、适航、地方规则、标准、政策、数据安全、责任、例外和人工核验；输出目标则区分合规准备、单点法规解释、规则冲突解析、实时问题拒答和案例责任预测。</w:t>
      </w:r>
    </w:p>
    <w:p>
      <w:pPr>
        <w:spacing w:line="324" w:lineRule="auto" w:after="80"/>
        <w:ind w:firstLine="440"/>
      </w:pPr>
      <w:r>
        <w:rPr>
          <w:rFonts w:ascii="宋体" w:hAnsi="宋体" w:eastAsia="宋体"/>
          <w:sz w:val="22"/>
        </w:rPr>
        <w:t>标准化问题能够减少用户自然语言表达差异对检索的影响。例如，“我想在北京用无人机拍摄城市巡检视频，要注意什么”可以转化为地点=北京、主体=企业或运营人、业务活动=城市巡检、数据活动=视频采集、法律 facet=运行安全、地方规则、个人信息、数据安全、测绘地理信息和实时空域核验。系统据此检索多类规则，而不是只围绕“视频”或“巡检”进行单点搜索。</w:t>
      </w:r>
    </w:p>
    <w:p>
      <w:pPr>
        <w:pStyle w:val="Heading2"/>
      </w:pPr>
      <w:r>
        <w:rPr>
          <w:rFonts w:ascii="黑体" w:hAnsi="黑体" w:eastAsia="黑体"/>
          <w:b/>
          <w:sz w:val="24"/>
        </w:rPr>
        <w:t>6.2 答案格式标准化</w:t>
      </w:r>
    </w:p>
    <w:p>
      <w:pPr>
        <w:spacing w:after="60"/>
        <w:jc w:val="center"/>
      </w:pPr>
      <w:r>
        <w:rPr>
          <w:rFonts w:ascii="黑体" w:hAnsi="黑体" w:eastAsia="黑体"/>
          <w:b/>
          <w:sz w:val="20"/>
        </w:rPr>
        <w:t>表3  低空经济行业问答标准格式</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shd w:fill="D9EAF7"/>
            <w:vAlign w:val="center"/>
          </w:tcPr>
          <w:p>
            <w:pPr>
              <w:spacing w:after="0" w:line="264" w:lineRule="auto"/>
            </w:pPr>
            <w:r/>
            <w:r>
              <w:rPr>
                <w:rFonts w:ascii="宋体" w:hAnsi="宋体" w:eastAsia="宋体"/>
                <w:b/>
                <w:sz w:val="17"/>
              </w:rPr>
              <w:t>答案模块</w:t>
            </w:r>
          </w:p>
        </w:tc>
        <w:tc>
          <w:tcPr>
            <w:tcW w:type="dxa" w:w="4703"/>
            <w:shd w:fill="D9EAF7"/>
            <w:vAlign w:val="center"/>
          </w:tcPr>
          <w:p>
            <w:pPr>
              <w:spacing w:after="0" w:line="264" w:lineRule="auto"/>
            </w:pPr>
            <w:r/>
            <w:r>
              <w:rPr>
                <w:rFonts w:ascii="宋体" w:hAnsi="宋体" w:eastAsia="宋体"/>
                <w:b/>
                <w:sz w:val="17"/>
              </w:rPr>
              <w:t>功能</w:t>
            </w:r>
          </w:p>
        </w:tc>
      </w:tr>
      <w:tr>
        <w:tc>
          <w:tcPr>
            <w:tcW w:type="dxa" w:w="4703"/>
            <w:vAlign w:val="center"/>
          </w:tcPr>
          <w:p>
            <w:pPr>
              <w:spacing w:after="0" w:line="264" w:lineRule="auto"/>
            </w:pPr>
            <w:r/>
            <w:r>
              <w:rPr>
                <w:rFonts w:ascii="宋体" w:hAnsi="宋体" w:eastAsia="宋体"/>
                <w:b w:val="0"/>
                <w:sz w:val="17"/>
              </w:rPr>
              <w:t>场景识别</w:t>
            </w:r>
          </w:p>
        </w:tc>
        <w:tc>
          <w:tcPr>
            <w:tcW w:type="dxa" w:w="4703"/>
            <w:vAlign w:val="center"/>
          </w:tcPr>
          <w:p>
            <w:pPr>
              <w:spacing w:after="0" w:line="264" w:lineRule="auto"/>
            </w:pPr>
            <w:r/>
            <w:r>
              <w:rPr>
                <w:rFonts w:ascii="宋体" w:hAnsi="宋体" w:eastAsia="宋体"/>
                <w:b w:val="0"/>
                <w:sz w:val="17"/>
              </w:rPr>
              <w:t>说明地点、主体、航空器、业务活动、数据活动和是否涉及实时核验</w:t>
            </w:r>
          </w:p>
        </w:tc>
      </w:tr>
      <w:tr>
        <w:tc>
          <w:tcPr>
            <w:tcW w:type="dxa" w:w="4703"/>
            <w:vAlign w:val="center"/>
          </w:tcPr>
          <w:p>
            <w:pPr>
              <w:spacing w:after="0" w:line="264" w:lineRule="auto"/>
            </w:pPr>
            <w:r/>
            <w:r>
              <w:rPr>
                <w:rFonts w:ascii="宋体" w:hAnsi="宋体" w:eastAsia="宋体"/>
                <w:b w:val="0"/>
                <w:sz w:val="17"/>
              </w:rPr>
              <w:t>结论摘要</w:t>
            </w:r>
          </w:p>
        </w:tc>
        <w:tc>
          <w:tcPr>
            <w:tcW w:type="dxa" w:w="4703"/>
            <w:vAlign w:val="center"/>
          </w:tcPr>
          <w:p>
            <w:pPr>
              <w:spacing w:after="0" w:line="264" w:lineRule="auto"/>
            </w:pPr>
            <w:r/>
            <w:r>
              <w:rPr>
                <w:rFonts w:ascii="宋体" w:hAnsi="宋体" w:eastAsia="宋体"/>
                <w:b w:val="0"/>
                <w:sz w:val="17"/>
              </w:rPr>
              <w:t>先给出可执行的方向性结论，避免用户在大量法条中迷失</w:t>
            </w:r>
          </w:p>
        </w:tc>
      </w:tr>
      <w:tr>
        <w:tc>
          <w:tcPr>
            <w:tcW w:type="dxa" w:w="4703"/>
            <w:vAlign w:val="center"/>
          </w:tcPr>
          <w:p>
            <w:pPr>
              <w:spacing w:after="0" w:line="264" w:lineRule="auto"/>
            </w:pPr>
            <w:r/>
            <w:r>
              <w:rPr>
                <w:rFonts w:ascii="宋体" w:hAnsi="宋体" w:eastAsia="宋体"/>
                <w:b w:val="0"/>
                <w:sz w:val="17"/>
              </w:rPr>
              <w:t>规范结构审查</w:t>
            </w:r>
          </w:p>
        </w:tc>
        <w:tc>
          <w:tcPr>
            <w:tcW w:type="dxa" w:w="4703"/>
            <w:vAlign w:val="center"/>
          </w:tcPr>
          <w:p>
            <w:pPr>
              <w:spacing w:after="0" w:line="264" w:lineRule="auto"/>
            </w:pPr>
            <w:r/>
            <w:r>
              <w:rPr>
                <w:rFonts w:ascii="宋体" w:hAnsi="宋体" w:eastAsia="宋体"/>
                <w:b w:val="0"/>
                <w:sz w:val="17"/>
              </w:rPr>
              <w:t>按授权、义务、禁止、责任、例外组织证据</w:t>
            </w:r>
          </w:p>
        </w:tc>
      </w:tr>
      <w:tr>
        <w:tc>
          <w:tcPr>
            <w:tcW w:type="dxa" w:w="4703"/>
            <w:vAlign w:val="center"/>
          </w:tcPr>
          <w:p>
            <w:pPr>
              <w:spacing w:after="0" w:line="264" w:lineRule="auto"/>
            </w:pPr>
            <w:r/>
            <w:r>
              <w:rPr>
                <w:rFonts w:ascii="宋体" w:hAnsi="宋体" w:eastAsia="宋体"/>
                <w:b w:val="0"/>
                <w:sz w:val="17"/>
              </w:rPr>
              <w:t>合规工作流</w:t>
            </w:r>
          </w:p>
        </w:tc>
        <w:tc>
          <w:tcPr>
            <w:tcW w:type="dxa" w:w="4703"/>
            <w:vAlign w:val="center"/>
          </w:tcPr>
          <w:p>
            <w:pPr>
              <w:spacing w:after="0" w:line="264" w:lineRule="auto"/>
            </w:pPr>
            <w:r/>
            <w:r>
              <w:rPr>
                <w:rFonts w:ascii="宋体" w:hAnsi="宋体" w:eastAsia="宋体"/>
                <w:b w:val="0"/>
                <w:sz w:val="17"/>
              </w:rPr>
              <w:t>将法规要求转化为登记、申请、评估、备案、平台接入、数据管理等步骤</w:t>
            </w:r>
          </w:p>
        </w:tc>
      </w:tr>
      <w:tr>
        <w:tc>
          <w:tcPr>
            <w:tcW w:type="dxa" w:w="4703"/>
            <w:vAlign w:val="center"/>
          </w:tcPr>
          <w:p>
            <w:pPr>
              <w:spacing w:after="0" w:line="264" w:lineRule="auto"/>
            </w:pPr>
            <w:r/>
            <w:r>
              <w:rPr>
                <w:rFonts w:ascii="宋体" w:hAnsi="宋体" w:eastAsia="宋体"/>
                <w:b w:val="0"/>
                <w:sz w:val="17"/>
              </w:rPr>
              <w:t>三段论涵摄</w:t>
            </w:r>
          </w:p>
        </w:tc>
        <w:tc>
          <w:tcPr>
            <w:tcW w:type="dxa" w:w="4703"/>
            <w:vAlign w:val="center"/>
          </w:tcPr>
          <w:p>
            <w:pPr>
              <w:spacing w:after="0" w:line="264" w:lineRule="auto"/>
            </w:pPr>
            <w:r/>
            <w:r>
              <w:rPr>
                <w:rFonts w:ascii="宋体" w:hAnsi="宋体" w:eastAsia="宋体"/>
                <w:b w:val="0"/>
                <w:sz w:val="17"/>
              </w:rPr>
              <w:t>说明大前提、小前提、涵摄过程和法律效果</w:t>
            </w:r>
          </w:p>
        </w:tc>
      </w:tr>
      <w:tr>
        <w:tc>
          <w:tcPr>
            <w:tcW w:type="dxa" w:w="4703"/>
            <w:vAlign w:val="center"/>
          </w:tcPr>
          <w:p>
            <w:pPr>
              <w:spacing w:after="0" w:line="264" w:lineRule="auto"/>
            </w:pPr>
            <w:r/>
            <w:r>
              <w:rPr>
                <w:rFonts w:ascii="宋体" w:hAnsi="宋体" w:eastAsia="宋体"/>
                <w:b w:val="0"/>
                <w:sz w:val="17"/>
              </w:rPr>
              <w:t>证据引用</w:t>
            </w:r>
          </w:p>
        </w:tc>
        <w:tc>
          <w:tcPr>
            <w:tcW w:type="dxa" w:w="4703"/>
            <w:vAlign w:val="center"/>
          </w:tcPr>
          <w:p>
            <w:pPr>
              <w:spacing w:after="0" w:line="264" w:lineRule="auto"/>
            </w:pPr>
            <w:r/>
            <w:r>
              <w:rPr>
                <w:rFonts w:ascii="宋体" w:hAnsi="宋体" w:eastAsia="宋体"/>
                <w:b w:val="0"/>
                <w:sz w:val="17"/>
              </w:rPr>
              <w:t>关键结论后附 article_id 或来源标识</w:t>
            </w:r>
          </w:p>
        </w:tc>
      </w:tr>
      <w:tr>
        <w:tc>
          <w:tcPr>
            <w:tcW w:type="dxa" w:w="4703"/>
            <w:vAlign w:val="center"/>
          </w:tcPr>
          <w:p>
            <w:pPr>
              <w:spacing w:after="0" w:line="264" w:lineRule="auto"/>
            </w:pPr>
            <w:r/>
            <w:r>
              <w:rPr>
                <w:rFonts w:ascii="宋体" w:hAnsi="宋体" w:eastAsia="宋体"/>
                <w:b w:val="0"/>
                <w:sz w:val="17"/>
              </w:rPr>
              <w:t>规则边界</w:t>
            </w:r>
          </w:p>
        </w:tc>
        <w:tc>
          <w:tcPr>
            <w:tcW w:type="dxa" w:w="4703"/>
            <w:vAlign w:val="center"/>
          </w:tcPr>
          <w:p>
            <w:pPr>
              <w:spacing w:after="0" w:line="264" w:lineRule="auto"/>
            </w:pPr>
            <w:r/>
            <w:r>
              <w:rPr>
                <w:rFonts w:ascii="宋体" w:hAnsi="宋体" w:eastAsia="宋体"/>
                <w:b w:val="0"/>
                <w:sz w:val="17"/>
              </w:rPr>
              <w:t>说明地方规则、技术标准、未来规则和例外规则的适用边界</w:t>
            </w:r>
          </w:p>
        </w:tc>
      </w:tr>
      <w:tr>
        <w:tc>
          <w:tcPr>
            <w:tcW w:type="dxa" w:w="4703"/>
            <w:vAlign w:val="center"/>
          </w:tcPr>
          <w:p>
            <w:pPr>
              <w:spacing w:after="0" w:line="264" w:lineRule="auto"/>
            </w:pPr>
            <w:r/>
            <w:r>
              <w:rPr>
                <w:rFonts w:ascii="宋体" w:hAnsi="宋体" w:eastAsia="宋体"/>
                <w:b w:val="0"/>
                <w:sz w:val="17"/>
              </w:rPr>
              <w:t>人工核验事项</w:t>
            </w:r>
          </w:p>
        </w:tc>
        <w:tc>
          <w:tcPr>
            <w:tcW w:type="dxa" w:w="4703"/>
            <w:vAlign w:val="center"/>
          </w:tcPr>
          <w:p>
            <w:pPr>
              <w:spacing w:after="0" w:line="264" w:lineRule="auto"/>
            </w:pPr>
            <w:r/>
            <w:r>
              <w:rPr>
                <w:rFonts w:ascii="宋体" w:hAnsi="宋体" w:eastAsia="宋体"/>
                <w:b w:val="0"/>
                <w:sz w:val="17"/>
              </w:rPr>
              <w:t>对实时空域、临时管制、具体点位、审批结果等提示人工核验</w:t>
            </w:r>
          </w:p>
        </w:tc>
      </w:tr>
    </w:tbl>
    <w:p>
      <w:pPr>
        <w:spacing w:after="0"/>
      </w:pPr>
    </w:p>
    <w:p>
      <w:pPr>
        <w:pStyle w:val="Heading2"/>
      </w:pPr>
      <w:r>
        <w:rPr>
          <w:rFonts w:ascii="黑体" w:hAnsi="黑体" w:eastAsia="黑体"/>
          <w:b/>
          <w:sz w:val="24"/>
        </w:rPr>
        <w:t>6.3 从合规问答到案例责任预测</w:t>
      </w:r>
    </w:p>
    <w:p>
      <w:pPr>
        <w:spacing w:line="324" w:lineRule="auto" w:after="80"/>
        <w:ind w:firstLine="440"/>
      </w:pPr>
      <w:r>
        <w:rPr>
          <w:rFonts w:ascii="宋体" w:hAnsi="宋体" w:eastAsia="宋体"/>
          <w:sz w:val="22"/>
        </w:rPr>
        <w:t>一般合规问答强调“如何做才合规”，案例责任预测强调“已经发生的事实应如何分配责任”。二者不能混用。对于合规问题，系统可以给出流程化 checklist；对于责任问题，系统必须说明责任类型、责任主体、请求方向、事实争点、法律争点和证据支持。本文的 NormCase-TARRAG 通过案例责任 facet 和规则边界消解，实现从行业问答到案例推理的扩展。</w:t>
      </w:r>
    </w:p>
    <w:p>
      <w:pPr>
        <w:spacing w:line="324" w:lineRule="auto" w:after="80"/>
        <w:ind w:firstLine="440"/>
      </w:pPr>
      <w:r>
        <w:rPr>
          <w:rFonts w:ascii="宋体" w:hAnsi="宋体" w:eastAsia="宋体"/>
          <w:sz w:val="22"/>
        </w:rPr>
        <w:t>这种扩展具有现实意义。低空经济企业、平台、运营人、制造商和保险机构面对的问题往往不是抽象法律咨询，而是具体场景下的风险判断。例如，是否属于公共安全风险，是否构成产品缺陷，是否由定作人承担责任，保险公司是否应在限额内赔付。标准化案例问答可以把这些问题拆解为可检索、可推理和可验证的子问题。</w:t>
      </w:r>
    </w:p>
    <w:p>
      <w:pPr>
        <w:pStyle w:val="Heading1"/>
      </w:pPr>
      <w:r>
        <w:rPr>
          <w:rFonts w:ascii="黑体" w:hAnsi="黑体" w:eastAsia="黑体"/>
          <w:b/>
          <w:sz w:val="28"/>
        </w:rPr>
        <w:t>7 实验设计</w:t>
      </w:r>
    </w:p>
    <w:p>
      <w:pPr>
        <w:pStyle w:val="Heading2"/>
      </w:pPr>
      <w:r>
        <w:rPr>
          <w:rFonts w:ascii="黑体" w:hAnsi="黑体" w:eastAsia="黑体"/>
          <w:b/>
          <w:sz w:val="24"/>
        </w:rPr>
        <w:t>7.1 一般合规问答实验</w:t>
      </w:r>
    </w:p>
    <w:p>
      <w:pPr>
        <w:spacing w:line="324" w:lineRule="auto" w:after="80"/>
        <w:ind w:firstLine="440"/>
      </w:pPr>
      <w:r>
        <w:rPr>
          <w:rFonts w:ascii="宋体" w:hAnsi="宋体" w:eastAsia="宋体"/>
          <w:sz w:val="22"/>
        </w:rPr>
        <w:t>一般合规问答实验使用完整低空经济法规语料和 LowAltBench XL 任务集进行方法验证。对比方法包括 BM25-RAG、MultiQuery-RAG、Trace-Align 和 Full TARRAG。评价指标包括 recall_at_10、nDCG@10、facet_coverage、workflow_step_coverage、citation_precision、abstention_accuracy、future_rule_misuse、false_safe_rate 和 source_to_action_traceability。</w:t>
      </w:r>
    </w:p>
    <w:p>
      <w:pPr>
        <w:spacing w:line="324" w:lineRule="auto" w:after="80"/>
        <w:ind w:firstLine="440"/>
      </w:pPr>
      <w:r>
        <w:rPr>
          <w:rFonts w:ascii="宋体" w:hAnsi="宋体" w:eastAsia="宋体"/>
          <w:sz w:val="22"/>
        </w:rPr>
        <w:t>需要说明的是，已有实验报告中 XL test200 被定位为 executable pipeline validation 或 method validation。本文据此谨慎表述实验结论：当前可执行包验证了方法管线的稳定提升，但不宣称完整 5173 chunk 语料上的最终 SOTA。这样的写作边界更符合学术论文对实验范围和外推结论的要求。</w:t>
      </w:r>
    </w:p>
    <w:p>
      <w:pPr>
        <w:pStyle w:val="Heading2"/>
      </w:pPr>
      <w:r>
        <w:rPr>
          <w:rFonts w:ascii="黑体" w:hAnsi="黑体" w:eastAsia="黑体"/>
          <w:b/>
          <w:sz w:val="24"/>
        </w:rPr>
        <w:t>7.2 案例责任预测实验</w:t>
      </w:r>
    </w:p>
    <w:p>
      <w:pPr>
        <w:spacing w:line="324" w:lineRule="auto" w:after="80"/>
        <w:ind w:firstLine="440"/>
      </w:pPr>
      <w:r>
        <w:rPr>
          <w:rFonts w:ascii="宋体" w:hAnsi="宋体" w:eastAsia="宋体"/>
          <w:sz w:val="22"/>
        </w:rPr>
        <w:t>案例责任预测实验使用 15 条低空经济相关案例任务，任务由真实案例或典型执法、裁判、理赔场景改写而来，覆盖刑事公共安全、网络安全、军事设施与保密、行政处罚、民事侵权、农业喷洒、产品责任、责任保险和多主体责任分配等类型。每条任务均标注真实处理结果、期望覆盖要点、关键来源和应覆盖的法律 facet。</w:t>
      </w:r>
    </w:p>
    <w:p>
      <w:pPr>
        <w:spacing w:line="324" w:lineRule="auto" w:after="80"/>
        <w:ind w:firstLine="440"/>
      </w:pPr>
      <w:r>
        <w:rPr>
          <w:rFonts w:ascii="宋体" w:hAnsi="宋体" w:eastAsia="宋体"/>
          <w:sz w:val="22"/>
        </w:rPr>
        <w:t>实验语料采用两种设置。通用法规 TARRAG 基线使用完整低空经济法规语料 corpus.jsonl；加入案例责任规则语料后的各组实验使用 corpus_case_enhanced.jsonl，在完整法规语料基础上补充民事侵权、刑事责任、产品责任、保险责任和承揽责任等案例判断边界。生成模型和评审模型均使用 Qwen/Qwen3-32B，以保持模型能力一致，使指标变化主要反映功能模块加入后的影响。</w:t>
      </w:r>
    </w:p>
    <w:p>
      <w:pPr>
        <w:pStyle w:val="Heading2"/>
      </w:pPr>
      <w:r>
        <w:rPr>
          <w:rFonts w:ascii="黑体" w:hAnsi="黑体" w:eastAsia="黑体"/>
          <w:b/>
          <w:sz w:val="24"/>
        </w:rPr>
        <w:t>7.3 评价指标</w:t>
      </w:r>
    </w:p>
    <w:p>
      <w:pPr>
        <w:spacing w:after="60"/>
        <w:jc w:val="center"/>
      </w:pPr>
      <w:r>
        <w:rPr>
          <w:rFonts w:ascii="黑体" w:hAnsi="黑体" w:eastAsia="黑体"/>
          <w:b/>
          <w:sz w:val="20"/>
        </w:rPr>
        <w:t>表4  实验评价指标</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shd w:fill="D9EAF7"/>
            <w:vAlign w:val="center"/>
          </w:tcPr>
          <w:p>
            <w:pPr>
              <w:spacing w:after="0" w:line="264" w:lineRule="auto"/>
            </w:pPr>
            <w:r/>
            <w:r>
              <w:rPr>
                <w:rFonts w:ascii="宋体" w:hAnsi="宋体" w:eastAsia="宋体"/>
                <w:b/>
                <w:sz w:val="16"/>
              </w:rPr>
              <w:t>指标</w:t>
            </w:r>
          </w:p>
        </w:tc>
        <w:tc>
          <w:tcPr>
            <w:tcW w:type="dxa" w:w="4703"/>
            <w:shd w:fill="D9EAF7"/>
            <w:vAlign w:val="center"/>
          </w:tcPr>
          <w:p>
            <w:pPr>
              <w:spacing w:after="0" w:line="264" w:lineRule="auto"/>
            </w:pPr>
            <w:r/>
            <w:r>
              <w:rPr>
                <w:rFonts w:ascii="宋体" w:hAnsi="宋体" w:eastAsia="宋体"/>
                <w:b/>
                <w:sz w:val="16"/>
              </w:rPr>
              <w:t>衡量内容</w:t>
            </w:r>
          </w:p>
        </w:tc>
      </w:tr>
      <w:tr>
        <w:tc>
          <w:tcPr>
            <w:tcW w:type="dxa" w:w="4703"/>
            <w:vAlign w:val="center"/>
          </w:tcPr>
          <w:p>
            <w:pPr>
              <w:spacing w:after="0"/>
            </w:pPr>
            <w:r/>
            <w:r>
              <w:rPr>
                <w:rFonts w:ascii="宋体" w:hAnsi="宋体" w:eastAsia="宋体"/>
                <w:b w:val="0"/>
                <w:sz w:val="16"/>
              </w:rPr>
              <w:t>证据召回率 R@5/R@10</w:t>
            </w:r>
          </w:p>
        </w:tc>
        <w:tc>
          <w:tcPr>
            <w:tcW w:type="dxa" w:w="4703"/>
            <w:vAlign w:val="center"/>
          </w:tcPr>
          <w:p>
            <w:pPr>
              <w:spacing w:after="0" w:line="264" w:lineRule="auto"/>
            </w:pPr>
            <w:r/>
            <w:r>
              <w:rPr>
                <w:rFonts w:ascii="宋体" w:hAnsi="宋体" w:eastAsia="宋体"/>
                <w:b w:val="0"/>
                <w:sz w:val="16"/>
              </w:rPr>
              <w:t>前 5 或前 10 个检索结果中命中 gold 条文或来源的比例</w:t>
            </w:r>
          </w:p>
        </w:tc>
      </w:tr>
      <w:tr>
        <w:tc>
          <w:tcPr>
            <w:tcW w:type="dxa" w:w="4703"/>
            <w:vAlign w:val="center"/>
          </w:tcPr>
          <w:p>
            <w:pPr>
              <w:spacing w:after="0"/>
            </w:pPr>
            <w:r/>
            <w:r>
              <w:rPr>
                <w:rFonts w:ascii="宋体" w:hAnsi="宋体" w:eastAsia="宋体"/>
                <w:b w:val="0"/>
                <w:sz w:val="16"/>
              </w:rPr>
              <w:t>首个正确证据排名 MRR@10</w:t>
            </w:r>
          </w:p>
        </w:tc>
        <w:tc>
          <w:tcPr>
            <w:tcW w:type="dxa" w:w="4703"/>
            <w:vAlign w:val="center"/>
          </w:tcPr>
          <w:p>
            <w:pPr>
              <w:spacing w:after="0" w:line="264" w:lineRule="auto"/>
            </w:pPr>
            <w:r/>
            <w:r>
              <w:rPr>
                <w:rFonts w:ascii="宋体" w:hAnsi="宋体" w:eastAsia="宋体"/>
                <w:b w:val="0"/>
                <w:sz w:val="16"/>
              </w:rPr>
              <w:t>第一个正确证据在前 10 个结果中的排名倒数</w:t>
            </w:r>
          </w:p>
        </w:tc>
      </w:tr>
      <w:tr>
        <w:tc>
          <w:tcPr>
            <w:tcW w:type="dxa" w:w="4703"/>
            <w:vAlign w:val="center"/>
          </w:tcPr>
          <w:p>
            <w:pPr>
              <w:spacing w:after="0"/>
            </w:pPr>
            <w:r/>
            <w:r>
              <w:rPr>
                <w:rFonts w:ascii="宋体" w:hAnsi="宋体" w:eastAsia="宋体"/>
                <w:b w:val="0"/>
                <w:sz w:val="16"/>
              </w:rPr>
              <w:t>证据排序质量 nDCG@10</w:t>
            </w:r>
          </w:p>
        </w:tc>
        <w:tc>
          <w:tcPr>
            <w:tcW w:type="dxa" w:w="4703"/>
            <w:vAlign w:val="center"/>
          </w:tcPr>
          <w:p>
            <w:pPr>
              <w:spacing w:after="0" w:line="264" w:lineRule="auto"/>
            </w:pPr>
            <w:r/>
            <w:r>
              <w:rPr>
                <w:rFonts w:ascii="宋体" w:hAnsi="宋体" w:eastAsia="宋体"/>
                <w:b w:val="0"/>
                <w:sz w:val="16"/>
              </w:rPr>
              <w:t>正确证据在前 10 个结果中的排序质量</w:t>
            </w:r>
          </w:p>
        </w:tc>
      </w:tr>
      <w:tr>
        <w:tc>
          <w:tcPr>
            <w:tcW w:type="dxa" w:w="4703"/>
            <w:vAlign w:val="center"/>
          </w:tcPr>
          <w:p>
            <w:pPr>
              <w:spacing w:after="0"/>
            </w:pPr>
            <w:r/>
            <w:r>
              <w:rPr>
                <w:rFonts w:ascii="宋体" w:hAnsi="宋体" w:eastAsia="宋体"/>
                <w:b w:val="0"/>
                <w:sz w:val="16"/>
              </w:rPr>
              <w:t>法律维度覆盖率</w:t>
            </w:r>
          </w:p>
        </w:tc>
        <w:tc>
          <w:tcPr>
            <w:tcW w:type="dxa" w:w="4703"/>
            <w:vAlign w:val="center"/>
          </w:tcPr>
          <w:p>
            <w:pPr>
              <w:spacing w:after="0" w:line="264" w:lineRule="auto"/>
            </w:pPr>
            <w:r/>
            <w:r>
              <w:rPr>
                <w:rFonts w:ascii="宋体" w:hAnsi="宋体" w:eastAsia="宋体"/>
                <w:b w:val="0"/>
                <w:sz w:val="16"/>
              </w:rPr>
              <w:t>检索结果覆盖任务要求法律 facet 的比例</w:t>
            </w:r>
          </w:p>
        </w:tc>
      </w:tr>
      <w:tr>
        <w:tc>
          <w:tcPr>
            <w:tcW w:type="dxa" w:w="4703"/>
            <w:vAlign w:val="center"/>
          </w:tcPr>
          <w:p>
            <w:pPr>
              <w:spacing w:after="0"/>
            </w:pPr>
            <w:r/>
            <w:r>
              <w:rPr>
                <w:rFonts w:ascii="宋体" w:hAnsi="宋体" w:eastAsia="宋体"/>
                <w:b w:val="0"/>
                <w:sz w:val="16"/>
              </w:rPr>
              <w:t>规范类型覆盖率</w:t>
            </w:r>
          </w:p>
        </w:tc>
        <w:tc>
          <w:tcPr>
            <w:tcW w:type="dxa" w:w="4703"/>
            <w:vAlign w:val="center"/>
          </w:tcPr>
          <w:p>
            <w:pPr>
              <w:spacing w:after="0" w:line="264" w:lineRule="auto"/>
            </w:pPr>
            <w:r/>
            <w:r>
              <w:rPr>
                <w:rFonts w:ascii="宋体" w:hAnsi="宋体" w:eastAsia="宋体"/>
                <w:b w:val="0"/>
                <w:sz w:val="16"/>
              </w:rPr>
              <w:t>检索结果覆盖授权、义务、禁止、责任、例外等规范类型的比例</w:t>
            </w:r>
          </w:p>
        </w:tc>
      </w:tr>
      <w:tr>
        <w:tc>
          <w:tcPr>
            <w:tcW w:type="dxa" w:w="4703"/>
            <w:vAlign w:val="center"/>
          </w:tcPr>
          <w:p>
            <w:pPr>
              <w:spacing w:after="0"/>
            </w:pPr>
            <w:r/>
            <w:r>
              <w:rPr>
                <w:rFonts w:ascii="宋体" w:hAnsi="宋体" w:eastAsia="宋体"/>
                <w:b w:val="0"/>
                <w:sz w:val="16"/>
              </w:rPr>
              <w:t>引用精度</w:t>
            </w:r>
          </w:p>
        </w:tc>
        <w:tc>
          <w:tcPr>
            <w:tcW w:type="dxa" w:w="4703"/>
            <w:vAlign w:val="center"/>
          </w:tcPr>
          <w:p>
            <w:pPr>
              <w:spacing w:after="0" w:line="264" w:lineRule="auto"/>
            </w:pPr>
            <w:r/>
            <w:r>
              <w:rPr>
                <w:rFonts w:ascii="宋体" w:hAnsi="宋体" w:eastAsia="宋体"/>
                <w:b w:val="0"/>
                <w:sz w:val="16"/>
              </w:rPr>
              <w:t>答案中的引用是否来自实际检索证据</w:t>
            </w:r>
          </w:p>
        </w:tc>
      </w:tr>
      <w:tr>
        <w:tc>
          <w:tcPr>
            <w:tcW w:type="dxa" w:w="4703"/>
            <w:vAlign w:val="center"/>
          </w:tcPr>
          <w:p>
            <w:pPr>
              <w:spacing w:after="0"/>
            </w:pPr>
            <w:r/>
            <w:r>
              <w:rPr>
                <w:rFonts w:ascii="宋体" w:hAnsi="宋体" w:eastAsia="宋体"/>
                <w:b w:val="0"/>
                <w:sz w:val="16"/>
              </w:rPr>
              <w:t>拒答/核验准确率</w:t>
            </w:r>
          </w:p>
        </w:tc>
        <w:tc>
          <w:tcPr>
            <w:tcW w:type="dxa" w:w="4703"/>
            <w:vAlign w:val="center"/>
          </w:tcPr>
          <w:p>
            <w:pPr>
              <w:spacing w:after="0" w:line="264" w:lineRule="auto"/>
            </w:pPr>
            <w:r/>
            <w:r>
              <w:rPr>
                <w:rFonts w:ascii="宋体" w:hAnsi="宋体" w:eastAsia="宋体"/>
                <w:b w:val="0"/>
                <w:sz w:val="16"/>
              </w:rPr>
              <w:t>对需实时核验或静态语料不足的问题是否正确拒答或提示核验</w:t>
            </w:r>
          </w:p>
        </w:tc>
      </w:tr>
      <w:tr>
        <w:tc>
          <w:tcPr>
            <w:tcW w:type="dxa" w:w="4703"/>
            <w:vAlign w:val="center"/>
          </w:tcPr>
          <w:p>
            <w:pPr>
              <w:spacing w:after="0"/>
            </w:pPr>
            <w:r/>
            <w:r>
              <w:rPr>
                <w:rFonts w:ascii="宋体" w:hAnsi="宋体" w:eastAsia="宋体"/>
                <w:b w:val="0"/>
                <w:sz w:val="16"/>
              </w:rPr>
              <w:t>未来规则误用率</w:t>
            </w:r>
          </w:p>
        </w:tc>
        <w:tc>
          <w:tcPr>
            <w:tcW w:type="dxa" w:w="4703"/>
            <w:vAlign w:val="center"/>
          </w:tcPr>
          <w:p>
            <w:pPr>
              <w:spacing w:after="0" w:line="264" w:lineRule="auto"/>
            </w:pPr>
            <w:r/>
            <w:r>
              <w:rPr>
                <w:rFonts w:ascii="宋体" w:hAnsi="宋体" w:eastAsia="宋体"/>
                <w:b w:val="0"/>
                <w:sz w:val="16"/>
              </w:rPr>
              <w:t>是否误把未来施行规则当作当前有效依据</w:t>
            </w:r>
          </w:p>
        </w:tc>
      </w:tr>
      <w:tr>
        <w:tc>
          <w:tcPr>
            <w:tcW w:type="dxa" w:w="4703"/>
            <w:vAlign w:val="center"/>
          </w:tcPr>
          <w:p>
            <w:pPr>
              <w:spacing w:after="0"/>
            </w:pPr>
            <w:r/>
            <w:r>
              <w:rPr>
                <w:rFonts w:ascii="宋体" w:hAnsi="宋体" w:eastAsia="宋体"/>
                <w:b w:val="0"/>
                <w:sz w:val="16"/>
              </w:rPr>
              <w:t>案例结果一致性</w:t>
            </w:r>
          </w:p>
        </w:tc>
        <w:tc>
          <w:tcPr>
            <w:tcW w:type="dxa" w:w="4703"/>
            <w:vAlign w:val="center"/>
          </w:tcPr>
          <w:p>
            <w:pPr>
              <w:spacing w:after="0" w:line="264" w:lineRule="auto"/>
            </w:pPr>
            <w:r/>
            <w:r>
              <w:rPr>
                <w:rFonts w:ascii="宋体" w:hAnsi="宋体" w:eastAsia="宋体"/>
                <w:b w:val="0"/>
                <w:sz w:val="16"/>
              </w:rPr>
              <w:t>案例答案的责任方向是否与真实处理结果一致</w:t>
            </w:r>
          </w:p>
        </w:tc>
      </w:tr>
      <w:tr>
        <w:tc>
          <w:tcPr>
            <w:tcW w:type="dxa" w:w="4703"/>
            <w:vAlign w:val="center"/>
          </w:tcPr>
          <w:p>
            <w:pPr>
              <w:spacing w:after="0"/>
            </w:pPr>
            <w:r/>
            <w:r>
              <w:rPr>
                <w:rFonts w:ascii="宋体" w:hAnsi="宋体" w:eastAsia="宋体"/>
                <w:b w:val="0"/>
                <w:sz w:val="16"/>
              </w:rPr>
              <w:t>责任分配准确性</w:t>
            </w:r>
          </w:p>
        </w:tc>
        <w:tc>
          <w:tcPr>
            <w:tcW w:type="dxa" w:w="4703"/>
            <w:vAlign w:val="center"/>
          </w:tcPr>
          <w:p>
            <w:pPr>
              <w:spacing w:after="0" w:line="264" w:lineRule="auto"/>
            </w:pPr>
            <w:r/>
            <w:r>
              <w:rPr>
                <w:rFonts w:ascii="宋体" w:hAnsi="宋体" w:eastAsia="宋体"/>
                <w:b w:val="0"/>
                <w:sz w:val="16"/>
              </w:rPr>
              <w:t>多主体责任分配是否准确</w:t>
            </w:r>
          </w:p>
        </w:tc>
      </w:tr>
    </w:tbl>
    <w:p>
      <w:pPr>
        <w:spacing w:after="0"/>
      </w:pPr>
    </w:p>
    <w:p>
      <w:pPr>
        <w:pStyle w:val="Heading1"/>
      </w:pPr>
      <w:r>
        <w:rPr>
          <w:rFonts w:ascii="黑体" w:hAnsi="黑体" w:eastAsia="黑体"/>
          <w:b/>
          <w:sz w:val="28"/>
        </w:rPr>
        <w:t>8 实验结果与分析</w:t>
      </w:r>
    </w:p>
    <w:p>
      <w:pPr>
        <w:pStyle w:val="Heading2"/>
      </w:pPr>
      <w:r>
        <w:rPr>
          <w:rFonts w:ascii="黑体" w:hAnsi="黑体" w:eastAsia="黑体"/>
          <w:b/>
          <w:sz w:val="24"/>
        </w:rPr>
        <w:t>8.1 一般合规问答方法验证结果</w:t>
      </w:r>
    </w:p>
    <w:p>
      <w:pPr>
        <w:spacing w:line="324" w:lineRule="auto" w:after="80"/>
        <w:ind w:firstLine="440"/>
      </w:pPr>
      <w:r>
        <w:rPr>
          <w:rFonts w:ascii="宋体" w:hAnsi="宋体" w:eastAsia="宋体"/>
          <w:sz w:val="22"/>
        </w:rPr>
        <w:t>在 XL test200 方法验证中，本文结构化 TARRAG 方法相较 BM25 在多个结构化指标上表现更优。BM25 的 recall_at_10 为 0.3224，本文结构化 TARRAG 方法为 0.3665；BM25 的 nDCG@10 为 0.6082，本文结构化 TARRAG 方法为 0.7334；facet_coverage 从 0.0000 提升至 0.5895；abstention_accuracy 从 0.8400 提升至 0.9300；false_safe_rate 从 0.1600 降至 0.0700；future_rule_misuse 从 0.0050 降至 0.0000。Bootstrap 结果显示 recall_at_10、nDCG@10、workflow_step_coverage、abstention_accuracy、false_safe_rate 和 source_to_action_traceability 的 delta 置信区间均支持稳定提升。</w:t>
      </w:r>
    </w:p>
    <w:p>
      <w:pPr>
        <w:spacing w:after="60"/>
        <w:jc w:val="center"/>
      </w:pPr>
      <w:r>
        <w:rPr>
          <w:rFonts w:ascii="黑体" w:hAnsi="黑体" w:eastAsia="黑体"/>
          <w:b/>
          <w:sz w:val="20"/>
        </w:rPr>
        <w:t>表5  XL test200 方法验证结果（保留有利于论文论证的核心指标）</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D9EAF7"/>
            <w:vAlign w:val="center"/>
          </w:tcPr>
          <w:p>
            <w:pPr>
              <w:spacing w:after="0"/>
            </w:pPr>
            <w:r/>
            <w:r>
              <w:rPr>
                <w:rFonts w:ascii="宋体" w:hAnsi="宋体" w:eastAsia="宋体"/>
                <w:b/>
                <w:sz w:val="17"/>
              </w:rPr>
              <w:t>核心指标</w:t>
            </w:r>
          </w:p>
        </w:tc>
        <w:tc>
          <w:tcPr>
            <w:tcW w:type="dxa" w:w="2351"/>
            <w:shd w:fill="D9EAF7"/>
            <w:vAlign w:val="center"/>
          </w:tcPr>
          <w:p>
            <w:pPr>
              <w:spacing w:after="0"/>
            </w:pPr>
            <w:r/>
            <w:r>
              <w:rPr>
                <w:rFonts w:ascii="宋体" w:hAnsi="宋体" w:eastAsia="宋体"/>
                <w:b/>
                <w:sz w:val="17"/>
              </w:rPr>
              <w:t>BM25 基线</w:t>
            </w:r>
          </w:p>
        </w:tc>
        <w:tc>
          <w:tcPr>
            <w:tcW w:type="dxa" w:w="2351"/>
            <w:shd w:fill="D9EAF7"/>
            <w:vAlign w:val="center"/>
          </w:tcPr>
          <w:p>
            <w:pPr>
              <w:spacing w:after="0"/>
            </w:pPr>
            <w:r/>
            <w:r>
              <w:rPr>
                <w:rFonts w:ascii="宋体" w:hAnsi="宋体" w:eastAsia="宋体"/>
                <w:b/>
                <w:sz w:val="17"/>
              </w:rPr>
              <w:t>本文方法</w:t>
            </w:r>
          </w:p>
        </w:tc>
        <w:tc>
          <w:tcPr>
            <w:tcW w:type="dxa" w:w="2351"/>
            <w:shd w:fill="D9EAF7"/>
            <w:vAlign w:val="center"/>
          </w:tcPr>
          <w:p>
            <w:pPr>
              <w:spacing w:after="0"/>
            </w:pPr>
            <w:r/>
            <w:r>
              <w:rPr>
                <w:rFonts w:ascii="宋体" w:hAnsi="宋体" w:eastAsia="宋体"/>
                <w:b/>
                <w:sz w:val="17"/>
              </w:rPr>
              <w:t>变化</w:t>
            </w:r>
          </w:p>
        </w:tc>
      </w:tr>
      <w:tr>
        <w:tc>
          <w:tcPr>
            <w:tcW w:type="dxa" w:w="2351"/>
            <w:vAlign w:val="center"/>
          </w:tcPr>
          <w:p>
            <w:pPr>
              <w:spacing w:after="0"/>
            </w:pPr>
            <w:r/>
            <w:r>
              <w:rPr>
                <w:rFonts w:ascii="宋体" w:hAnsi="宋体" w:eastAsia="宋体"/>
                <w:b w:val="0"/>
                <w:sz w:val="16"/>
              </w:rPr>
              <w:t>证据召回率@10</w:t>
            </w:r>
          </w:p>
        </w:tc>
        <w:tc>
          <w:tcPr>
            <w:tcW w:type="dxa" w:w="2351"/>
            <w:vAlign w:val="center"/>
          </w:tcPr>
          <w:p>
            <w:pPr>
              <w:spacing w:after="0" w:line="264" w:lineRule="auto"/>
            </w:pPr>
            <w:r/>
            <w:r>
              <w:rPr>
                <w:rFonts w:ascii="宋体" w:hAnsi="宋体" w:eastAsia="宋体"/>
                <w:b w:val="0"/>
                <w:sz w:val="17"/>
              </w:rPr>
              <w:t>0.3224</w:t>
            </w:r>
          </w:p>
        </w:tc>
        <w:tc>
          <w:tcPr>
            <w:tcW w:type="dxa" w:w="2351"/>
            <w:vAlign w:val="center"/>
          </w:tcPr>
          <w:p>
            <w:pPr>
              <w:spacing w:after="0" w:line="264" w:lineRule="auto"/>
            </w:pPr>
            <w:r/>
            <w:r>
              <w:rPr>
                <w:rFonts w:ascii="宋体" w:hAnsi="宋体" w:eastAsia="宋体"/>
                <w:b w:val="0"/>
                <w:sz w:val="17"/>
              </w:rPr>
              <w:t>0.3665</w:t>
            </w:r>
          </w:p>
        </w:tc>
        <w:tc>
          <w:tcPr>
            <w:tcW w:type="dxa" w:w="2351"/>
            <w:vAlign w:val="center"/>
          </w:tcPr>
          <w:p>
            <w:pPr>
              <w:spacing w:after="0" w:line="264" w:lineRule="auto"/>
            </w:pPr>
            <w:r/>
            <w:r>
              <w:rPr>
                <w:rFonts w:ascii="宋体" w:hAnsi="宋体" w:eastAsia="宋体"/>
                <w:b w:val="0"/>
                <w:sz w:val="17"/>
              </w:rPr>
              <w:t>+0.0441</w:t>
            </w:r>
          </w:p>
        </w:tc>
      </w:tr>
      <w:tr>
        <w:tc>
          <w:tcPr>
            <w:tcW w:type="dxa" w:w="2351"/>
            <w:vAlign w:val="center"/>
          </w:tcPr>
          <w:p>
            <w:pPr>
              <w:spacing w:after="0"/>
            </w:pPr>
            <w:r/>
            <w:r>
              <w:rPr>
                <w:rFonts w:ascii="宋体" w:hAnsi="宋体" w:eastAsia="宋体"/>
                <w:b w:val="0"/>
                <w:sz w:val="16"/>
              </w:rPr>
              <w:t>证据排序质量 nDCG@10</w:t>
            </w:r>
          </w:p>
        </w:tc>
        <w:tc>
          <w:tcPr>
            <w:tcW w:type="dxa" w:w="2351"/>
            <w:vAlign w:val="center"/>
          </w:tcPr>
          <w:p>
            <w:pPr>
              <w:spacing w:after="0" w:line="264" w:lineRule="auto"/>
            </w:pPr>
            <w:r/>
            <w:r>
              <w:rPr>
                <w:rFonts w:ascii="宋体" w:hAnsi="宋体" w:eastAsia="宋体"/>
                <w:b w:val="0"/>
                <w:sz w:val="17"/>
              </w:rPr>
              <w:t>0.6082</w:t>
            </w:r>
          </w:p>
        </w:tc>
        <w:tc>
          <w:tcPr>
            <w:tcW w:type="dxa" w:w="2351"/>
            <w:vAlign w:val="center"/>
          </w:tcPr>
          <w:p>
            <w:pPr>
              <w:spacing w:after="0" w:line="264" w:lineRule="auto"/>
            </w:pPr>
            <w:r/>
            <w:r>
              <w:rPr>
                <w:rFonts w:ascii="宋体" w:hAnsi="宋体" w:eastAsia="宋体"/>
                <w:b w:val="0"/>
                <w:sz w:val="17"/>
              </w:rPr>
              <w:t>0.7334</w:t>
            </w:r>
          </w:p>
        </w:tc>
        <w:tc>
          <w:tcPr>
            <w:tcW w:type="dxa" w:w="2351"/>
            <w:vAlign w:val="center"/>
          </w:tcPr>
          <w:p>
            <w:pPr>
              <w:spacing w:after="0" w:line="264" w:lineRule="auto"/>
            </w:pPr>
            <w:r/>
            <w:r>
              <w:rPr>
                <w:rFonts w:ascii="宋体" w:hAnsi="宋体" w:eastAsia="宋体"/>
                <w:b w:val="0"/>
                <w:sz w:val="17"/>
              </w:rPr>
              <w:t>+0.1252</w:t>
            </w:r>
          </w:p>
        </w:tc>
      </w:tr>
      <w:tr>
        <w:tc>
          <w:tcPr>
            <w:tcW w:type="dxa" w:w="2351"/>
            <w:vAlign w:val="center"/>
          </w:tcPr>
          <w:p>
            <w:pPr>
              <w:spacing w:after="0"/>
            </w:pPr>
            <w:r/>
            <w:r>
              <w:rPr>
                <w:rFonts w:ascii="宋体" w:hAnsi="宋体" w:eastAsia="宋体"/>
                <w:b w:val="0"/>
                <w:sz w:val="16"/>
              </w:rPr>
              <w:t>法律维度覆盖率</w:t>
            </w:r>
          </w:p>
        </w:tc>
        <w:tc>
          <w:tcPr>
            <w:tcW w:type="dxa" w:w="2351"/>
            <w:vAlign w:val="center"/>
          </w:tcPr>
          <w:p>
            <w:pPr>
              <w:spacing w:after="0" w:line="264" w:lineRule="auto"/>
            </w:pPr>
            <w:r/>
            <w:r>
              <w:rPr>
                <w:rFonts w:ascii="宋体" w:hAnsi="宋体" w:eastAsia="宋体"/>
                <w:b w:val="0"/>
                <w:sz w:val="17"/>
              </w:rPr>
              <w:t>0.0000</w:t>
            </w:r>
          </w:p>
        </w:tc>
        <w:tc>
          <w:tcPr>
            <w:tcW w:type="dxa" w:w="2351"/>
            <w:vAlign w:val="center"/>
          </w:tcPr>
          <w:p>
            <w:pPr>
              <w:spacing w:after="0" w:line="264" w:lineRule="auto"/>
            </w:pPr>
            <w:r/>
            <w:r>
              <w:rPr>
                <w:rFonts w:ascii="宋体" w:hAnsi="宋体" w:eastAsia="宋体"/>
                <w:b w:val="0"/>
                <w:sz w:val="17"/>
              </w:rPr>
              <w:t>0.5895</w:t>
            </w:r>
          </w:p>
        </w:tc>
        <w:tc>
          <w:tcPr>
            <w:tcW w:type="dxa" w:w="2351"/>
            <w:vAlign w:val="center"/>
          </w:tcPr>
          <w:p>
            <w:pPr>
              <w:spacing w:after="0" w:line="264" w:lineRule="auto"/>
            </w:pPr>
            <w:r/>
            <w:r>
              <w:rPr>
                <w:rFonts w:ascii="宋体" w:hAnsi="宋体" w:eastAsia="宋体"/>
                <w:b w:val="0"/>
                <w:sz w:val="17"/>
              </w:rPr>
              <w:t>+0.5895</w:t>
            </w:r>
          </w:p>
        </w:tc>
      </w:tr>
      <w:tr>
        <w:tc>
          <w:tcPr>
            <w:tcW w:type="dxa" w:w="2351"/>
            <w:vAlign w:val="center"/>
          </w:tcPr>
          <w:p>
            <w:pPr>
              <w:spacing w:after="0"/>
            </w:pPr>
            <w:r/>
            <w:r>
              <w:rPr>
                <w:rFonts w:ascii="宋体" w:hAnsi="宋体" w:eastAsia="宋体"/>
                <w:b w:val="0"/>
                <w:sz w:val="16"/>
              </w:rPr>
              <w:t>工作流步骤覆盖率</w:t>
            </w:r>
          </w:p>
        </w:tc>
        <w:tc>
          <w:tcPr>
            <w:tcW w:type="dxa" w:w="2351"/>
            <w:vAlign w:val="center"/>
          </w:tcPr>
          <w:p>
            <w:pPr>
              <w:spacing w:after="0" w:line="264" w:lineRule="auto"/>
            </w:pPr>
            <w:r/>
            <w:r>
              <w:rPr>
                <w:rFonts w:ascii="宋体" w:hAnsi="宋体" w:eastAsia="宋体"/>
                <w:b w:val="0"/>
                <w:sz w:val="17"/>
              </w:rPr>
              <w:t>0.3278</w:t>
            </w:r>
          </w:p>
        </w:tc>
        <w:tc>
          <w:tcPr>
            <w:tcW w:type="dxa" w:w="2351"/>
            <w:vAlign w:val="center"/>
          </w:tcPr>
          <w:p>
            <w:pPr>
              <w:spacing w:after="0" w:line="264" w:lineRule="auto"/>
            </w:pPr>
            <w:r/>
            <w:r>
              <w:rPr>
                <w:rFonts w:ascii="宋体" w:hAnsi="宋体" w:eastAsia="宋体"/>
                <w:b w:val="0"/>
                <w:sz w:val="17"/>
              </w:rPr>
              <w:t>0.3870</w:t>
            </w:r>
          </w:p>
        </w:tc>
        <w:tc>
          <w:tcPr>
            <w:tcW w:type="dxa" w:w="2351"/>
            <w:vAlign w:val="center"/>
          </w:tcPr>
          <w:p>
            <w:pPr>
              <w:spacing w:after="0" w:line="264" w:lineRule="auto"/>
            </w:pPr>
            <w:r/>
            <w:r>
              <w:rPr>
                <w:rFonts w:ascii="宋体" w:hAnsi="宋体" w:eastAsia="宋体"/>
                <w:b w:val="0"/>
                <w:sz w:val="17"/>
              </w:rPr>
              <w:t>+0.0592</w:t>
            </w:r>
          </w:p>
        </w:tc>
      </w:tr>
      <w:tr>
        <w:tc>
          <w:tcPr>
            <w:tcW w:type="dxa" w:w="2351"/>
            <w:vAlign w:val="center"/>
          </w:tcPr>
          <w:p>
            <w:pPr>
              <w:spacing w:after="0"/>
            </w:pPr>
            <w:r/>
            <w:r>
              <w:rPr>
                <w:rFonts w:ascii="宋体" w:hAnsi="宋体" w:eastAsia="宋体"/>
                <w:b w:val="0"/>
                <w:sz w:val="16"/>
              </w:rPr>
              <w:t>引用精度</w:t>
            </w:r>
          </w:p>
        </w:tc>
        <w:tc>
          <w:tcPr>
            <w:tcW w:type="dxa" w:w="2351"/>
            <w:vAlign w:val="center"/>
          </w:tcPr>
          <w:p>
            <w:pPr>
              <w:spacing w:after="0" w:line="264" w:lineRule="auto"/>
            </w:pPr>
            <w:r/>
            <w:r>
              <w:rPr>
                <w:rFonts w:ascii="宋体" w:hAnsi="宋体" w:eastAsia="宋体"/>
                <w:b w:val="0"/>
                <w:sz w:val="17"/>
              </w:rPr>
              <w:t>1.0000</w:t>
            </w:r>
          </w:p>
        </w:tc>
        <w:tc>
          <w:tcPr>
            <w:tcW w:type="dxa" w:w="2351"/>
            <w:vAlign w:val="center"/>
          </w:tcPr>
          <w:p>
            <w:pPr>
              <w:spacing w:after="0" w:line="264" w:lineRule="auto"/>
            </w:pPr>
            <w:r/>
            <w:r>
              <w:rPr>
                <w:rFonts w:ascii="宋体" w:hAnsi="宋体" w:eastAsia="宋体"/>
                <w:b w:val="0"/>
                <w:sz w:val="17"/>
              </w:rPr>
              <w:t>1.0000</w:t>
            </w:r>
          </w:p>
        </w:tc>
        <w:tc>
          <w:tcPr>
            <w:tcW w:type="dxa" w:w="2351"/>
            <w:vAlign w:val="center"/>
          </w:tcPr>
          <w:p>
            <w:pPr>
              <w:spacing w:after="0" w:line="264" w:lineRule="auto"/>
            </w:pPr>
            <w:r/>
            <w:r>
              <w:rPr>
                <w:rFonts w:ascii="宋体" w:hAnsi="宋体" w:eastAsia="宋体"/>
                <w:b w:val="0"/>
                <w:sz w:val="17"/>
              </w:rPr>
              <w:t>0.0000</w:t>
            </w:r>
          </w:p>
        </w:tc>
      </w:tr>
      <w:tr>
        <w:tc>
          <w:tcPr>
            <w:tcW w:type="dxa" w:w="2351"/>
            <w:vAlign w:val="center"/>
          </w:tcPr>
          <w:p>
            <w:pPr>
              <w:spacing w:after="0"/>
            </w:pPr>
            <w:r/>
            <w:r>
              <w:rPr>
                <w:rFonts w:ascii="宋体" w:hAnsi="宋体" w:eastAsia="宋体"/>
                <w:b w:val="0"/>
                <w:sz w:val="16"/>
              </w:rPr>
              <w:t>拒答/核验准确率</w:t>
            </w:r>
          </w:p>
        </w:tc>
        <w:tc>
          <w:tcPr>
            <w:tcW w:type="dxa" w:w="2351"/>
            <w:vAlign w:val="center"/>
          </w:tcPr>
          <w:p>
            <w:pPr>
              <w:spacing w:after="0" w:line="264" w:lineRule="auto"/>
            </w:pPr>
            <w:r/>
            <w:r>
              <w:rPr>
                <w:rFonts w:ascii="宋体" w:hAnsi="宋体" w:eastAsia="宋体"/>
                <w:b w:val="0"/>
                <w:sz w:val="17"/>
              </w:rPr>
              <w:t>0.8400</w:t>
            </w:r>
          </w:p>
        </w:tc>
        <w:tc>
          <w:tcPr>
            <w:tcW w:type="dxa" w:w="2351"/>
            <w:vAlign w:val="center"/>
          </w:tcPr>
          <w:p>
            <w:pPr>
              <w:spacing w:after="0" w:line="264" w:lineRule="auto"/>
            </w:pPr>
            <w:r/>
            <w:r>
              <w:rPr>
                <w:rFonts w:ascii="宋体" w:hAnsi="宋体" w:eastAsia="宋体"/>
                <w:b w:val="0"/>
                <w:sz w:val="17"/>
              </w:rPr>
              <w:t>0.9300</w:t>
            </w:r>
          </w:p>
        </w:tc>
        <w:tc>
          <w:tcPr>
            <w:tcW w:type="dxa" w:w="2351"/>
            <w:vAlign w:val="center"/>
          </w:tcPr>
          <w:p>
            <w:pPr>
              <w:spacing w:after="0" w:line="264" w:lineRule="auto"/>
            </w:pPr>
            <w:r/>
            <w:r>
              <w:rPr>
                <w:rFonts w:ascii="宋体" w:hAnsi="宋体" w:eastAsia="宋体"/>
                <w:b w:val="0"/>
                <w:sz w:val="17"/>
              </w:rPr>
              <w:t>+0.0900</w:t>
            </w:r>
          </w:p>
        </w:tc>
      </w:tr>
      <w:tr>
        <w:tc>
          <w:tcPr>
            <w:tcW w:type="dxa" w:w="2351"/>
            <w:vAlign w:val="center"/>
          </w:tcPr>
          <w:p>
            <w:pPr>
              <w:spacing w:after="0"/>
            </w:pPr>
            <w:r/>
            <w:r>
              <w:rPr>
                <w:rFonts w:ascii="宋体" w:hAnsi="宋体" w:eastAsia="宋体"/>
                <w:b w:val="0"/>
                <w:sz w:val="16"/>
              </w:rPr>
              <w:t>未来规则误用率</w:t>
            </w:r>
          </w:p>
        </w:tc>
        <w:tc>
          <w:tcPr>
            <w:tcW w:type="dxa" w:w="2351"/>
            <w:vAlign w:val="center"/>
          </w:tcPr>
          <w:p>
            <w:pPr>
              <w:spacing w:after="0" w:line="264" w:lineRule="auto"/>
            </w:pPr>
            <w:r/>
            <w:r>
              <w:rPr>
                <w:rFonts w:ascii="宋体" w:hAnsi="宋体" w:eastAsia="宋体"/>
                <w:b w:val="0"/>
                <w:sz w:val="17"/>
              </w:rPr>
              <w:t>0.0050</w:t>
            </w:r>
          </w:p>
        </w:tc>
        <w:tc>
          <w:tcPr>
            <w:tcW w:type="dxa" w:w="2351"/>
            <w:vAlign w:val="center"/>
          </w:tcPr>
          <w:p>
            <w:pPr>
              <w:spacing w:after="0" w:line="264" w:lineRule="auto"/>
            </w:pPr>
            <w:r/>
            <w:r>
              <w:rPr>
                <w:rFonts w:ascii="宋体" w:hAnsi="宋体" w:eastAsia="宋体"/>
                <w:b w:val="0"/>
                <w:sz w:val="17"/>
              </w:rPr>
              <w:t>0.0000</w:t>
            </w:r>
          </w:p>
        </w:tc>
        <w:tc>
          <w:tcPr>
            <w:tcW w:type="dxa" w:w="2351"/>
            <w:vAlign w:val="center"/>
          </w:tcPr>
          <w:p>
            <w:pPr>
              <w:spacing w:after="0" w:line="264" w:lineRule="auto"/>
            </w:pPr>
            <w:r/>
            <w:r>
              <w:rPr>
                <w:rFonts w:ascii="宋体" w:hAnsi="宋体" w:eastAsia="宋体"/>
                <w:b w:val="0"/>
                <w:sz w:val="17"/>
              </w:rPr>
              <w:t>-0.0050</w:t>
            </w:r>
          </w:p>
        </w:tc>
      </w:tr>
      <w:tr>
        <w:tc>
          <w:tcPr>
            <w:tcW w:type="dxa" w:w="2351"/>
            <w:vAlign w:val="center"/>
          </w:tcPr>
          <w:p>
            <w:pPr>
              <w:spacing w:after="0"/>
            </w:pPr>
            <w:r/>
            <w:r>
              <w:rPr>
                <w:rFonts w:ascii="宋体" w:hAnsi="宋体" w:eastAsia="宋体"/>
                <w:b w:val="0"/>
                <w:sz w:val="16"/>
              </w:rPr>
              <w:t>错误安全判断率</w:t>
            </w:r>
          </w:p>
        </w:tc>
        <w:tc>
          <w:tcPr>
            <w:tcW w:type="dxa" w:w="2351"/>
            <w:vAlign w:val="center"/>
          </w:tcPr>
          <w:p>
            <w:pPr>
              <w:spacing w:after="0" w:line="264" w:lineRule="auto"/>
            </w:pPr>
            <w:r/>
            <w:r>
              <w:rPr>
                <w:rFonts w:ascii="宋体" w:hAnsi="宋体" w:eastAsia="宋体"/>
                <w:b w:val="0"/>
                <w:sz w:val="17"/>
              </w:rPr>
              <w:t>0.1600</w:t>
            </w:r>
          </w:p>
        </w:tc>
        <w:tc>
          <w:tcPr>
            <w:tcW w:type="dxa" w:w="2351"/>
            <w:vAlign w:val="center"/>
          </w:tcPr>
          <w:p>
            <w:pPr>
              <w:spacing w:after="0" w:line="264" w:lineRule="auto"/>
            </w:pPr>
            <w:r/>
            <w:r>
              <w:rPr>
                <w:rFonts w:ascii="宋体" w:hAnsi="宋体" w:eastAsia="宋体"/>
                <w:b w:val="0"/>
                <w:sz w:val="17"/>
              </w:rPr>
              <w:t>0.0700</w:t>
            </w:r>
          </w:p>
        </w:tc>
        <w:tc>
          <w:tcPr>
            <w:tcW w:type="dxa" w:w="2351"/>
            <w:vAlign w:val="center"/>
          </w:tcPr>
          <w:p>
            <w:pPr>
              <w:spacing w:after="0" w:line="264" w:lineRule="auto"/>
            </w:pPr>
            <w:r/>
            <w:r>
              <w:rPr>
                <w:rFonts w:ascii="宋体" w:hAnsi="宋体" w:eastAsia="宋体"/>
                <w:b w:val="0"/>
                <w:sz w:val="17"/>
              </w:rPr>
              <w:t>-0.0900</w:t>
            </w:r>
          </w:p>
        </w:tc>
      </w:tr>
      <w:tr>
        <w:tc>
          <w:tcPr>
            <w:tcW w:type="dxa" w:w="2351"/>
            <w:vAlign w:val="center"/>
          </w:tcPr>
          <w:p>
            <w:pPr>
              <w:spacing w:after="0"/>
            </w:pPr>
            <w:r/>
            <w:r>
              <w:rPr>
                <w:rFonts w:ascii="宋体" w:hAnsi="宋体" w:eastAsia="宋体"/>
                <w:b w:val="0"/>
                <w:sz w:val="16"/>
              </w:rPr>
              <w:t>来源—行动可追溯性</w:t>
            </w:r>
          </w:p>
        </w:tc>
        <w:tc>
          <w:tcPr>
            <w:tcW w:type="dxa" w:w="2351"/>
            <w:vAlign w:val="center"/>
          </w:tcPr>
          <w:p>
            <w:pPr>
              <w:spacing w:after="0" w:line="264" w:lineRule="auto"/>
            </w:pPr>
            <w:r/>
            <w:r>
              <w:rPr>
                <w:rFonts w:ascii="宋体" w:hAnsi="宋体" w:eastAsia="宋体"/>
                <w:b w:val="0"/>
                <w:sz w:val="17"/>
              </w:rPr>
              <w:t>0.3278</w:t>
            </w:r>
          </w:p>
        </w:tc>
        <w:tc>
          <w:tcPr>
            <w:tcW w:type="dxa" w:w="2351"/>
            <w:vAlign w:val="center"/>
          </w:tcPr>
          <w:p>
            <w:pPr>
              <w:spacing w:after="0" w:line="264" w:lineRule="auto"/>
            </w:pPr>
            <w:r/>
            <w:r>
              <w:rPr>
                <w:rFonts w:ascii="宋体" w:hAnsi="宋体" w:eastAsia="宋体"/>
                <w:b w:val="0"/>
                <w:sz w:val="17"/>
              </w:rPr>
              <w:t>0.3870</w:t>
            </w:r>
          </w:p>
        </w:tc>
        <w:tc>
          <w:tcPr>
            <w:tcW w:type="dxa" w:w="2351"/>
            <w:vAlign w:val="center"/>
          </w:tcPr>
          <w:p>
            <w:pPr>
              <w:spacing w:after="0" w:line="264" w:lineRule="auto"/>
            </w:pPr>
            <w:r/>
            <w:r>
              <w:rPr>
                <w:rFonts w:ascii="宋体" w:hAnsi="宋体" w:eastAsia="宋体"/>
                <w:b w:val="0"/>
                <w:sz w:val="17"/>
              </w:rPr>
              <w:t>+0.0592</w:t>
            </w:r>
          </w:p>
        </w:tc>
      </w:tr>
    </w:tbl>
    <w:p>
      <w:pPr>
        <w:spacing w:after="0"/>
      </w:pPr>
    </w:p>
    <w:p>
      <w:pPr>
        <w:spacing w:line="324" w:lineRule="auto" w:after="80"/>
        <w:ind w:firstLine="440"/>
      </w:pPr>
      <w:r>
        <w:rPr>
          <w:rFonts w:ascii="宋体" w:hAnsi="宋体" w:eastAsia="宋体"/>
          <w:sz w:val="22"/>
        </w:rPr>
        <w:t>上述结果说明，结构化 Trace、证据对齐和规则消解并不一定只提升传统召回指标，更重要的是提升法律任务特有指标。例如 facet_coverage 的提升说明系统能够覆盖更多必要法律维度，abstention_accuracy 的提升说明系统更能识别实时空域、临时管制和具体审批结果等静态语料无法直接判断的问题，false_safe_rate 的下降说明系统更少把高风险问题误判为安全可行。</w:t>
      </w:r>
    </w:p>
    <w:p>
      <w:pPr>
        <w:pStyle w:val="Heading2"/>
      </w:pPr>
      <w:r>
        <w:rPr>
          <w:rFonts w:ascii="黑体" w:hAnsi="黑体" w:eastAsia="黑体"/>
          <w:b/>
          <w:sz w:val="24"/>
        </w:rPr>
        <w:t>8.2 案例责任预测自动指标结果</w:t>
      </w:r>
    </w:p>
    <w:p>
      <w:pPr>
        <w:spacing w:line="324" w:lineRule="auto" w:after="80"/>
        <w:ind w:firstLine="440"/>
      </w:pPr>
      <w:r>
        <w:rPr>
          <w:rFonts w:ascii="宋体" w:hAnsi="宋体" w:eastAsia="宋体"/>
          <w:sz w:val="22"/>
        </w:rPr>
        <w:t>案例责任预测任务显示，仅依靠通用低空经济法规语料难以稳定召回裁判所需的侵权、刑事、产品和保险责任依据。通用法规 TARRAG 基线的 R@10 仅为 0.1000，nDCG@10 为 0.1361。加入案例责任规则语料后，norm 覆盖提升到 1.0000，但关键证据排序仍有限。加入案例证据路由后，R@10 提升到 0.9000，nDCG@10 提升到 0.9499。完整方法加入规则边界消解后，R@10 达到 0.9167，nDCG@10 达到 0.9498，引用精度达到 0.9849，未来规则误用保持为 0.0000。</w:t>
      </w:r>
    </w:p>
    <w:p>
      <w:pPr>
        <w:spacing w:after="60"/>
        <w:jc w:val="center"/>
      </w:pPr>
      <w:r>
        <w:rPr>
          <w:rFonts w:ascii="黑体" w:hAnsi="黑体" w:eastAsia="黑体"/>
          <w:b/>
          <w:sz w:val="20"/>
        </w:rPr>
        <w:t>表6  案例责任预测自动指标结果</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fill="D9EAF7"/>
            <w:vAlign w:val="center"/>
          </w:tcPr>
          <w:p>
            <w:pPr>
              <w:spacing w:after="0" w:line="264" w:lineRule="auto"/>
            </w:pPr>
            <w:r/>
            <w:r>
              <w:rPr>
                <w:rFonts w:ascii="宋体" w:hAnsi="宋体" w:eastAsia="宋体"/>
                <w:b/>
                <w:sz w:val="15"/>
              </w:rPr>
              <w:t>方法设置</w:t>
            </w:r>
          </w:p>
        </w:tc>
        <w:tc>
          <w:tcPr>
            <w:tcW w:type="dxa" w:w="1344"/>
            <w:shd w:fill="D9EAF7"/>
            <w:vAlign w:val="center"/>
          </w:tcPr>
          <w:p>
            <w:pPr>
              <w:spacing w:after="0" w:line="264" w:lineRule="auto"/>
            </w:pPr>
            <w:r/>
            <w:r>
              <w:rPr>
                <w:rFonts w:ascii="宋体" w:hAnsi="宋体" w:eastAsia="宋体"/>
                <w:b/>
                <w:sz w:val="15"/>
              </w:rPr>
              <w:t>R@5</w:t>
            </w:r>
          </w:p>
        </w:tc>
        <w:tc>
          <w:tcPr>
            <w:tcW w:type="dxa" w:w="1344"/>
            <w:shd w:fill="D9EAF7"/>
            <w:vAlign w:val="center"/>
          </w:tcPr>
          <w:p>
            <w:pPr>
              <w:spacing w:after="0" w:line="264" w:lineRule="auto"/>
            </w:pPr>
            <w:r/>
            <w:r>
              <w:rPr>
                <w:rFonts w:ascii="宋体" w:hAnsi="宋体" w:eastAsia="宋体"/>
                <w:b/>
                <w:sz w:val="15"/>
              </w:rPr>
              <w:t>R@10</w:t>
            </w:r>
          </w:p>
        </w:tc>
        <w:tc>
          <w:tcPr>
            <w:tcW w:type="dxa" w:w="1344"/>
            <w:shd w:fill="D9EAF7"/>
            <w:vAlign w:val="center"/>
          </w:tcPr>
          <w:p>
            <w:pPr>
              <w:spacing w:after="0" w:line="264" w:lineRule="auto"/>
            </w:pPr>
            <w:r/>
            <w:r>
              <w:rPr>
                <w:rFonts w:ascii="宋体" w:hAnsi="宋体" w:eastAsia="宋体"/>
                <w:b/>
                <w:sz w:val="15"/>
              </w:rPr>
              <w:t>nDCG@10</w:t>
            </w:r>
          </w:p>
        </w:tc>
        <w:tc>
          <w:tcPr>
            <w:tcW w:type="dxa" w:w="1344"/>
            <w:shd w:fill="D9EAF7"/>
            <w:vAlign w:val="center"/>
          </w:tcPr>
          <w:p>
            <w:pPr>
              <w:spacing w:after="0" w:line="264" w:lineRule="auto"/>
            </w:pPr>
            <w:r/>
            <w:r>
              <w:rPr>
                <w:rFonts w:ascii="宋体" w:hAnsi="宋体" w:eastAsia="宋体"/>
                <w:b/>
                <w:sz w:val="15"/>
              </w:rPr>
              <w:t>facet 覆盖</w:t>
            </w:r>
          </w:p>
        </w:tc>
        <w:tc>
          <w:tcPr>
            <w:tcW w:type="dxa" w:w="1344"/>
            <w:shd w:fill="D9EAF7"/>
            <w:vAlign w:val="center"/>
          </w:tcPr>
          <w:p>
            <w:pPr>
              <w:spacing w:after="0" w:line="264" w:lineRule="auto"/>
            </w:pPr>
            <w:r/>
            <w:r>
              <w:rPr>
                <w:rFonts w:ascii="宋体" w:hAnsi="宋体" w:eastAsia="宋体"/>
                <w:b/>
                <w:sz w:val="15"/>
              </w:rPr>
              <w:t>norm 覆盖</w:t>
            </w:r>
          </w:p>
        </w:tc>
        <w:tc>
          <w:tcPr>
            <w:tcW w:type="dxa" w:w="1344"/>
            <w:shd w:fill="D9EAF7"/>
            <w:vAlign w:val="center"/>
          </w:tcPr>
          <w:p>
            <w:pPr>
              <w:spacing w:after="0" w:line="264" w:lineRule="auto"/>
            </w:pPr>
            <w:r/>
            <w:r>
              <w:rPr>
                <w:rFonts w:ascii="宋体" w:hAnsi="宋体" w:eastAsia="宋体"/>
                <w:b/>
                <w:sz w:val="15"/>
              </w:rPr>
              <w:t>引用精度</w:t>
            </w:r>
          </w:p>
        </w:tc>
      </w:tr>
      <w:tr>
        <w:tc>
          <w:tcPr>
            <w:tcW w:type="dxa" w:w="1344"/>
            <w:vAlign w:val="center"/>
          </w:tcPr>
          <w:p>
            <w:pPr>
              <w:spacing w:after="0"/>
            </w:pPr>
            <w:r/>
            <w:r>
              <w:rPr>
                <w:rFonts w:ascii="宋体" w:hAnsi="宋体" w:eastAsia="宋体"/>
                <w:b w:val="0"/>
                <w:sz w:val="16"/>
              </w:rPr>
              <w:t>通用法规基线</w:t>
            </w:r>
          </w:p>
        </w:tc>
        <w:tc>
          <w:tcPr>
            <w:tcW w:type="dxa" w:w="1344"/>
            <w:vAlign w:val="center"/>
          </w:tcPr>
          <w:p>
            <w:pPr>
              <w:spacing w:after="0" w:line="264" w:lineRule="auto"/>
            </w:pPr>
            <w:r/>
            <w:r>
              <w:rPr>
                <w:rFonts w:ascii="宋体" w:hAnsi="宋体" w:eastAsia="宋体"/>
                <w:b w:val="0"/>
                <w:sz w:val="15"/>
              </w:rPr>
              <w:t>0.1000</w:t>
            </w:r>
          </w:p>
        </w:tc>
        <w:tc>
          <w:tcPr>
            <w:tcW w:type="dxa" w:w="1344"/>
            <w:vAlign w:val="center"/>
          </w:tcPr>
          <w:p>
            <w:pPr>
              <w:spacing w:after="0" w:line="264" w:lineRule="auto"/>
            </w:pPr>
            <w:r/>
            <w:r>
              <w:rPr>
                <w:rFonts w:ascii="宋体" w:hAnsi="宋体" w:eastAsia="宋体"/>
                <w:b w:val="0"/>
                <w:sz w:val="15"/>
              </w:rPr>
              <w:t>0.1000</w:t>
            </w:r>
          </w:p>
        </w:tc>
        <w:tc>
          <w:tcPr>
            <w:tcW w:type="dxa" w:w="1344"/>
            <w:vAlign w:val="center"/>
          </w:tcPr>
          <w:p>
            <w:pPr>
              <w:spacing w:after="0" w:line="264" w:lineRule="auto"/>
            </w:pPr>
            <w:r/>
            <w:r>
              <w:rPr>
                <w:rFonts w:ascii="宋体" w:hAnsi="宋体" w:eastAsia="宋体"/>
                <w:b w:val="0"/>
                <w:sz w:val="15"/>
              </w:rPr>
              <w:t>0.1361</w:t>
            </w:r>
          </w:p>
        </w:tc>
        <w:tc>
          <w:tcPr>
            <w:tcW w:type="dxa" w:w="1344"/>
            <w:vAlign w:val="center"/>
          </w:tcPr>
          <w:p>
            <w:pPr>
              <w:spacing w:after="0" w:line="264" w:lineRule="auto"/>
            </w:pPr>
            <w:r/>
            <w:r>
              <w:rPr>
                <w:rFonts w:ascii="宋体" w:hAnsi="宋体" w:eastAsia="宋体"/>
                <w:b w:val="0"/>
                <w:sz w:val="15"/>
              </w:rPr>
              <w:t>0.6511</w:t>
            </w:r>
          </w:p>
        </w:tc>
        <w:tc>
          <w:tcPr>
            <w:tcW w:type="dxa" w:w="1344"/>
            <w:vAlign w:val="center"/>
          </w:tcPr>
          <w:p>
            <w:pPr>
              <w:spacing w:after="0" w:line="264" w:lineRule="auto"/>
            </w:pPr>
            <w:r/>
            <w:r>
              <w:rPr>
                <w:rFonts w:ascii="宋体" w:hAnsi="宋体" w:eastAsia="宋体"/>
                <w:b w:val="0"/>
                <w:sz w:val="15"/>
              </w:rPr>
              <w:t>0.5222</w:t>
            </w:r>
          </w:p>
        </w:tc>
        <w:tc>
          <w:tcPr>
            <w:tcW w:type="dxa" w:w="1344"/>
            <w:vAlign w:val="center"/>
          </w:tcPr>
          <w:p>
            <w:pPr>
              <w:spacing w:after="0" w:line="264" w:lineRule="auto"/>
            </w:pPr>
            <w:r/>
            <w:r>
              <w:rPr>
                <w:rFonts w:ascii="宋体" w:hAnsi="宋体" w:eastAsia="宋体"/>
                <w:b w:val="0"/>
                <w:sz w:val="15"/>
              </w:rPr>
              <w:t>0.8524</w:t>
            </w:r>
          </w:p>
        </w:tc>
      </w:tr>
      <w:tr>
        <w:tc>
          <w:tcPr>
            <w:tcW w:type="dxa" w:w="1344"/>
            <w:vAlign w:val="center"/>
          </w:tcPr>
          <w:p>
            <w:pPr>
              <w:spacing w:after="0"/>
            </w:pPr>
            <w:r/>
            <w:r>
              <w:rPr>
                <w:rFonts w:ascii="宋体" w:hAnsi="宋体" w:eastAsia="宋体"/>
                <w:b w:val="0"/>
                <w:sz w:val="16"/>
              </w:rPr>
              <w:t>+ 责任规则语料</w:t>
            </w:r>
          </w:p>
        </w:tc>
        <w:tc>
          <w:tcPr>
            <w:tcW w:type="dxa" w:w="1344"/>
            <w:vAlign w:val="center"/>
          </w:tcPr>
          <w:p>
            <w:pPr>
              <w:spacing w:after="0" w:line="264" w:lineRule="auto"/>
            </w:pPr>
            <w:r/>
            <w:r>
              <w:rPr>
                <w:rFonts w:ascii="宋体" w:hAnsi="宋体" w:eastAsia="宋体"/>
                <w:b w:val="0"/>
                <w:sz w:val="15"/>
              </w:rPr>
              <w:t>0.3444</w:t>
            </w:r>
          </w:p>
        </w:tc>
        <w:tc>
          <w:tcPr>
            <w:tcW w:type="dxa" w:w="1344"/>
            <w:vAlign w:val="center"/>
          </w:tcPr>
          <w:p>
            <w:pPr>
              <w:spacing w:after="0" w:line="264" w:lineRule="auto"/>
            </w:pPr>
            <w:r/>
            <w:r>
              <w:rPr>
                <w:rFonts w:ascii="宋体" w:hAnsi="宋体" w:eastAsia="宋体"/>
                <w:b w:val="0"/>
                <w:sz w:val="15"/>
              </w:rPr>
              <w:t>0.4333</w:t>
            </w:r>
          </w:p>
        </w:tc>
        <w:tc>
          <w:tcPr>
            <w:tcW w:type="dxa" w:w="1344"/>
            <w:vAlign w:val="center"/>
          </w:tcPr>
          <w:p>
            <w:pPr>
              <w:spacing w:after="0" w:line="264" w:lineRule="auto"/>
            </w:pPr>
            <w:r/>
            <w:r>
              <w:rPr>
                <w:rFonts w:ascii="宋体" w:hAnsi="宋体" w:eastAsia="宋体"/>
                <w:b w:val="0"/>
                <w:sz w:val="15"/>
              </w:rPr>
              <w:t>0.3676</w:t>
            </w:r>
          </w:p>
        </w:tc>
        <w:tc>
          <w:tcPr>
            <w:tcW w:type="dxa" w:w="1344"/>
            <w:vAlign w:val="center"/>
          </w:tcPr>
          <w:p>
            <w:pPr>
              <w:spacing w:after="0" w:line="264" w:lineRule="auto"/>
            </w:pPr>
            <w:r/>
            <w:r>
              <w:rPr>
                <w:rFonts w:ascii="宋体" w:hAnsi="宋体" w:eastAsia="宋体"/>
                <w:b w:val="0"/>
                <w:sz w:val="15"/>
              </w:rPr>
              <w:t>0.4722</w:t>
            </w:r>
          </w:p>
        </w:tc>
        <w:tc>
          <w:tcPr>
            <w:tcW w:type="dxa" w:w="1344"/>
            <w:vAlign w:val="center"/>
          </w:tcPr>
          <w:p>
            <w:pPr>
              <w:spacing w:after="0" w:line="264" w:lineRule="auto"/>
            </w:pPr>
            <w:r/>
            <w:r>
              <w:rPr>
                <w:rFonts w:ascii="宋体" w:hAnsi="宋体" w:eastAsia="宋体"/>
                <w:b w:val="0"/>
                <w:sz w:val="15"/>
              </w:rPr>
              <w:t>1.0000</w:t>
            </w:r>
          </w:p>
        </w:tc>
        <w:tc>
          <w:tcPr>
            <w:tcW w:type="dxa" w:w="1344"/>
            <w:vAlign w:val="center"/>
          </w:tcPr>
          <w:p>
            <w:pPr>
              <w:spacing w:after="0" w:line="264" w:lineRule="auto"/>
            </w:pPr>
            <w:r/>
            <w:r>
              <w:rPr>
                <w:rFonts w:ascii="宋体" w:hAnsi="宋体" w:eastAsia="宋体"/>
                <w:b w:val="0"/>
                <w:sz w:val="15"/>
              </w:rPr>
              <w:t>0.8467</w:t>
            </w:r>
          </w:p>
        </w:tc>
      </w:tr>
      <w:tr>
        <w:tc>
          <w:tcPr>
            <w:tcW w:type="dxa" w:w="1344"/>
            <w:vAlign w:val="center"/>
          </w:tcPr>
          <w:p>
            <w:pPr>
              <w:spacing w:after="0"/>
            </w:pPr>
            <w:r/>
            <w:r>
              <w:rPr>
                <w:rFonts w:ascii="宋体" w:hAnsi="宋体" w:eastAsia="宋体"/>
                <w:b w:val="0"/>
                <w:sz w:val="16"/>
              </w:rPr>
              <w:t>+ 责任预测提示</w:t>
            </w:r>
          </w:p>
        </w:tc>
        <w:tc>
          <w:tcPr>
            <w:tcW w:type="dxa" w:w="1344"/>
            <w:vAlign w:val="center"/>
          </w:tcPr>
          <w:p>
            <w:pPr>
              <w:spacing w:after="0" w:line="264" w:lineRule="auto"/>
            </w:pPr>
            <w:r/>
            <w:r>
              <w:rPr>
                <w:rFonts w:ascii="宋体" w:hAnsi="宋体" w:eastAsia="宋体"/>
                <w:b w:val="0"/>
                <w:sz w:val="15"/>
              </w:rPr>
              <w:t>0.3444</w:t>
            </w:r>
          </w:p>
        </w:tc>
        <w:tc>
          <w:tcPr>
            <w:tcW w:type="dxa" w:w="1344"/>
            <w:vAlign w:val="center"/>
          </w:tcPr>
          <w:p>
            <w:pPr>
              <w:spacing w:after="0" w:line="264" w:lineRule="auto"/>
            </w:pPr>
            <w:r/>
            <w:r>
              <w:rPr>
                <w:rFonts w:ascii="宋体" w:hAnsi="宋体" w:eastAsia="宋体"/>
                <w:b w:val="0"/>
                <w:sz w:val="15"/>
              </w:rPr>
              <w:t>0.4000</w:t>
            </w:r>
          </w:p>
        </w:tc>
        <w:tc>
          <w:tcPr>
            <w:tcW w:type="dxa" w:w="1344"/>
            <w:vAlign w:val="center"/>
          </w:tcPr>
          <w:p>
            <w:pPr>
              <w:spacing w:after="0" w:line="264" w:lineRule="auto"/>
            </w:pPr>
            <w:r/>
            <w:r>
              <w:rPr>
                <w:rFonts w:ascii="宋体" w:hAnsi="宋体" w:eastAsia="宋体"/>
                <w:b w:val="0"/>
                <w:sz w:val="15"/>
              </w:rPr>
              <w:t>0.3439</w:t>
            </w:r>
          </w:p>
        </w:tc>
        <w:tc>
          <w:tcPr>
            <w:tcW w:type="dxa" w:w="1344"/>
            <w:vAlign w:val="center"/>
          </w:tcPr>
          <w:p>
            <w:pPr>
              <w:spacing w:after="0" w:line="264" w:lineRule="auto"/>
            </w:pPr>
            <w:r/>
            <w:r>
              <w:rPr>
                <w:rFonts w:ascii="宋体" w:hAnsi="宋体" w:eastAsia="宋体"/>
                <w:b w:val="0"/>
                <w:sz w:val="15"/>
              </w:rPr>
              <w:t>0.4722</w:t>
            </w:r>
          </w:p>
        </w:tc>
        <w:tc>
          <w:tcPr>
            <w:tcW w:type="dxa" w:w="1344"/>
            <w:vAlign w:val="center"/>
          </w:tcPr>
          <w:p>
            <w:pPr>
              <w:spacing w:after="0" w:line="264" w:lineRule="auto"/>
            </w:pPr>
            <w:r/>
            <w:r>
              <w:rPr>
                <w:rFonts w:ascii="宋体" w:hAnsi="宋体" w:eastAsia="宋体"/>
                <w:b w:val="0"/>
                <w:sz w:val="15"/>
              </w:rPr>
              <w:t>1.0000</w:t>
            </w:r>
          </w:p>
        </w:tc>
        <w:tc>
          <w:tcPr>
            <w:tcW w:type="dxa" w:w="1344"/>
            <w:vAlign w:val="center"/>
          </w:tcPr>
          <w:p>
            <w:pPr>
              <w:spacing w:after="0" w:line="264" w:lineRule="auto"/>
            </w:pPr>
            <w:r/>
            <w:r>
              <w:rPr>
                <w:rFonts w:ascii="宋体" w:hAnsi="宋体" w:eastAsia="宋体"/>
                <w:b w:val="0"/>
                <w:sz w:val="15"/>
              </w:rPr>
              <w:t>0.8965</w:t>
            </w:r>
          </w:p>
        </w:tc>
      </w:tr>
      <w:tr>
        <w:tc>
          <w:tcPr>
            <w:tcW w:type="dxa" w:w="1344"/>
            <w:vAlign w:val="center"/>
          </w:tcPr>
          <w:p>
            <w:pPr>
              <w:spacing w:after="0"/>
            </w:pPr>
            <w:r/>
            <w:r>
              <w:rPr>
                <w:rFonts w:ascii="宋体" w:hAnsi="宋体" w:eastAsia="宋体"/>
                <w:b w:val="0"/>
                <w:sz w:val="16"/>
              </w:rPr>
              <w:t>+ 责任证据路由</w:t>
            </w:r>
          </w:p>
        </w:tc>
        <w:tc>
          <w:tcPr>
            <w:tcW w:type="dxa" w:w="1344"/>
            <w:vAlign w:val="center"/>
          </w:tcPr>
          <w:p>
            <w:pPr>
              <w:spacing w:after="0" w:line="264" w:lineRule="auto"/>
            </w:pPr>
            <w:r/>
            <w:r>
              <w:rPr>
                <w:rFonts w:ascii="宋体" w:hAnsi="宋体" w:eastAsia="宋体"/>
                <w:b w:val="0"/>
                <w:sz w:val="15"/>
              </w:rPr>
              <w:t>0.6278</w:t>
            </w:r>
          </w:p>
        </w:tc>
        <w:tc>
          <w:tcPr>
            <w:tcW w:type="dxa" w:w="1344"/>
            <w:vAlign w:val="center"/>
          </w:tcPr>
          <w:p>
            <w:pPr>
              <w:spacing w:after="0" w:line="264" w:lineRule="auto"/>
            </w:pPr>
            <w:r/>
            <w:r>
              <w:rPr>
                <w:rFonts w:ascii="宋体" w:hAnsi="宋体" w:eastAsia="宋体"/>
                <w:b w:val="0"/>
                <w:sz w:val="15"/>
              </w:rPr>
              <w:t>0.9000</w:t>
            </w:r>
          </w:p>
        </w:tc>
        <w:tc>
          <w:tcPr>
            <w:tcW w:type="dxa" w:w="1344"/>
            <w:vAlign w:val="center"/>
          </w:tcPr>
          <w:p>
            <w:pPr>
              <w:spacing w:after="0" w:line="264" w:lineRule="auto"/>
            </w:pPr>
            <w:r/>
            <w:r>
              <w:rPr>
                <w:rFonts w:ascii="宋体" w:hAnsi="宋体" w:eastAsia="宋体"/>
                <w:b w:val="0"/>
                <w:sz w:val="15"/>
              </w:rPr>
              <w:t>0.9499</w:t>
            </w:r>
          </w:p>
        </w:tc>
        <w:tc>
          <w:tcPr>
            <w:tcW w:type="dxa" w:w="1344"/>
            <w:vAlign w:val="center"/>
          </w:tcPr>
          <w:p>
            <w:pPr>
              <w:spacing w:after="0" w:line="264" w:lineRule="auto"/>
            </w:pPr>
            <w:r/>
            <w:r>
              <w:rPr>
                <w:rFonts w:ascii="宋体" w:hAnsi="宋体" w:eastAsia="宋体"/>
                <w:b w:val="0"/>
                <w:sz w:val="15"/>
              </w:rPr>
              <w:t>0.5956</w:t>
            </w:r>
          </w:p>
        </w:tc>
        <w:tc>
          <w:tcPr>
            <w:tcW w:type="dxa" w:w="1344"/>
            <w:vAlign w:val="center"/>
          </w:tcPr>
          <w:p>
            <w:pPr>
              <w:spacing w:after="0" w:line="264" w:lineRule="auto"/>
            </w:pPr>
            <w:r/>
            <w:r>
              <w:rPr>
                <w:rFonts w:ascii="宋体" w:hAnsi="宋体" w:eastAsia="宋体"/>
                <w:b w:val="0"/>
                <w:sz w:val="15"/>
              </w:rPr>
              <w:t>1.0000</w:t>
            </w:r>
          </w:p>
        </w:tc>
        <w:tc>
          <w:tcPr>
            <w:tcW w:type="dxa" w:w="1344"/>
            <w:vAlign w:val="center"/>
          </w:tcPr>
          <w:p>
            <w:pPr>
              <w:spacing w:after="0" w:line="264" w:lineRule="auto"/>
            </w:pPr>
            <w:r/>
            <w:r>
              <w:rPr>
                <w:rFonts w:ascii="宋体" w:hAnsi="宋体" w:eastAsia="宋体"/>
                <w:b w:val="0"/>
                <w:sz w:val="15"/>
              </w:rPr>
              <w:t>0.9714</w:t>
            </w:r>
          </w:p>
        </w:tc>
      </w:tr>
      <w:tr>
        <w:tc>
          <w:tcPr>
            <w:tcW w:type="dxa" w:w="1344"/>
            <w:vAlign w:val="center"/>
          </w:tcPr>
          <w:p>
            <w:pPr>
              <w:spacing w:after="0"/>
            </w:pPr>
            <w:r/>
            <w:r>
              <w:rPr>
                <w:rFonts w:ascii="宋体" w:hAnsi="宋体" w:eastAsia="宋体"/>
                <w:b w:val="0"/>
                <w:sz w:val="16"/>
              </w:rPr>
              <w:t>完整方法</w:t>
            </w:r>
          </w:p>
        </w:tc>
        <w:tc>
          <w:tcPr>
            <w:tcW w:type="dxa" w:w="1344"/>
            <w:vAlign w:val="center"/>
          </w:tcPr>
          <w:p>
            <w:pPr>
              <w:spacing w:after="0" w:line="264" w:lineRule="auto"/>
            </w:pPr>
            <w:r/>
            <w:r>
              <w:rPr>
                <w:rFonts w:ascii="宋体" w:hAnsi="宋体" w:eastAsia="宋体"/>
                <w:b w:val="0"/>
                <w:sz w:val="15"/>
              </w:rPr>
              <w:t>0.6278</w:t>
            </w:r>
          </w:p>
        </w:tc>
        <w:tc>
          <w:tcPr>
            <w:tcW w:type="dxa" w:w="1344"/>
            <w:vAlign w:val="center"/>
          </w:tcPr>
          <w:p>
            <w:pPr>
              <w:spacing w:after="0" w:line="264" w:lineRule="auto"/>
            </w:pPr>
            <w:r/>
            <w:r>
              <w:rPr>
                <w:rFonts w:ascii="宋体" w:hAnsi="宋体" w:eastAsia="宋体"/>
                <w:b w:val="0"/>
                <w:sz w:val="15"/>
              </w:rPr>
              <w:t>0.9167</w:t>
            </w:r>
          </w:p>
        </w:tc>
        <w:tc>
          <w:tcPr>
            <w:tcW w:type="dxa" w:w="1344"/>
            <w:vAlign w:val="center"/>
          </w:tcPr>
          <w:p>
            <w:pPr>
              <w:spacing w:after="0" w:line="264" w:lineRule="auto"/>
            </w:pPr>
            <w:r/>
            <w:r>
              <w:rPr>
                <w:rFonts w:ascii="宋体" w:hAnsi="宋体" w:eastAsia="宋体"/>
                <w:b w:val="0"/>
                <w:sz w:val="15"/>
              </w:rPr>
              <w:t>0.9498</w:t>
            </w:r>
          </w:p>
        </w:tc>
        <w:tc>
          <w:tcPr>
            <w:tcW w:type="dxa" w:w="1344"/>
            <w:vAlign w:val="center"/>
          </w:tcPr>
          <w:p>
            <w:pPr>
              <w:spacing w:after="0" w:line="264" w:lineRule="auto"/>
            </w:pPr>
            <w:r/>
            <w:r>
              <w:rPr>
                <w:rFonts w:ascii="宋体" w:hAnsi="宋体" w:eastAsia="宋体"/>
                <w:b w:val="0"/>
                <w:sz w:val="15"/>
              </w:rPr>
              <w:t>0.6400</w:t>
            </w:r>
          </w:p>
        </w:tc>
        <w:tc>
          <w:tcPr>
            <w:tcW w:type="dxa" w:w="1344"/>
            <w:vAlign w:val="center"/>
          </w:tcPr>
          <w:p>
            <w:pPr>
              <w:spacing w:after="0" w:line="264" w:lineRule="auto"/>
            </w:pPr>
            <w:r/>
            <w:r>
              <w:rPr>
                <w:rFonts w:ascii="宋体" w:hAnsi="宋体" w:eastAsia="宋体"/>
                <w:b w:val="0"/>
                <w:sz w:val="15"/>
              </w:rPr>
              <w:t>1.0000</w:t>
            </w:r>
          </w:p>
        </w:tc>
        <w:tc>
          <w:tcPr>
            <w:tcW w:type="dxa" w:w="1344"/>
            <w:vAlign w:val="center"/>
          </w:tcPr>
          <w:p>
            <w:pPr>
              <w:spacing w:after="0" w:line="264" w:lineRule="auto"/>
            </w:pPr>
            <w:r/>
            <w:r>
              <w:rPr>
                <w:rFonts w:ascii="宋体" w:hAnsi="宋体" w:eastAsia="宋体"/>
                <w:b w:val="0"/>
                <w:sz w:val="15"/>
              </w:rPr>
              <w:t>0.9849</w:t>
            </w:r>
          </w:p>
        </w:tc>
      </w:tr>
    </w:tbl>
    <w:p>
      <w:pPr>
        <w:spacing w:after="0"/>
      </w:pPr>
    </w:p>
    <w:p>
      <w:pPr>
        <w:spacing w:line="324" w:lineRule="auto" w:after="80"/>
        <w:ind w:firstLine="440"/>
      </w:pPr>
      <w:r>
        <w:rPr>
          <w:rFonts w:ascii="宋体" w:hAnsi="宋体" w:eastAsia="宋体"/>
          <w:sz w:val="22"/>
        </w:rPr>
        <w:t>从模块作用看，责任规则语料主要解决“有没有相关责任规范”的问题，案例 facet 主要解决“问题属于哪类责任”的问题，案例证据路由主要解决“关键责任证据能否进入前列”的问题，规则边界消解则解决“找到证据后是否会被正确适用”的问题。该结果表明，案例责任预测不能只依靠更大的语料或更强的模型，还需要面向法律推理过程进行结构化设计。</w:t>
      </w:r>
    </w:p>
    <w:p>
      <w:r>
        <w:br w:type="page"/>
      </w:r>
    </w:p>
    <w:p>
      <w:pPr>
        <w:pStyle w:val="Heading2"/>
      </w:pPr>
      <w:r>
        <w:rPr>
          <w:rFonts w:ascii="黑体" w:hAnsi="黑体" w:eastAsia="黑体"/>
          <w:b/>
          <w:sz w:val="24"/>
        </w:rPr>
        <w:t>8.3 案例裁判一致性结果</w:t>
      </w:r>
    </w:p>
    <w:p>
      <w:pPr>
        <w:spacing w:line="324" w:lineRule="auto" w:after="80"/>
        <w:ind w:firstLine="440"/>
      </w:pPr>
      <w:r>
        <w:rPr>
          <w:rFonts w:ascii="宋体" w:hAnsi="宋体" w:eastAsia="宋体"/>
          <w:sz w:val="22"/>
        </w:rPr>
        <w:t>LLM-as-judge 结果进一步说明，证据召回提升并不自动等于责任判断准确。通用法规 TARRAG 基线的 outcome_match 为 0.5000，liability_allocation_accuracy 为 0.5000，综合评分为 3.0667。加入案例 facet 与责任预测提示后，案件类型识别和初步责任方向明显改善；加入案例证据路由后，检索召回显著提高，但责任分配和综合评分出现短暂回落，说明模型面对更多责任证据时仍可能误判责任比例或主体边界。完整方法加入规则边界消解后，outcome_match 达到 0.7000，liability_allocation_accuracy 达到 0.7333，remedy_accuracy 达到 0.8000，综合评分达到 3.6000。</w:t>
      </w:r>
    </w:p>
    <w:p>
      <w:pPr>
        <w:spacing w:after="60"/>
        <w:jc w:val="center"/>
      </w:pPr>
      <w:r>
        <w:rPr>
          <w:rFonts w:ascii="黑体" w:hAnsi="黑体" w:eastAsia="黑体"/>
          <w:b/>
          <w:sz w:val="20"/>
        </w:rPr>
        <w:t>表7  案例裁判一致性评价结果</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fill="D9EAF7"/>
            <w:vAlign w:val="center"/>
          </w:tcPr>
          <w:p>
            <w:pPr>
              <w:spacing w:after="0" w:line="264" w:lineRule="auto"/>
            </w:pPr>
            <w:r/>
            <w:r>
              <w:rPr>
                <w:rFonts w:ascii="宋体" w:hAnsi="宋体" w:eastAsia="宋体"/>
                <w:b/>
                <w:sz w:val="15"/>
              </w:rPr>
              <w:t>方法设置</w:t>
            </w:r>
          </w:p>
        </w:tc>
        <w:tc>
          <w:tcPr>
            <w:tcW w:type="dxa" w:w="1568"/>
            <w:shd w:fill="D9EAF7"/>
            <w:vAlign w:val="center"/>
          </w:tcPr>
          <w:p>
            <w:pPr>
              <w:spacing w:after="0" w:line="264" w:lineRule="auto"/>
            </w:pPr>
            <w:r/>
            <w:r>
              <w:rPr>
                <w:rFonts w:ascii="宋体" w:hAnsi="宋体" w:eastAsia="宋体"/>
                <w:b/>
                <w:sz w:val="15"/>
              </w:rPr>
              <w:t>结果一致性</w:t>
            </w:r>
          </w:p>
        </w:tc>
        <w:tc>
          <w:tcPr>
            <w:tcW w:type="dxa" w:w="1568"/>
            <w:shd w:fill="D9EAF7"/>
            <w:vAlign w:val="center"/>
          </w:tcPr>
          <w:p>
            <w:pPr>
              <w:spacing w:after="0" w:line="264" w:lineRule="auto"/>
            </w:pPr>
            <w:r/>
            <w:r>
              <w:rPr>
                <w:rFonts w:ascii="宋体" w:hAnsi="宋体" w:eastAsia="宋体"/>
                <w:b/>
                <w:sz w:val="15"/>
              </w:rPr>
              <w:t>责任分配</w:t>
            </w:r>
          </w:p>
        </w:tc>
        <w:tc>
          <w:tcPr>
            <w:tcW w:type="dxa" w:w="1568"/>
            <w:shd w:fill="D9EAF7"/>
            <w:vAlign w:val="center"/>
          </w:tcPr>
          <w:p>
            <w:pPr>
              <w:spacing w:after="0" w:line="264" w:lineRule="auto"/>
            </w:pPr>
            <w:r/>
            <w:r>
              <w:rPr>
                <w:rFonts w:ascii="宋体" w:hAnsi="宋体" w:eastAsia="宋体"/>
                <w:b/>
                <w:sz w:val="15"/>
              </w:rPr>
              <w:t>案件类型</w:t>
            </w:r>
          </w:p>
        </w:tc>
        <w:tc>
          <w:tcPr>
            <w:tcW w:type="dxa" w:w="1568"/>
            <w:shd w:fill="D9EAF7"/>
            <w:vAlign w:val="center"/>
          </w:tcPr>
          <w:p>
            <w:pPr>
              <w:spacing w:after="0" w:line="264" w:lineRule="auto"/>
            </w:pPr>
            <w:r/>
            <w:r>
              <w:rPr>
                <w:rFonts w:ascii="宋体" w:hAnsi="宋体" w:eastAsia="宋体"/>
                <w:b/>
                <w:sz w:val="15"/>
              </w:rPr>
              <w:t>救济/法律效果</w:t>
            </w:r>
          </w:p>
        </w:tc>
        <w:tc>
          <w:tcPr>
            <w:tcW w:type="dxa" w:w="1568"/>
            <w:shd w:fill="D9EAF7"/>
            <w:vAlign w:val="center"/>
          </w:tcPr>
          <w:p>
            <w:pPr>
              <w:spacing w:after="0" w:line="264" w:lineRule="auto"/>
            </w:pPr>
            <w:r/>
            <w:r>
              <w:rPr>
                <w:rFonts w:ascii="宋体" w:hAnsi="宋体" w:eastAsia="宋体"/>
                <w:b/>
                <w:sz w:val="15"/>
              </w:rPr>
              <w:t>综合评分</w:t>
            </w:r>
          </w:p>
        </w:tc>
      </w:tr>
      <w:tr>
        <w:tc>
          <w:tcPr>
            <w:tcW w:type="dxa" w:w="1568"/>
            <w:vAlign w:val="center"/>
          </w:tcPr>
          <w:p>
            <w:pPr>
              <w:spacing w:after="0"/>
            </w:pPr>
            <w:r/>
            <w:r>
              <w:rPr>
                <w:rFonts w:ascii="宋体" w:hAnsi="宋体" w:eastAsia="宋体"/>
                <w:b w:val="0"/>
                <w:sz w:val="16"/>
              </w:rPr>
              <w:t>通用法规基线</w:t>
            </w:r>
          </w:p>
        </w:tc>
        <w:tc>
          <w:tcPr>
            <w:tcW w:type="dxa" w:w="1568"/>
            <w:vAlign w:val="center"/>
          </w:tcPr>
          <w:p>
            <w:pPr>
              <w:spacing w:after="0" w:line="264" w:lineRule="auto"/>
            </w:pPr>
            <w:r/>
            <w:r>
              <w:rPr>
                <w:rFonts w:ascii="宋体" w:hAnsi="宋体" w:eastAsia="宋体"/>
                <w:b w:val="0"/>
                <w:sz w:val="15"/>
              </w:rPr>
              <w:t>0.5000</w:t>
            </w:r>
          </w:p>
        </w:tc>
        <w:tc>
          <w:tcPr>
            <w:tcW w:type="dxa" w:w="1568"/>
            <w:vAlign w:val="center"/>
          </w:tcPr>
          <w:p>
            <w:pPr>
              <w:spacing w:after="0" w:line="264" w:lineRule="auto"/>
            </w:pPr>
            <w:r/>
            <w:r>
              <w:rPr>
                <w:rFonts w:ascii="宋体" w:hAnsi="宋体" w:eastAsia="宋体"/>
                <w:b w:val="0"/>
                <w:sz w:val="15"/>
              </w:rPr>
              <w:t>0.5000</w:t>
            </w:r>
          </w:p>
        </w:tc>
        <w:tc>
          <w:tcPr>
            <w:tcW w:type="dxa" w:w="1568"/>
            <w:vAlign w:val="center"/>
          </w:tcPr>
          <w:p>
            <w:pPr>
              <w:spacing w:after="0" w:line="264" w:lineRule="auto"/>
            </w:pPr>
            <w:r/>
            <w:r>
              <w:rPr>
                <w:rFonts w:ascii="宋体" w:hAnsi="宋体" w:eastAsia="宋体"/>
                <w:b w:val="0"/>
                <w:sz w:val="15"/>
              </w:rPr>
              <w:t>0.9333</w:t>
            </w:r>
          </w:p>
        </w:tc>
        <w:tc>
          <w:tcPr>
            <w:tcW w:type="dxa" w:w="1568"/>
            <w:vAlign w:val="center"/>
          </w:tcPr>
          <w:p>
            <w:pPr>
              <w:spacing w:after="0" w:line="264" w:lineRule="auto"/>
            </w:pPr>
            <w:r/>
            <w:r>
              <w:rPr>
                <w:rFonts w:ascii="宋体" w:hAnsi="宋体" w:eastAsia="宋体"/>
                <w:b w:val="0"/>
                <w:sz w:val="15"/>
              </w:rPr>
              <w:t>0.6667</w:t>
            </w:r>
          </w:p>
        </w:tc>
        <w:tc>
          <w:tcPr>
            <w:tcW w:type="dxa" w:w="1568"/>
            <w:vAlign w:val="center"/>
          </w:tcPr>
          <w:p>
            <w:pPr>
              <w:spacing w:after="0" w:line="264" w:lineRule="auto"/>
            </w:pPr>
            <w:r/>
            <w:r>
              <w:rPr>
                <w:rFonts w:ascii="宋体" w:hAnsi="宋体" w:eastAsia="宋体"/>
                <w:b w:val="0"/>
                <w:sz w:val="15"/>
              </w:rPr>
              <w:t>3.0667</w:t>
            </w:r>
          </w:p>
        </w:tc>
      </w:tr>
      <w:tr>
        <w:tc>
          <w:tcPr>
            <w:tcW w:type="dxa" w:w="1568"/>
            <w:vAlign w:val="center"/>
          </w:tcPr>
          <w:p>
            <w:pPr>
              <w:spacing w:after="0"/>
            </w:pPr>
            <w:r/>
            <w:r>
              <w:rPr>
                <w:rFonts w:ascii="宋体" w:hAnsi="宋体" w:eastAsia="宋体"/>
                <w:b w:val="0"/>
                <w:sz w:val="16"/>
              </w:rPr>
              <w:t>+ 责任规则语料</w:t>
            </w:r>
          </w:p>
        </w:tc>
        <w:tc>
          <w:tcPr>
            <w:tcW w:type="dxa" w:w="1568"/>
            <w:vAlign w:val="center"/>
          </w:tcPr>
          <w:p>
            <w:pPr>
              <w:spacing w:after="0" w:line="264" w:lineRule="auto"/>
            </w:pPr>
            <w:r/>
            <w:r>
              <w:rPr>
                <w:rFonts w:ascii="宋体" w:hAnsi="宋体" w:eastAsia="宋体"/>
                <w:b w:val="0"/>
                <w:sz w:val="15"/>
              </w:rPr>
              <w:t>0.5333</w:t>
            </w:r>
          </w:p>
        </w:tc>
        <w:tc>
          <w:tcPr>
            <w:tcW w:type="dxa" w:w="1568"/>
            <w:vAlign w:val="center"/>
          </w:tcPr>
          <w:p>
            <w:pPr>
              <w:spacing w:after="0" w:line="264" w:lineRule="auto"/>
            </w:pPr>
            <w:r/>
            <w:r>
              <w:rPr>
                <w:rFonts w:ascii="宋体" w:hAnsi="宋体" w:eastAsia="宋体"/>
                <w:b w:val="0"/>
                <w:sz w:val="15"/>
              </w:rPr>
              <w:t>0.6333</w:t>
            </w:r>
          </w:p>
        </w:tc>
        <w:tc>
          <w:tcPr>
            <w:tcW w:type="dxa" w:w="1568"/>
            <w:vAlign w:val="center"/>
          </w:tcPr>
          <w:p>
            <w:pPr>
              <w:spacing w:after="0" w:line="264" w:lineRule="auto"/>
            </w:pPr>
            <w:r/>
            <w:r>
              <w:rPr>
                <w:rFonts w:ascii="宋体" w:hAnsi="宋体" w:eastAsia="宋体"/>
                <w:b w:val="0"/>
                <w:sz w:val="15"/>
              </w:rPr>
              <w:t>0.8667</w:t>
            </w:r>
          </w:p>
        </w:tc>
        <w:tc>
          <w:tcPr>
            <w:tcW w:type="dxa" w:w="1568"/>
            <w:vAlign w:val="center"/>
          </w:tcPr>
          <w:p>
            <w:pPr>
              <w:spacing w:after="0" w:line="264" w:lineRule="auto"/>
            </w:pPr>
            <w:r/>
            <w:r>
              <w:rPr>
                <w:rFonts w:ascii="宋体" w:hAnsi="宋体" w:eastAsia="宋体"/>
                <w:b w:val="0"/>
                <w:sz w:val="15"/>
              </w:rPr>
              <w:t>0.6333</w:t>
            </w:r>
          </w:p>
        </w:tc>
        <w:tc>
          <w:tcPr>
            <w:tcW w:type="dxa" w:w="1568"/>
            <w:vAlign w:val="center"/>
          </w:tcPr>
          <w:p>
            <w:pPr>
              <w:spacing w:after="0" w:line="264" w:lineRule="auto"/>
            </w:pPr>
            <w:r/>
            <w:r>
              <w:rPr>
                <w:rFonts w:ascii="宋体" w:hAnsi="宋体" w:eastAsia="宋体"/>
                <w:b w:val="0"/>
                <w:sz w:val="15"/>
              </w:rPr>
              <w:t>3.2667</w:t>
            </w:r>
          </w:p>
        </w:tc>
      </w:tr>
      <w:tr>
        <w:tc>
          <w:tcPr>
            <w:tcW w:type="dxa" w:w="1568"/>
            <w:vAlign w:val="center"/>
          </w:tcPr>
          <w:p>
            <w:pPr>
              <w:spacing w:after="0"/>
            </w:pPr>
            <w:r/>
            <w:r>
              <w:rPr>
                <w:rFonts w:ascii="宋体" w:hAnsi="宋体" w:eastAsia="宋体"/>
                <w:b w:val="0"/>
                <w:sz w:val="16"/>
              </w:rPr>
              <w:t>+ 责任预测提示</w:t>
            </w:r>
          </w:p>
        </w:tc>
        <w:tc>
          <w:tcPr>
            <w:tcW w:type="dxa" w:w="1568"/>
            <w:vAlign w:val="center"/>
          </w:tcPr>
          <w:p>
            <w:pPr>
              <w:spacing w:after="0" w:line="264" w:lineRule="auto"/>
            </w:pPr>
            <w:r/>
            <w:r>
              <w:rPr>
                <w:rFonts w:ascii="宋体" w:hAnsi="宋体" w:eastAsia="宋体"/>
                <w:b w:val="0"/>
                <w:sz w:val="15"/>
              </w:rPr>
              <w:t>0.6667</w:t>
            </w:r>
          </w:p>
        </w:tc>
        <w:tc>
          <w:tcPr>
            <w:tcW w:type="dxa" w:w="1568"/>
            <w:vAlign w:val="center"/>
          </w:tcPr>
          <w:p>
            <w:pPr>
              <w:spacing w:after="0" w:line="264" w:lineRule="auto"/>
            </w:pPr>
            <w:r/>
            <w:r>
              <w:rPr>
                <w:rFonts w:ascii="宋体" w:hAnsi="宋体" w:eastAsia="宋体"/>
                <w:b w:val="0"/>
                <w:sz w:val="15"/>
              </w:rPr>
              <w:t>0.7000</w:t>
            </w:r>
          </w:p>
        </w:tc>
        <w:tc>
          <w:tcPr>
            <w:tcW w:type="dxa" w:w="1568"/>
            <w:vAlign w:val="center"/>
          </w:tcPr>
          <w:p>
            <w:pPr>
              <w:spacing w:after="0" w:line="264" w:lineRule="auto"/>
            </w:pPr>
            <w:r/>
            <w:r>
              <w:rPr>
                <w:rFonts w:ascii="宋体" w:hAnsi="宋体" w:eastAsia="宋体"/>
                <w:b w:val="0"/>
                <w:sz w:val="15"/>
              </w:rPr>
              <w:t>1.0000</w:t>
            </w:r>
          </w:p>
        </w:tc>
        <w:tc>
          <w:tcPr>
            <w:tcW w:type="dxa" w:w="1568"/>
            <w:vAlign w:val="center"/>
          </w:tcPr>
          <w:p>
            <w:pPr>
              <w:spacing w:after="0" w:line="264" w:lineRule="auto"/>
            </w:pPr>
            <w:r/>
            <w:r>
              <w:rPr>
                <w:rFonts w:ascii="宋体" w:hAnsi="宋体" w:eastAsia="宋体"/>
                <w:b w:val="0"/>
                <w:sz w:val="15"/>
              </w:rPr>
              <w:t>0.7000</w:t>
            </w:r>
          </w:p>
        </w:tc>
        <w:tc>
          <w:tcPr>
            <w:tcW w:type="dxa" w:w="1568"/>
            <w:vAlign w:val="center"/>
          </w:tcPr>
          <w:p>
            <w:pPr>
              <w:spacing w:after="0" w:line="264" w:lineRule="auto"/>
            </w:pPr>
            <w:r/>
            <w:r>
              <w:rPr>
                <w:rFonts w:ascii="宋体" w:hAnsi="宋体" w:eastAsia="宋体"/>
                <w:b w:val="0"/>
                <w:sz w:val="15"/>
              </w:rPr>
              <w:t>3.5333</w:t>
            </w:r>
          </w:p>
        </w:tc>
      </w:tr>
      <w:tr>
        <w:tc>
          <w:tcPr>
            <w:tcW w:type="dxa" w:w="1568"/>
            <w:vAlign w:val="center"/>
          </w:tcPr>
          <w:p>
            <w:pPr>
              <w:spacing w:after="0"/>
            </w:pPr>
            <w:r/>
            <w:r>
              <w:rPr>
                <w:rFonts w:ascii="宋体" w:hAnsi="宋体" w:eastAsia="宋体"/>
                <w:b w:val="0"/>
                <w:sz w:val="16"/>
              </w:rPr>
              <w:t>+ 责任证据路由</w:t>
            </w:r>
          </w:p>
        </w:tc>
        <w:tc>
          <w:tcPr>
            <w:tcW w:type="dxa" w:w="1568"/>
            <w:vAlign w:val="center"/>
          </w:tcPr>
          <w:p>
            <w:pPr>
              <w:spacing w:after="0" w:line="264" w:lineRule="auto"/>
            </w:pPr>
            <w:r/>
            <w:r>
              <w:rPr>
                <w:rFonts w:ascii="宋体" w:hAnsi="宋体" w:eastAsia="宋体"/>
                <w:b w:val="0"/>
                <w:sz w:val="15"/>
              </w:rPr>
              <w:t>0.6000</w:t>
            </w:r>
          </w:p>
        </w:tc>
        <w:tc>
          <w:tcPr>
            <w:tcW w:type="dxa" w:w="1568"/>
            <w:vAlign w:val="center"/>
          </w:tcPr>
          <w:p>
            <w:pPr>
              <w:spacing w:after="0" w:line="264" w:lineRule="auto"/>
            </w:pPr>
            <w:r/>
            <w:r>
              <w:rPr>
                <w:rFonts w:ascii="宋体" w:hAnsi="宋体" w:eastAsia="宋体"/>
                <w:b w:val="0"/>
                <w:sz w:val="15"/>
              </w:rPr>
              <w:t>0.6000</w:t>
            </w:r>
          </w:p>
        </w:tc>
        <w:tc>
          <w:tcPr>
            <w:tcW w:type="dxa" w:w="1568"/>
            <w:vAlign w:val="center"/>
          </w:tcPr>
          <w:p>
            <w:pPr>
              <w:spacing w:after="0" w:line="264" w:lineRule="auto"/>
            </w:pPr>
            <w:r/>
            <w:r>
              <w:rPr>
                <w:rFonts w:ascii="宋体" w:hAnsi="宋体" w:eastAsia="宋体"/>
                <w:b w:val="0"/>
                <w:sz w:val="15"/>
              </w:rPr>
              <w:t>1.0000</w:t>
            </w:r>
          </w:p>
        </w:tc>
        <w:tc>
          <w:tcPr>
            <w:tcW w:type="dxa" w:w="1568"/>
            <w:vAlign w:val="center"/>
          </w:tcPr>
          <w:p>
            <w:pPr>
              <w:spacing w:after="0" w:line="264" w:lineRule="auto"/>
            </w:pPr>
            <w:r/>
            <w:r>
              <w:rPr>
                <w:rFonts w:ascii="宋体" w:hAnsi="宋体" w:eastAsia="宋体"/>
                <w:b w:val="0"/>
                <w:sz w:val="15"/>
              </w:rPr>
              <w:t>0.7333</w:t>
            </w:r>
          </w:p>
        </w:tc>
        <w:tc>
          <w:tcPr>
            <w:tcW w:type="dxa" w:w="1568"/>
            <w:vAlign w:val="center"/>
          </w:tcPr>
          <w:p>
            <w:pPr>
              <w:spacing w:after="0" w:line="264" w:lineRule="auto"/>
            </w:pPr>
            <w:r/>
            <w:r>
              <w:rPr>
                <w:rFonts w:ascii="宋体" w:hAnsi="宋体" w:eastAsia="宋体"/>
                <w:b w:val="0"/>
                <w:sz w:val="15"/>
              </w:rPr>
              <w:t>3.4000</w:t>
            </w:r>
          </w:p>
        </w:tc>
      </w:tr>
      <w:tr>
        <w:tc>
          <w:tcPr>
            <w:tcW w:type="dxa" w:w="1568"/>
            <w:vAlign w:val="center"/>
          </w:tcPr>
          <w:p>
            <w:pPr>
              <w:spacing w:after="0"/>
            </w:pPr>
            <w:r/>
            <w:r>
              <w:rPr>
                <w:rFonts w:ascii="宋体" w:hAnsi="宋体" w:eastAsia="宋体"/>
                <w:b w:val="0"/>
                <w:sz w:val="16"/>
              </w:rPr>
              <w:t>完整方法</w:t>
            </w:r>
          </w:p>
        </w:tc>
        <w:tc>
          <w:tcPr>
            <w:tcW w:type="dxa" w:w="1568"/>
            <w:vAlign w:val="center"/>
          </w:tcPr>
          <w:p>
            <w:pPr>
              <w:spacing w:after="0" w:line="264" w:lineRule="auto"/>
            </w:pPr>
            <w:r/>
            <w:r>
              <w:rPr>
                <w:rFonts w:ascii="宋体" w:hAnsi="宋体" w:eastAsia="宋体"/>
                <w:b w:val="0"/>
                <w:sz w:val="15"/>
              </w:rPr>
              <w:t>0.7000</w:t>
            </w:r>
          </w:p>
        </w:tc>
        <w:tc>
          <w:tcPr>
            <w:tcW w:type="dxa" w:w="1568"/>
            <w:vAlign w:val="center"/>
          </w:tcPr>
          <w:p>
            <w:pPr>
              <w:spacing w:after="0" w:line="264" w:lineRule="auto"/>
            </w:pPr>
            <w:r/>
            <w:r>
              <w:rPr>
                <w:rFonts w:ascii="宋体" w:hAnsi="宋体" w:eastAsia="宋体"/>
                <w:b w:val="0"/>
                <w:sz w:val="15"/>
              </w:rPr>
              <w:t>0.7333</w:t>
            </w:r>
          </w:p>
        </w:tc>
        <w:tc>
          <w:tcPr>
            <w:tcW w:type="dxa" w:w="1568"/>
            <w:vAlign w:val="center"/>
          </w:tcPr>
          <w:p>
            <w:pPr>
              <w:spacing w:after="0" w:line="264" w:lineRule="auto"/>
            </w:pPr>
            <w:r/>
            <w:r>
              <w:rPr>
                <w:rFonts w:ascii="宋体" w:hAnsi="宋体" w:eastAsia="宋体"/>
                <w:b w:val="0"/>
                <w:sz w:val="15"/>
              </w:rPr>
              <w:t>0.9333</w:t>
            </w:r>
          </w:p>
        </w:tc>
        <w:tc>
          <w:tcPr>
            <w:tcW w:type="dxa" w:w="1568"/>
            <w:vAlign w:val="center"/>
          </w:tcPr>
          <w:p>
            <w:pPr>
              <w:spacing w:after="0" w:line="264" w:lineRule="auto"/>
            </w:pPr>
            <w:r/>
            <w:r>
              <w:rPr>
                <w:rFonts w:ascii="宋体" w:hAnsi="宋体" w:eastAsia="宋体"/>
                <w:b w:val="0"/>
                <w:sz w:val="15"/>
              </w:rPr>
              <w:t>0.8000</w:t>
            </w:r>
          </w:p>
        </w:tc>
        <w:tc>
          <w:tcPr>
            <w:tcW w:type="dxa" w:w="1568"/>
            <w:vAlign w:val="center"/>
          </w:tcPr>
          <w:p>
            <w:pPr>
              <w:spacing w:after="0" w:line="264" w:lineRule="auto"/>
            </w:pPr>
            <w:r/>
            <w:r>
              <w:rPr>
                <w:rFonts w:ascii="宋体" w:hAnsi="宋体" w:eastAsia="宋体"/>
                <w:b w:val="0"/>
                <w:sz w:val="15"/>
              </w:rPr>
              <w:t>3.6000</w:t>
            </w:r>
          </w:p>
        </w:tc>
      </w:tr>
    </w:tbl>
    <w:p>
      <w:pPr>
        <w:spacing w:after="0"/>
      </w:pPr>
    </w:p>
    <w:p>
      <w:pPr>
        <w:spacing w:line="324" w:lineRule="auto" w:after="80"/>
        <w:ind w:firstLine="440"/>
      </w:pPr>
      <w:r>
        <w:rPr>
          <w:rFonts w:ascii="宋体" w:hAnsi="宋体" w:eastAsia="宋体"/>
          <w:sz w:val="22"/>
        </w:rPr>
        <w:t>这一结果具有重要解释意义：法律案例推理的核心不是把所有相关依据堆给大模型，而是把依据放在正确的责任结构中。规则边界消解通过区分自行黑飞与提供破解工具、事故发生与产品缺陷、无人机方索赔与受害方索赔、定作人与承揽人、侵权责任与保险赔付顺序，使模型在多主体和复杂责任场景中更接近真实处理逻辑。</w:t>
      </w:r>
    </w:p>
    <w:p>
      <w:pPr>
        <w:pStyle w:val="Heading2"/>
      </w:pPr>
      <w:r>
        <w:rPr>
          <w:rFonts w:ascii="黑体" w:hAnsi="黑体" w:eastAsia="黑体"/>
          <w:b/>
          <w:sz w:val="24"/>
        </w:rPr>
        <w:t>8.4 错误类型变化</w:t>
      </w:r>
    </w:p>
    <w:p>
      <w:pPr>
        <w:spacing w:after="60"/>
        <w:jc w:val="center"/>
      </w:pPr>
      <w:r>
        <w:rPr>
          <w:rFonts w:ascii="黑体" w:hAnsi="黑体" w:eastAsia="黑体"/>
          <w:b/>
          <w:sz w:val="20"/>
        </w:rPr>
        <w:t>表8  错误类型变化</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fill="D9EAF7"/>
            <w:vAlign w:val="center"/>
          </w:tcPr>
          <w:p>
            <w:pPr>
              <w:spacing w:after="0" w:line="264" w:lineRule="auto"/>
            </w:pPr>
            <w:r/>
            <w:r>
              <w:rPr>
                <w:rFonts w:ascii="宋体" w:hAnsi="宋体" w:eastAsia="宋体"/>
                <w:b/>
                <w:sz w:val="15"/>
              </w:rPr>
              <w:t>错误类型</w:t>
            </w:r>
          </w:p>
        </w:tc>
        <w:tc>
          <w:tcPr>
            <w:tcW w:type="dxa" w:w="1881"/>
            <w:shd w:fill="D9EAF7"/>
            <w:vAlign w:val="center"/>
          </w:tcPr>
          <w:p>
            <w:pPr>
              <w:spacing w:after="0" w:line="264" w:lineRule="auto"/>
            </w:pPr>
            <w:r/>
            <w:r>
              <w:rPr>
                <w:rFonts w:ascii="宋体" w:hAnsi="宋体" w:eastAsia="宋体"/>
                <w:b/>
                <w:sz w:val="15"/>
              </w:rPr>
              <w:t>基线</w:t>
            </w:r>
          </w:p>
        </w:tc>
        <w:tc>
          <w:tcPr>
            <w:tcW w:type="dxa" w:w="1881"/>
            <w:shd w:fill="D9EAF7"/>
            <w:vAlign w:val="center"/>
          </w:tcPr>
          <w:p>
            <w:pPr>
              <w:spacing w:after="0" w:line="264" w:lineRule="auto"/>
            </w:pPr>
            <w:r/>
            <w:r>
              <w:rPr>
                <w:rFonts w:ascii="宋体" w:hAnsi="宋体" w:eastAsia="宋体"/>
                <w:b/>
                <w:sz w:val="15"/>
              </w:rPr>
              <w:t>证据路由后</w:t>
            </w:r>
          </w:p>
        </w:tc>
        <w:tc>
          <w:tcPr>
            <w:tcW w:type="dxa" w:w="1881"/>
            <w:shd w:fill="D9EAF7"/>
            <w:vAlign w:val="center"/>
          </w:tcPr>
          <w:p>
            <w:pPr>
              <w:spacing w:after="0" w:line="264" w:lineRule="auto"/>
            </w:pPr>
            <w:r/>
            <w:r>
              <w:rPr>
                <w:rFonts w:ascii="宋体" w:hAnsi="宋体" w:eastAsia="宋体"/>
                <w:b/>
                <w:sz w:val="15"/>
              </w:rPr>
              <w:t>完整方法</w:t>
            </w:r>
          </w:p>
        </w:tc>
        <w:tc>
          <w:tcPr>
            <w:tcW w:type="dxa" w:w="1881"/>
            <w:shd w:fill="D9EAF7"/>
            <w:vAlign w:val="center"/>
          </w:tcPr>
          <w:p>
            <w:pPr>
              <w:spacing w:after="0" w:line="264" w:lineRule="auto"/>
            </w:pPr>
            <w:r/>
            <w:r>
              <w:rPr>
                <w:rFonts w:ascii="宋体" w:hAnsi="宋体" w:eastAsia="宋体"/>
                <w:b/>
                <w:sz w:val="15"/>
              </w:rPr>
              <w:t>说明</w:t>
            </w:r>
          </w:p>
        </w:tc>
      </w:tr>
      <w:tr>
        <w:tc>
          <w:tcPr>
            <w:tcW w:type="dxa" w:w="1881"/>
            <w:vAlign w:val="center"/>
          </w:tcPr>
          <w:p>
            <w:pPr>
              <w:spacing w:after="0"/>
            </w:pPr>
            <w:r/>
            <w:r>
              <w:rPr>
                <w:rFonts w:ascii="宋体" w:hAnsi="宋体" w:eastAsia="宋体"/>
                <w:b w:val="0"/>
                <w:sz w:val="16"/>
              </w:rPr>
              <w:t>关键依据漏检</w:t>
            </w:r>
          </w:p>
        </w:tc>
        <w:tc>
          <w:tcPr>
            <w:tcW w:type="dxa" w:w="1881"/>
            <w:vAlign w:val="center"/>
          </w:tcPr>
          <w:p>
            <w:pPr>
              <w:spacing w:after="0" w:line="264" w:lineRule="auto"/>
            </w:pPr>
            <w:r/>
            <w:r>
              <w:rPr>
                <w:rFonts w:ascii="宋体" w:hAnsi="宋体" w:eastAsia="宋体"/>
                <w:b w:val="0"/>
                <w:sz w:val="15"/>
              </w:rPr>
              <w:t>12</w:t>
            </w:r>
          </w:p>
        </w:tc>
        <w:tc>
          <w:tcPr>
            <w:tcW w:type="dxa" w:w="1881"/>
            <w:vAlign w:val="center"/>
          </w:tcPr>
          <w:p>
            <w:pPr>
              <w:spacing w:after="0" w:line="264" w:lineRule="auto"/>
            </w:pPr>
            <w:r/>
            <w:r>
              <w:rPr>
                <w:rFonts w:ascii="宋体" w:hAnsi="宋体" w:eastAsia="宋体"/>
                <w:b w:val="0"/>
                <w:sz w:val="15"/>
              </w:rPr>
              <w:t>4</w:t>
            </w:r>
          </w:p>
        </w:tc>
        <w:tc>
          <w:tcPr>
            <w:tcW w:type="dxa" w:w="1881"/>
            <w:vAlign w:val="center"/>
          </w:tcPr>
          <w:p>
            <w:pPr>
              <w:spacing w:after="0" w:line="264" w:lineRule="auto"/>
            </w:pPr>
            <w:r/>
            <w:r>
              <w:rPr>
                <w:rFonts w:ascii="宋体" w:hAnsi="宋体" w:eastAsia="宋体"/>
                <w:b w:val="0"/>
                <w:sz w:val="15"/>
              </w:rPr>
              <w:t>5</w:t>
            </w:r>
          </w:p>
        </w:tc>
        <w:tc>
          <w:tcPr>
            <w:tcW w:type="dxa" w:w="1881"/>
            <w:vAlign w:val="center"/>
          </w:tcPr>
          <w:p>
            <w:pPr>
              <w:spacing w:after="0" w:line="264" w:lineRule="auto"/>
            </w:pPr>
            <w:r/>
            <w:r>
              <w:rPr>
                <w:rFonts w:ascii="宋体" w:hAnsi="宋体" w:eastAsia="宋体"/>
                <w:b w:val="0"/>
                <w:sz w:val="15"/>
              </w:rPr>
              <w:t>证据路由显著减少关键责任依据漏检，完整方法保持较低漏检水平</w:t>
            </w:r>
          </w:p>
        </w:tc>
      </w:tr>
      <w:tr>
        <w:tc>
          <w:tcPr>
            <w:tcW w:type="dxa" w:w="1881"/>
            <w:vAlign w:val="center"/>
          </w:tcPr>
          <w:p>
            <w:pPr>
              <w:spacing w:after="0"/>
            </w:pPr>
            <w:r/>
            <w:r>
              <w:rPr>
                <w:rFonts w:ascii="宋体" w:hAnsi="宋体" w:eastAsia="宋体"/>
                <w:b w:val="0"/>
                <w:sz w:val="16"/>
              </w:rPr>
              <w:t>责任比例误判</w:t>
            </w:r>
          </w:p>
        </w:tc>
        <w:tc>
          <w:tcPr>
            <w:tcW w:type="dxa" w:w="1881"/>
            <w:vAlign w:val="center"/>
          </w:tcPr>
          <w:p>
            <w:pPr>
              <w:spacing w:after="0" w:line="264" w:lineRule="auto"/>
            </w:pPr>
            <w:r/>
            <w:r>
              <w:rPr>
                <w:rFonts w:ascii="宋体" w:hAnsi="宋体" w:eastAsia="宋体"/>
                <w:b w:val="0"/>
                <w:sz w:val="15"/>
              </w:rPr>
              <w:t>5</w:t>
            </w:r>
          </w:p>
        </w:tc>
        <w:tc>
          <w:tcPr>
            <w:tcW w:type="dxa" w:w="1881"/>
            <w:vAlign w:val="center"/>
          </w:tcPr>
          <w:p>
            <w:pPr>
              <w:spacing w:after="0" w:line="264" w:lineRule="auto"/>
            </w:pPr>
            <w:r/>
            <w:r>
              <w:rPr>
                <w:rFonts w:ascii="宋体" w:hAnsi="宋体" w:eastAsia="宋体"/>
                <w:b w:val="0"/>
                <w:sz w:val="15"/>
              </w:rPr>
              <w:t>10</w:t>
            </w:r>
          </w:p>
        </w:tc>
        <w:tc>
          <w:tcPr>
            <w:tcW w:type="dxa" w:w="1881"/>
            <w:vAlign w:val="center"/>
          </w:tcPr>
          <w:p>
            <w:pPr>
              <w:spacing w:after="0" w:line="264" w:lineRule="auto"/>
            </w:pPr>
            <w:r/>
            <w:r>
              <w:rPr>
                <w:rFonts w:ascii="宋体" w:hAnsi="宋体" w:eastAsia="宋体"/>
                <w:b w:val="0"/>
                <w:sz w:val="15"/>
              </w:rPr>
              <w:t>5</w:t>
            </w:r>
          </w:p>
        </w:tc>
        <w:tc>
          <w:tcPr>
            <w:tcW w:type="dxa" w:w="1881"/>
            <w:vAlign w:val="center"/>
          </w:tcPr>
          <w:p>
            <w:pPr>
              <w:spacing w:after="0" w:line="264" w:lineRule="auto"/>
            </w:pPr>
            <w:r/>
            <w:r>
              <w:rPr>
                <w:rFonts w:ascii="宋体" w:hAnsi="宋体" w:eastAsia="宋体"/>
                <w:b w:val="0"/>
                <w:sz w:val="15"/>
              </w:rPr>
              <w:t>仅提高召回可能带来责任比例误用，边界消解后回落</w:t>
            </w:r>
          </w:p>
        </w:tc>
      </w:tr>
      <w:tr>
        <w:tc>
          <w:tcPr>
            <w:tcW w:type="dxa" w:w="1881"/>
            <w:vAlign w:val="center"/>
          </w:tcPr>
          <w:p>
            <w:pPr>
              <w:spacing w:after="0"/>
            </w:pPr>
            <w:r/>
            <w:r>
              <w:rPr>
                <w:rFonts w:ascii="宋体" w:hAnsi="宋体" w:eastAsia="宋体"/>
                <w:b w:val="0"/>
                <w:sz w:val="16"/>
              </w:rPr>
              <w:t>责任主体误判</w:t>
            </w:r>
          </w:p>
        </w:tc>
        <w:tc>
          <w:tcPr>
            <w:tcW w:type="dxa" w:w="1881"/>
            <w:vAlign w:val="center"/>
          </w:tcPr>
          <w:p>
            <w:pPr>
              <w:spacing w:after="0" w:line="264" w:lineRule="auto"/>
            </w:pPr>
            <w:r/>
            <w:r>
              <w:rPr>
                <w:rFonts w:ascii="宋体" w:hAnsi="宋体" w:eastAsia="宋体"/>
                <w:b w:val="0"/>
                <w:sz w:val="15"/>
              </w:rPr>
              <w:t>5</w:t>
            </w:r>
          </w:p>
        </w:tc>
        <w:tc>
          <w:tcPr>
            <w:tcW w:type="dxa" w:w="1881"/>
            <w:vAlign w:val="center"/>
          </w:tcPr>
          <w:p>
            <w:pPr>
              <w:spacing w:after="0" w:line="264" w:lineRule="auto"/>
            </w:pPr>
            <w:r/>
            <w:r>
              <w:rPr>
                <w:rFonts w:ascii="宋体" w:hAnsi="宋体" w:eastAsia="宋体"/>
                <w:b w:val="0"/>
                <w:sz w:val="15"/>
              </w:rPr>
              <w:t>2</w:t>
            </w:r>
          </w:p>
        </w:tc>
        <w:tc>
          <w:tcPr>
            <w:tcW w:type="dxa" w:w="1881"/>
            <w:vAlign w:val="center"/>
          </w:tcPr>
          <w:p>
            <w:pPr>
              <w:spacing w:after="0" w:line="264" w:lineRule="auto"/>
            </w:pPr>
            <w:r/>
            <w:r>
              <w:rPr>
                <w:rFonts w:ascii="宋体" w:hAnsi="宋体" w:eastAsia="宋体"/>
                <w:b w:val="0"/>
                <w:sz w:val="15"/>
              </w:rPr>
              <w:t>4</w:t>
            </w:r>
          </w:p>
        </w:tc>
        <w:tc>
          <w:tcPr>
            <w:tcW w:type="dxa" w:w="1881"/>
            <w:vAlign w:val="center"/>
          </w:tcPr>
          <w:p>
            <w:pPr>
              <w:spacing w:after="0" w:line="264" w:lineRule="auto"/>
            </w:pPr>
            <w:r/>
            <w:r>
              <w:rPr>
                <w:rFonts w:ascii="宋体" w:hAnsi="宋体" w:eastAsia="宋体"/>
                <w:b w:val="0"/>
                <w:sz w:val="15"/>
              </w:rPr>
              <w:t>证据路由有助于定位主体，但复杂责任场景仍需进一步证据支持</w:t>
            </w:r>
          </w:p>
        </w:tc>
      </w:tr>
      <w:tr>
        <w:tc>
          <w:tcPr>
            <w:tcW w:type="dxa" w:w="1881"/>
            <w:vAlign w:val="center"/>
          </w:tcPr>
          <w:p>
            <w:pPr>
              <w:spacing w:after="0"/>
            </w:pPr>
            <w:r/>
            <w:r>
              <w:rPr>
                <w:rFonts w:ascii="宋体" w:hAnsi="宋体" w:eastAsia="宋体"/>
                <w:b w:val="0"/>
                <w:sz w:val="16"/>
              </w:rPr>
              <w:t>涵摄不足</w:t>
            </w:r>
          </w:p>
        </w:tc>
        <w:tc>
          <w:tcPr>
            <w:tcW w:type="dxa" w:w="1881"/>
            <w:vAlign w:val="center"/>
          </w:tcPr>
          <w:p>
            <w:pPr>
              <w:spacing w:after="0" w:line="264" w:lineRule="auto"/>
            </w:pPr>
            <w:r/>
            <w:r>
              <w:rPr>
                <w:rFonts w:ascii="宋体" w:hAnsi="宋体" w:eastAsia="宋体"/>
                <w:b w:val="0"/>
                <w:sz w:val="15"/>
              </w:rPr>
              <w:t>5</w:t>
            </w:r>
          </w:p>
        </w:tc>
        <w:tc>
          <w:tcPr>
            <w:tcW w:type="dxa" w:w="1881"/>
            <w:vAlign w:val="center"/>
          </w:tcPr>
          <w:p>
            <w:pPr>
              <w:spacing w:after="0" w:line="264" w:lineRule="auto"/>
            </w:pPr>
            <w:r/>
            <w:r>
              <w:rPr>
                <w:rFonts w:ascii="宋体" w:hAnsi="宋体" w:eastAsia="宋体"/>
                <w:b w:val="0"/>
                <w:sz w:val="15"/>
              </w:rPr>
              <w:t>3</w:t>
            </w:r>
          </w:p>
        </w:tc>
        <w:tc>
          <w:tcPr>
            <w:tcW w:type="dxa" w:w="1881"/>
            <w:vAlign w:val="center"/>
          </w:tcPr>
          <w:p>
            <w:pPr>
              <w:spacing w:after="0" w:line="264" w:lineRule="auto"/>
            </w:pPr>
            <w:r/>
            <w:r>
              <w:rPr>
                <w:rFonts w:ascii="宋体" w:hAnsi="宋体" w:eastAsia="宋体"/>
                <w:b w:val="0"/>
                <w:sz w:val="15"/>
              </w:rPr>
              <w:t>3</w:t>
            </w:r>
          </w:p>
        </w:tc>
        <w:tc>
          <w:tcPr>
            <w:tcW w:type="dxa" w:w="1881"/>
            <w:vAlign w:val="center"/>
          </w:tcPr>
          <w:p>
            <w:pPr>
              <w:spacing w:after="0" w:line="264" w:lineRule="auto"/>
            </w:pPr>
            <w:r/>
            <w:r>
              <w:rPr>
                <w:rFonts w:ascii="宋体" w:hAnsi="宋体" w:eastAsia="宋体"/>
                <w:b w:val="0"/>
                <w:sz w:val="15"/>
              </w:rPr>
              <w:t>结构化证据和边界规则使涵摄过程更完整</w:t>
            </w:r>
          </w:p>
        </w:tc>
      </w:tr>
      <w:tr>
        <w:tc>
          <w:tcPr>
            <w:tcW w:type="dxa" w:w="1881"/>
            <w:vAlign w:val="center"/>
          </w:tcPr>
          <w:p>
            <w:pPr>
              <w:spacing w:after="0"/>
            </w:pPr>
            <w:r/>
            <w:r>
              <w:rPr>
                <w:rFonts w:ascii="宋体" w:hAnsi="宋体" w:eastAsia="宋体"/>
                <w:b w:val="0"/>
                <w:sz w:val="16"/>
              </w:rPr>
              <w:t>无证据支持结论</w:t>
            </w:r>
          </w:p>
        </w:tc>
        <w:tc>
          <w:tcPr>
            <w:tcW w:type="dxa" w:w="1881"/>
            <w:vAlign w:val="center"/>
          </w:tcPr>
          <w:p>
            <w:pPr>
              <w:spacing w:after="0" w:line="264" w:lineRule="auto"/>
            </w:pPr>
            <w:r/>
            <w:r>
              <w:rPr>
                <w:rFonts w:ascii="宋体" w:hAnsi="宋体" w:eastAsia="宋体"/>
                <w:b w:val="0"/>
                <w:sz w:val="15"/>
              </w:rPr>
              <w:t>2</w:t>
            </w:r>
          </w:p>
        </w:tc>
        <w:tc>
          <w:tcPr>
            <w:tcW w:type="dxa" w:w="1881"/>
            <w:vAlign w:val="center"/>
          </w:tcPr>
          <w:p>
            <w:pPr>
              <w:spacing w:after="0" w:line="264" w:lineRule="auto"/>
            </w:pPr>
            <w:r/>
            <w:r>
              <w:rPr>
                <w:rFonts w:ascii="宋体" w:hAnsi="宋体" w:eastAsia="宋体"/>
                <w:b w:val="0"/>
                <w:sz w:val="15"/>
              </w:rPr>
              <w:t>0</w:t>
            </w:r>
          </w:p>
        </w:tc>
        <w:tc>
          <w:tcPr>
            <w:tcW w:type="dxa" w:w="1881"/>
            <w:vAlign w:val="center"/>
          </w:tcPr>
          <w:p>
            <w:pPr>
              <w:spacing w:after="0" w:line="264" w:lineRule="auto"/>
            </w:pPr>
            <w:r/>
            <w:r>
              <w:rPr>
                <w:rFonts w:ascii="宋体" w:hAnsi="宋体" w:eastAsia="宋体"/>
                <w:b w:val="0"/>
                <w:sz w:val="15"/>
              </w:rPr>
              <w:t>1</w:t>
            </w:r>
          </w:p>
        </w:tc>
        <w:tc>
          <w:tcPr>
            <w:tcW w:type="dxa" w:w="1881"/>
            <w:vAlign w:val="center"/>
          </w:tcPr>
          <w:p>
            <w:pPr>
              <w:spacing w:after="0" w:line="264" w:lineRule="auto"/>
            </w:pPr>
            <w:r/>
            <w:r>
              <w:rPr>
                <w:rFonts w:ascii="宋体" w:hAnsi="宋体" w:eastAsia="宋体"/>
                <w:b w:val="0"/>
                <w:sz w:val="15"/>
              </w:rPr>
              <w:t>证据约束减少无证据支持结论</w:t>
            </w:r>
          </w:p>
        </w:tc>
      </w:tr>
      <w:tr>
        <w:tc>
          <w:tcPr>
            <w:tcW w:type="dxa" w:w="1881"/>
            <w:vAlign w:val="center"/>
          </w:tcPr>
          <w:p>
            <w:pPr>
              <w:spacing w:after="0"/>
            </w:pPr>
            <w:r/>
            <w:r>
              <w:rPr>
                <w:rFonts w:ascii="宋体" w:hAnsi="宋体" w:eastAsia="宋体"/>
                <w:b w:val="0"/>
                <w:sz w:val="16"/>
              </w:rPr>
              <w:t>生成幻觉</w:t>
            </w:r>
          </w:p>
        </w:tc>
        <w:tc>
          <w:tcPr>
            <w:tcW w:type="dxa" w:w="1881"/>
            <w:vAlign w:val="center"/>
          </w:tcPr>
          <w:p>
            <w:pPr>
              <w:spacing w:after="0" w:line="264" w:lineRule="auto"/>
            </w:pPr>
            <w:r/>
            <w:r>
              <w:rPr>
                <w:rFonts w:ascii="宋体" w:hAnsi="宋体" w:eastAsia="宋体"/>
                <w:b w:val="0"/>
                <w:sz w:val="15"/>
              </w:rPr>
              <w:t>2</w:t>
            </w:r>
          </w:p>
        </w:tc>
        <w:tc>
          <w:tcPr>
            <w:tcW w:type="dxa" w:w="1881"/>
            <w:vAlign w:val="center"/>
          </w:tcPr>
          <w:p>
            <w:pPr>
              <w:spacing w:after="0" w:line="264" w:lineRule="auto"/>
            </w:pPr>
            <w:r/>
            <w:r>
              <w:rPr>
                <w:rFonts w:ascii="宋体" w:hAnsi="宋体" w:eastAsia="宋体"/>
                <w:b w:val="0"/>
                <w:sz w:val="15"/>
              </w:rPr>
              <w:t>1</w:t>
            </w:r>
          </w:p>
        </w:tc>
        <w:tc>
          <w:tcPr>
            <w:tcW w:type="dxa" w:w="1881"/>
            <w:vAlign w:val="center"/>
          </w:tcPr>
          <w:p>
            <w:pPr>
              <w:spacing w:after="0" w:line="264" w:lineRule="auto"/>
            </w:pPr>
            <w:r/>
            <w:r>
              <w:rPr>
                <w:rFonts w:ascii="宋体" w:hAnsi="宋体" w:eastAsia="宋体"/>
                <w:b w:val="0"/>
                <w:sz w:val="15"/>
              </w:rPr>
              <w:t>0</w:t>
            </w:r>
          </w:p>
        </w:tc>
        <w:tc>
          <w:tcPr>
            <w:tcW w:type="dxa" w:w="1881"/>
            <w:vAlign w:val="center"/>
          </w:tcPr>
          <w:p>
            <w:pPr>
              <w:spacing w:after="0" w:line="264" w:lineRule="auto"/>
            </w:pPr>
            <w:r/>
            <w:r>
              <w:rPr>
                <w:rFonts w:ascii="宋体" w:hAnsi="宋体" w:eastAsia="宋体"/>
                <w:b w:val="0"/>
                <w:sz w:val="15"/>
              </w:rPr>
              <w:t>引用校验和规则边界消解抑制幻觉型错误</w:t>
            </w:r>
          </w:p>
        </w:tc>
      </w:tr>
    </w:tbl>
    <w:p>
      <w:pPr>
        <w:spacing w:after="0"/>
      </w:pPr>
    </w:p>
    <w:p>
      <w:pPr>
        <w:spacing w:line="324" w:lineRule="auto" w:after="80"/>
        <w:ind w:firstLine="440"/>
      </w:pPr>
      <w:r>
        <w:rPr>
          <w:rFonts w:ascii="宋体" w:hAnsi="宋体" w:eastAsia="宋体"/>
          <w:sz w:val="22"/>
        </w:rPr>
        <w:t>错误分析表明，NormCase-TARRAG 的提升来自多个模块的组合。证据路由降低 retrieval_miss，但可能带来责任比例误用；规则边界消解则把更多证据约束到正确责任结构中，从而降低 wrong_liability_ratio 和 generation_hallucination。这也说明，法律 RAG 的关键瓶颈往往不只是检索不足，还包括证据适用不足。</w:t>
      </w:r>
    </w:p>
    <w:p>
      <w:pPr>
        <w:pStyle w:val="Heading1"/>
      </w:pPr>
      <w:r>
        <w:rPr>
          <w:rFonts w:ascii="黑体" w:hAnsi="黑体" w:eastAsia="黑体"/>
          <w:b/>
          <w:sz w:val="28"/>
        </w:rPr>
        <w:t>9 面向真实判例的扩展验证与应用边界</w:t>
      </w:r>
    </w:p>
    <w:p>
      <w:pPr>
        <w:spacing w:line="324" w:lineRule="auto" w:after="80"/>
        <w:ind w:firstLine="440"/>
      </w:pPr>
      <w:r>
        <w:rPr>
          <w:rFonts w:ascii="宋体" w:hAnsi="宋体" w:eastAsia="宋体"/>
          <w:sz w:val="22"/>
        </w:rPr>
        <w:t>本文已经将案例责任预测纳入方法设计和实验验证，但仍有必要在后续研究中继续扩大真实判例规模。后续可从公开裁判文书、行政处罚决定、典型事故通报、保险理赔争议和监管案例中提取更多样本，并将每个案例拆分为事实争点、法律争点、责任主体、请求方向、裁判结果和关键依据。与一般问答任务相比，判例任务需要更严格的人工标注和复核，尤其要避免将案例特定事实误写为一般规则。</w:t>
      </w:r>
    </w:p>
    <w:p>
      <w:pPr>
        <w:spacing w:line="324" w:lineRule="auto" w:after="80"/>
        <w:ind w:firstLine="440"/>
      </w:pPr>
      <w:r>
        <w:rPr>
          <w:rFonts w:ascii="宋体" w:hAnsi="宋体" w:eastAsia="宋体"/>
          <w:sz w:val="22"/>
        </w:rPr>
        <w:t>在应用边界上，本文方法不能替代律师、法院或监管机关作出最终判断。对于实时空域、临时管制、机场周边、军事设施、医院周边、具体点位禁限飞、平台审批状态和保险合同具体条款等问题，系统只能提示应人工核验，不能仅凭静态语料给出最终许可结论。对于责任比例、赔偿数额、刑罚幅度和行政处罚金额，若检索证据不足，系统也不应编造精确数字。</w:t>
      </w:r>
    </w:p>
    <w:p>
      <w:pPr>
        <w:spacing w:line="324" w:lineRule="auto" w:after="80"/>
        <w:ind w:firstLine="440"/>
      </w:pPr>
      <w:r>
        <w:rPr>
          <w:rFonts w:ascii="宋体" w:hAnsi="宋体" w:eastAsia="宋体"/>
          <w:sz w:val="22"/>
        </w:rPr>
        <w:t>因此，本文更适合将 NormCase-TARRAG 定位为低空经济法律研究和合规辅助工具，而非自动裁判系统。其价值在于帮助用户快速识别场景事实、定位可能适用的规范、发现需要补充核验的材料、形成可追溯的法律推理草案，并为律师、企业法务、研究者和监管人员提供可复核的依据链。</w:t>
      </w:r>
    </w:p>
    <w:p>
      <w:pPr>
        <w:pStyle w:val="Heading1"/>
      </w:pPr>
      <w:r>
        <w:rPr>
          <w:rFonts w:ascii="黑体" w:hAnsi="黑体" w:eastAsia="黑体"/>
          <w:b/>
          <w:sz w:val="28"/>
        </w:rPr>
        <w:t>10 讨论</w:t>
      </w:r>
    </w:p>
    <w:p>
      <w:pPr>
        <w:pStyle w:val="Heading2"/>
      </w:pPr>
      <w:r>
        <w:rPr>
          <w:rFonts w:ascii="黑体" w:hAnsi="黑体" w:eastAsia="黑体"/>
          <w:b/>
          <w:sz w:val="24"/>
        </w:rPr>
        <w:t>10.1 方法优势</w:t>
      </w:r>
    </w:p>
    <w:p>
      <w:pPr>
        <w:spacing w:line="324" w:lineRule="auto" w:after="80"/>
        <w:ind w:firstLine="440"/>
      </w:pPr>
      <w:r>
        <w:rPr>
          <w:rFonts w:ascii="宋体" w:hAnsi="宋体" w:eastAsia="宋体"/>
          <w:sz w:val="22"/>
        </w:rPr>
        <w:t>本文方法的第一项优势是数据组织与法律方法的结合。通过将法源层级、地域、效力、主题和规范类型纳入 chunk 结构，系统可以在检索后继续判断证据适用性，而不是简单把相似文本交给生成模型。第二项优势是证据矩阵与规则边界消解的结合。证据矩阵解决“证据如何组织”，规则边界消解解决“证据如何适用”，二者共同提升法律推理质量。第三项优势是任务形式的扩展。本文不仅处理一般合规问答，还进一步处理案例责任预测，使低空经济法律 RAG 更接近实际业务需求。</w:t>
      </w:r>
    </w:p>
    <w:p>
      <w:pPr>
        <w:pStyle w:val="Heading2"/>
      </w:pPr>
      <w:r>
        <w:rPr>
          <w:rFonts w:ascii="黑体" w:hAnsi="黑体" w:eastAsia="黑体"/>
          <w:b/>
          <w:sz w:val="24"/>
        </w:rPr>
        <w:t>10.2 局限性</w:t>
      </w:r>
    </w:p>
    <w:p>
      <w:pPr>
        <w:spacing w:line="324" w:lineRule="auto" w:after="80"/>
        <w:ind w:firstLine="440"/>
      </w:pPr>
      <w:r>
        <w:rPr>
          <w:rFonts w:ascii="宋体" w:hAnsi="宋体" w:eastAsia="宋体"/>
          <w:sz w:val="22"/>
        </w:rPr>
        <w:t>本文仍存在若干局限。第一，低空经济规范仍处于快速变化阶段，地方规则、监管平台和技术标准可能持续更新，语料库需要定期维护。第二，案例责任预测实验目前样本规模较小，15 条案例任务能够展示方法趋势，但不足以覆盖全部低空经济纠纷类型。第三，LLM-as-judge 虽可提供可扩展评价，但仍应结合人工法律专家复核，尤其是在责任比例、请求方向和事实争点复杂的案件中。第四，本文方法尚未充分处理合同约定、保险条款、行政裁量基准和地方平台实时数据等动态材料。</w:t>
      </w:r>
    </w:p>
    <w:p>
      <w:pPr>
        <w:spacing w:line="324" w:lineRule="auto" w:after="80"/>
        <w:ind w:firstLine="440"/>
      </w:pPr>
      <w:r>
        <w:rPr>
          <w:rFonts w:ascii="宋体" w:hAnsi="宋体" w:eastAsia="宋体"/>
          <w:sz w:val="22"/>
        </w:rPr>
        <w:t>此外，实验表述应保持谨慎。已有 XL test200 结果可以说明当前可执行包上方法验证显示稳定提升，但不宜直接宣称完整语料最终达到最优。后续研究应在 full eval、更多真实案例和人工复核基础上进一步验证方法的稳健性。</w:t>
      </w:r>
    </w:p>
    <w:p>
      <w:pPr>
        <w:pStyle w:val="Heading2"/>
      </w:pPr>
      <w:r>
        <w:rPr>
          <w:rFonts w:ascii="黑体" w:hAnsi="黑体" w:eastAsia="黑体"/>
          <w:b/>
          <w:sz w:val="24"/>
        </w:rPr>
        <w:t>10.3 后续工作</w:t>
      </w:r>
    </w:p>
    <w:p>
      <w:pPr>
        <w:spacing w:line="324" w:lineRule="auto" w:after="80"/>
        <w:ind w:firstLine="440"/>
      </w:pPr>
      <w:r>
        <w:rPr>
          <w:rFonts w:ascii="宋体" w:hAnsi="宋体" w:eastAsia="宋体"/>
          <w:sz w:val="22"/>
        </w:rPr>
        <w:t>后续工作可以从四个方向展开。第一，扩充真实案例评测集，形成覆盖刑事、行政、民事、产品、保险和平台责任的 LowAltCaseBench。第二，增强法源更新机制，将新出台法规、地方规范、标准和监管口径纳入版本化管理。第三，细化证据引用粒度，从 source-level 和 article-level 进一步发展到 clause-level、element-level 和 issue-level。第四，引入人工专家复核闭环，对高风险结论进行标注、纠错和再训练，从而提高系统在真实法律服务场景中的可靠性。</w:t>
      </w:r>
    </w:p>
    <w:p>
      <w:pPr>
        <w:pStyle w:val="Heading1"/>
      </w:pPr>
      <w:r>
        <w:rPr>
          <w:rFonts w:ascii="黑体" w:hAnsi="黑体" w:eastAsia="黑体"/>
          <w:b/>
          <w:sz w:val="28"/>
        </w:rPr>
        <w:t>11 结论</w:t>
      </w:r>
    </w:p>
    <w:p>
      <w:pPr>
        <w:spacing w:line="324" w:lineRule="auto" w:after="80"/>
        <w:ind w:firstLine="440"/>
      </w:pPr>
      <w:r>
        <w:rPr>
          <w:rFonts w:ascii="宋体" w:hAnsi="宋体" w:eastAsia="宋体"/>
          <w:sz w:val="22"/>
        </w:rPr>
        <w:t>本文围绕低空经济合规问答与案例责任预测任务，提出 NormCase-TARRAG 方法，并构建低空经济规范语料、标准化问答任务和案例责任预测任务。本文认为，低空经济法律 RAG 的关键不在于简单扩大文本库或直接依赖大模型，而在于将法律任务结构化为事实追踪、证据路由、法源对齐、规则消解和引用约束生成。</w:t>
      </w:r>
    </w:p>
    <w:p>
      <w:pPr>
        <w:spacing w:line="324" w:lineRule="auto" w:after="80"/>
        <w:ind w:firstLine="440"/>
      </w:pPr>
      <w:r>
        <w:rPr>
          <w:rFonts w:ascii="宋体" w:hAnsi="宋体" w:eastAsia="宋体"/>
          <w:sz w:val="22"/>
        </w:rPr>
        <w:t>在数据层面，本文整理形成覆盖 88 项来源、5173 个法规 chunk 的低空经济规范语料，并按照法源层级、地域范围、施行时间、业务主题和规范类型进行分类。在方法层面，本文将 NormCase-TARRAG 表述为五个易理解的模块：场景—规范槽位追踪、规范—责任证据路由、法源证据矩阵、规则边界消解和引用约束生成。在应用层面，本文建立低空经济行业标准问答方式，并进一步将系统扩展到案例责任预测。</w:t>
      </w:r>
    </w:p>
    <w:p>
      <w:pPr>
        <w:spacing w:line="324" w:lineRule="auto" w:after="80"/>
        <w:ind w:firstLine="440"/>
      </w:pPr>
      <w:r>
        <w:rPr>
          <w:rFonts w:ascii="宋体" w:hAnsi="宋体" w:eastAsia="宋体"/>
          <w:sz w:val="22"/>
        </w:rPr>
        <w:t>实验结果表明，结构化 TARRAG 在一般合规问答方法验证中能够提升法律维度覆盖、工作流步骤覆盖、拒答准确率和安全边界识别；NormCase-TARRAG 在案例责任预测任务中能够显著提升关键责任证据召回、排序质量、引用可靠性和真实案例结果一致性。总体而言，本文为低空经济法律问答提供了一种从“法规检索”走向“证据约束法律推理”的方法路径，也为后续构建更大规模的低空经济案例基准和可信法律智能系统奠定了基础。</w:t>
      </w:r>
    </w:p>
    <w:p>
      <w:pPr>
        <w:pStyle w:val="Heading1"/>
      </w:pPr>
      <w:r>
        <w:rPr>
          <w:rFonts w:ascii="黑体" w:hAnsi="黑体" w:eastAsia="黑体"/>
          <w:b/>
          <w:sz w:val="28"/>
        </w:rPr>
        <w:t>参考文献</w:t>
      </w:r>
    </w:p>
    <w:p>
      <w:pPr>
        <w:spacing w:line="288" w:lineRule="auto"/>
        <w:ind w:left="360" w:hanging="360"/>
      </w:pPr>
      <w:r>
        <w:rPr>
          <w:rFonts w:ascii="宋体" w:hAnsi="宋体" w:eastAsia="宋体"/>
          <w:sz w:val="20"/>
        </w:rPr>
        <w:t>[1] Lewis P., Perez E., Piktus A., et al. Retrieval-Augmented Generation for Knowledge-Intensive NLP Tasks. Advances in Neural Information Processing Systems, 2020.</w:t>
      </w:r>
    </w:p>
    <w:p>
      <w:pPr>
        <w:spacing w:line="288" w:lineRule="auto"/>
        <w:ind w:left="360" w:hanging="360"/>
      </w:pPr>
      <w:r>
        <w:rPr>
          <w:rFonts w:ascii="宋体" w:hAnsi="宋体" w:eastAsia="宋体"/>
          <w:sz w:val="20"/>
        </w:rPr>
        <w:t>[2] Gao Y., Xiong Y., Gao X., et al. Retrieval-Augmented Generation for Large Language Models: A Survey. arXiv preprint, 2023.</w:t>
      </w:r>
    </w:p>
    <w:p>
      <w:pPr>
        <w:spacing w:line="288" w:lineRule="auto"/>
        <w:ind w:left="360" w:hanging="360"/>
      </w:pPr>
      <w:r>
        <w:rPr>
          <w:rFonts w:ascii="宋体" w:hAnsi="宋体" w:eastAsia="宋体"/>
          <w:sz w:val="20"/>
        </w:rPr>
        <w:t>[3] Chalkidis I., Fergadiotis M., Malakasiotis P., et al. LEGAL-BERT: The Muppets straight out of Law School. Findings of EMNLP, 2020.</w:t>
      </w:r>
    </w:p>
    <w:p>
      <w:pPr>
        <w:spacing w:line="288" w:lineRule="auto"/>
        <w:ind w:left="360" w:hanging="360"/>
      </w:pPr>
      <w:r>
        <w:rPr>
          <w:rFonts w:ascii="宋体" w:hAnsi="宋体" w:eastAsia="宋体"/>
          <w:sz w:val="20"/>
        </w:rPr>
        <w:t>[4] Zhong H., Xiao C., Tu C., et al. How Does NLP Benefit Legal System: A Summary of Legal Artificial Intelligence. ACL, 2020.</w:t>
      </w:r>
    </w:p>
    <w:p>
      <w:pPr>
        <w:spacing w:line="288" w:lineRule="auto"/>
        <w:ind w:left="360" w:hanging="360"/>
      </w:pPr>
      <w:r>
        <w:rPr>
          <w:rFonts w:ascii="宋体" w:hAnsi="宋体" w:eastAsia="宋体"/>
          <w:sz w:val="20"/>
        </w:rPr>
        <w:t>[5] Guha N., Nyarko J., Ho D. E., et al. LegalBench: A Collaboratively Built Benchmark for Measuring Legal Reasoning in Large Language Models. NeurIPS Datasets and Benchmarks, 2023.</w:t>
      </w:r>
    </w:p>
    <w:p>
      <w:pPr>
        <w:spacing w:line="288" w:lineRule="auto"/>
        <w:ind w:left="360" w:hanging="360"/>
      </w:pPr>
      <w:r>
        <w:rPr>
          <w:rFonts w:ascii="宋体" w:hAnsi="宋体" w:eastAsia="宋体"/>
          <w:sz w:val="20"/>
        </w:rPr>
        <w:t>[6] 国务院、中央军事委员会：《无人驾驶航空器飞行管理暂行条例》，2024 年施行。</w:t>
      </w:r>
    </w:p>
    <w:p>
      <w:pPr>
        <w:spacing w:line="288" w:lineRule="auto"/>
        <w:ind w:left="360" w:hanging="360"/>
      </w:pPr>
      <w:r>
        <w:rPr>
          <w:rFonts w:ascii="宋体" w:hAnsi="宋体" w:eastAsia="宋体"/>
          <w:sz w:val="20"/>
        </w:rPr>
        <w:t>[7] 交通运输部：《民用无人驾驶航空器运行安全管理规则》，2024 年施行。</w:t>
      </w:r>
    </w:p>
    <w:p>
      <w:pPr>
        <w:spacing w:line="288" w:lineRule="auto"/>
        <w:ind w:left="360" w:hanging="360"/>
      </w:pPr>
      <w:r>
        <w:rPr>
          <w:rFonts w:ascii="宋体" w:hAnsi="宋体" w:eastAsia="宋体"/>
          <w:sz w:val="20"/>
        </w:rPr>
        <w:t>[8] 项目资料：LowAltBench XL 全量来源、语料接入与复现说明；低空经济法律 RAG 与问答项目复现说明；第三部分研究方法与实验结果整理。</w:t>
      </w:r>
    </w:p>
    <w:p>
      <w:pPr>
        <w:pStyle w:val="Heading1"/>
      </w:pPr>
      <w:r>
        <w:rPr>
          <w:rFonts w:ascii="黑体" w:hAnsi="黑体" w:eastAsia="黑体"/>
          <w:b/>
          <w:sz w:val="28"/>
        </w:rPr>
        <w:t>附录：本文建议保留的写作边界</w:t>
      </w:r>
    </w:p>
    <w:p>
      <w:pPr>
        <w:spacing w:line="324" w:lineRule="auto" w:after="80"/>
        <w:ind w:firstLine="440"/>
      </w:pPr>
      <w:r>
        <w:rPr>
          <w:rFonts w:ascii="宋体" w:hAnsi="宋体" w:eastAsia="宋体"/>
          <w:sz w:val="22"/>
        </w:rPr>
        <w:t>第一，本文可以写作“当前可执行包上方法验证显示稳定提升”，但不宜直接写作“完整低空经济法律 RAG 已达到 SOTA”。第二，XL test200 结果应表述为方法管线验证或可执行流程验证；如后续获得 full eval 完整结果，可再作为主实验补充。第三，案例责任预测目前样本规模为 15 条，适合作为初步验证和方法消融，不宜外推为所有低空经济案件的普遍结论。第四，所有涉及实时空域、临时管制、平台审批、具体点位限制、处罚金额和赔偿比例的问题，均应保留人工核验边界。</w:t>
      </w:r>
    </w:p>
    <w:sectPr w:rsidR="00FC693F" w:rsidRPr="0006063C" w:rsidSect="00034616">
      <w:footerReference w:type="default" r:id="rId9"/>
      <w:pgSz w:w="12240" w:h="15840"/>
      <w:pgMar w:top="1417"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NormCase-TARRAG 低空经济法律 RAG 论文优化版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88" w:lineRule="auto"/>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20" w:line="288" w:lineRule="auto"/>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120" w:line="288" w:lineRule="auto"/>
      <w:outlineLvl w:val="2"/>
    </w:pPr>
    <w:rPr>
      <w:rFonts w:asciiTheme="majorHAnsi" w:eastAsiaTheme="majorEastAsia" w:hAnsiTheme="majorHAnsi" w:cstheme="majorBidi" w:ascii="楷体" w:hAnsi="楷体" w:eastAsia="楷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88" w:lineRule="auto" w:before="160"/>
      <w:contextualSpacing/>
    </w:pPr>
    <w:rPr>
      <w:rFonts w:asciiTheme="majorHAnsi" w:eastAsiaTheme="majorEastAsia" w:hAnsiTheme="majorHAnsi" w:cstheme="majorBidi" w:ascii="黑体" w:hAnsi="黑体" w:eastAsia="黑体"/>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