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Controlled</w:t>
      </w:r>
      <w:r>
        <w:t xml:space="preserve"> </w:t>
      </w: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w:r>
        <w:t xml:space="preserve">six</w:t>
      </w:r>
      <w:r>
        <w:t xml:space="preserve"> </w:t>
      </w:r>
      <w:r>
        <w:t xml:space="preserve">resampling</w:t>
      </w:r>
      <w:r>
        <w:t xml:space="preserve"> </w:t>
      </w:r>
      <w:r>
        <w:t xml:space="preserve">conditions</w:t>
      </w:r>
      <w:r>
        <w:t xml:space="preserve"> </w:t>
      </w:r>
      <w:r>
        <w:t xml:space="preserve">on</w:t>
      </w:r>
      <w:r>
        <w:t xml:space="preserve"> </w:t>
      </w:r>
      <w:r>
        <w:t xml:space="preserve">30</w:t>
      </w:r>
      <w:r>
        <w:t xml:space="preserve"> </w:t>
      </w:r>
      <w:r>
        <w:t xml:space="preserve">binary</w:t>
      </w:r>
      <w:r>
        <w:t xml:space="preserve"> </w:t>
      </w:r>
      <w:r>
        <w:t xml:space="preserve">datasets</w:t>
      </w:r>
    </w:p>
    <w:p>
      <w:pPr>
        <w:pStyle w:val="Subtitle"/>
      </w:pPr>
      <w:r>
        <w:t xml:space="preserve">Supervisor</w:t>
      </w:r>
      <w:r>
        <w:t xml:space="preserve"> </w:t>
      </w:r>
      <w:r>
        <w:t xml:space="preserve">briefing</w:t>
      </w:r>
      <w:r>
        <w:t xml:space="preserve"> </w:t>
      </w:r>
      <w:r>
        <w:t xml:space="preserve">—</w:t>
      </w:r>
      <w:r>
        <w:t xml:space="preserve"> </w:t>
      </w:r>
      <w:r>
        <w:t xml:space="preserve">UGO-SMOTE,</w:t>
      </w:r>
      <w:r>
        <w:t xml:space="preserve"> </w:t>
      </w:r>
      <w:r>
        <w:t xml:space="preserve">BFCH-SMOTE,</w:t>
      </w:r>
      <w:r>
        <w:t xml:space="preserve"> </w:t>
      </w:r>
      <w:r>
        <w:t xml:space="preserve">EC-EBO,</w:t>
      </w:r>
      <w:r>
        <w:t xml:space="preserve"> </w:t>
      </w:r>
      <w:r>
        <w:t xml:space="preserve">SSHR,</w:t>
      </w:r>
      <w:r>
        <w:t xml:space="preserve"> </w:t>
      </w:r>
      <w:r>
        <w:t xml:space="preserve">SMOTE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resampling</w:t>
      </w:r>
    </w:p>
    <w:p>
      <w:pPr>
        <w:pStyle w:val="Date"/>
      </w:pPr>
      <w:r>
        <w:t xml:space="preserve">13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purpose-and-main-finding"/>
    <w:p>
      <w:pPr>
        <w:pStyle w:val="Heading1"/>
      </w:pPr>
      <w:r>
        <w:t xml:space="preserve">Purpose and main finding</w:t>
      </w:r>
    </w:p>
    <w:p>
      <w:pPr>
        <w:pStyle w:val="FirstParagraph"/>
      </w:pPr>
      <w:r>
        <w:t xml:space="preserve">This study compares four implemented paper-inspired methods—UGO-SMOTE, BFCH-SMOTE, EC-EBO and SSHR—against standard SMOTE and a no-resampling control on the</w:t>
      </w:r>
      <w:r>
        <w:t xml:space="preserve"> </w:t>
      </w:r>
      <w:r>
        <w:rPr>
          <w:b/>
          <w:bCs/>
        </w:rPr>
        <w:t xml:space="preserve">same 30 binary dataset variants</w:t>
      </w:r>
      <w:r>
        <w:t xml:space="preserve">. The results show metric and classifier tradeoffs, not a universal winner. Standard SMOTE has the highest variant-average LogReg F1 (0.495) and G-mean (0.800); UGO-SMOTE has the highest variant-average GNB F1 (0.505) and MCC (0.486). The no-resampling control has the lowest average false-positive rate for both classifiers. In the SSHR ablation, supplying unlabelled training examples slightly raises G-mean but lowers F1 and raises FPR on average.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descriptive results from our controlled implementation</w:t>
      </w:r>
      <w:r>
        <w:t xml:space="preserve">, not a replication of the four papers’ published scores. No new method or novelty claim is established here.</w:t>
      </w:r>
    </w:p>
    <w:bookmarkEnd w:id="20"/>
    <w:bookmarkStart w:id="21" w:name="experimental-setup"/>
    <w:p>
      <w:pPr>
        <w:pStyle w:val="Heading1"/>
      </w:pPr>
      <w:r>
        <w:t xml:space="preserve">Experimental setup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30 numeric, no-missing binary variants from 10 source families; 9 Ecoli and 10 Yeast variants share related original data. Satellite class 4 versus rest and Abalone rings ≥18 versus rest are explicitly accepted approximations. Exact author preprocessing and folds are unverified.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Evaluation:</w:t>
      </w:r>
      <w:r>
        <w:t xml:space="preserve"> </w:t>
      </w:r>
      <w:r>
        <w:t xml:space="preserve">Five repeats of five stratified, coordinate-group-disjoint outer folds, seed 42. Within each outer training fold, approximately half of each class’s rows remain labelled (</w:t>
      </w:r>
      <w:r>
        <w:rPr>
          <w:rStyle w:val="VerbatimChar"/>
        </w:rPr>
        <w:t xml:space="preserve">L</w:t>
      </w:r>
      <w:r>
        <w:t xml:space="preserve">); the others form a training-only unlabelled pool (</w:t>
      </w:r>
      <w:r>
        <w:rPr>
          <w:rStyle w:val="VerbatimChar"/>
        </w:rPr>
        <w:t xml:space="preserve">U</w:t>
      </w:r>
      <w:r>
        <w:t xml:space="preserve">). No outer-test row is used to fit preprocessing, resampling or a classifier.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 comparison:</w:t>
      </w:r>
      <w:r>
        <w:t xml:space="preserve"> </w:t>
      </w:r>
      <w:r>
        <w:t xml:space="preserve">NORES, SMOTE, UGO-SMOTE, BFCH-SMOTE, EC-EBO and SSHR use the same</w:t>
      </w:r>
      <w:r>
        <w:t xml:space="preserve"> </w:t>
      </w:r>
      <w:r>
        <w:rPr>
          <w:rStyle w:val="VerbatimChar"/>
        </w:rPr>
        <w:t xml:space="preserve">L</w:t>
      </w:r>
      <w:r>
        <w:t xml:space="preserve">, held-out fold and final classifier. Only SSHR may use</w:t>
      </w:r>
      <w:r>
        <w:t xml:space="preserve"> </w:t>
      </w:r>
      <w:r>
        <w:rPr>
          <w:rStyle w:val="VerbatimChar"/>
        </w:rPr>
        <w:t xml:space="preserve">U</w:t>
      </w:r>
      <w:r>
        <w:t xml:space="preserve">. Classifiers are logistic regression (</w:t>
      </w:r>
      <w:r>
        <w:rPr>
          <w:rStyle w:val="VerbatimChar"/>
        </w:rPr>
        <w:t xml:space="preserve">LogReg</w:t>
      </w:r>
      <w:r>
        <w:t xml:space="preserve">) and Gaussian naive Bayes (</w:t>
      </w:r>
      <w:r>
        <w:rPr>
          <w:rStyle w:val="VerbatimChar"/>
        </w:rPr>
        <w:t xml:space="preserve">GNB</w:t>
      </w:r>
      <w:r>
        <w:t xml:space="preserve">); their scores are reported separately.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SSHR ablation:</w:t>
      </w:r>
      <w:r>
        <w:t xml:space="preserve"> </w:t>
      </w:r>
      <w:r>
        <w:t xml:space="preserve">SSHR and NORES are also run without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on the same folds and</w:t>
      </w:r>
      <w:r>
        <w:t xml:space="preserve"> </w:t>
      </w:r>
      <w:r>
        <w:rPr>
          <w:rStyle w:val="VerbatimChar"/>
        </w:rPr>
        <w:t xml:space="preserve">L</w:t>
      </w:r>
      <w:r>
        <w:t xml:space="preserve">. The saved NORES outputs matched exactly for all 60 dataset/classifier conditions, supporting a controlled comparison.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Measures:</w:t>
      </w:r>
      <w:r>
        <w:t xml:space="preserve"> </w:t>
      </w:r>
      <w:r>
        <w:t xml:space="preserve">F1, G-mean, MCC and probability ROC-AUC are higher-is-better; FPR is lower-is-better. Each cell below is the unweighted average of 30 dataset-level means. Each dataset’s six main methods use its same successful fold subset.</w:t>
      </w:r>
    </w:p>
    <w:p>
      <w:pPr>
        <w:pStyle w:val="FirstParagraph"/>
      </w:pPr>
      <w:r>
        <w:t xml:space="preserve">Source-family counts are Yeast 10, Ecoli 9, Glass 3, Wine Quality 2, and one each of Banana, Satellite, Abalone, New Thyroid, Page Blocks and Shuttle.</w:t>
      </w:r>
    </w:p>
    <w:bookmarkEnd w:id="21"/>
    <w:bookmarkStart w:id="22" w:name="execution-and-coverage-audit"/>
    <w:p>
      <w:pPr>
        <w:pStyle w:val="Heading1"/>
      </w:pPr>
      <w:r>
        <w:t xml:space="preserve">Execution and coverage audit</w:t>
      </w:r>
    </w:p>
    <w:p>
      <w:pPr>
        <w:pStyle w:val="FirstParagraph"/>
      </w:pPr>
      <w:r>
        <w:t xml:space="preserve">The upload has 30 report folders, 1,800 canonical score rows (30 datasets × 2 classifiers × 6 methods × 5 metrics), and 300 SSHR ablation rows. The ZIP passed CRC and every included file matched its recorded SHA-256. The selection and source-registry hashes match the Windows checkout’s CRLF line endings. The aggregate CSV matches the canonical rows in all 30 per-dataset score files exactly. This audit checks the</w:t>
      </w:r>
      <w:r>
        <w:t xml:space="preserve"> </w:t>
      </w:r>
      <w:r>
        <w:rPr>
          <w:b/>
          <w:bCs/>
        </w:rPr>
        <w:t xml:space="preserve">aggregate package</w:t>
      </w:r>
      <w:r>
        <w:t xml:space="preserve">; individual saved job records and predictions were not uploaded.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Planned jobs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Successful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Six-method main 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SSHR without-U ablation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All six failures are standard SMOTE on</w:t>
      </w:r>
      <w:r>
        <w:t xml:space="preserve"> </w:t>
      </w:r>
      <w:r>
        <w:rPr>
          <w:rStyle w:val="VerbatimChar"/>
        </w:rPr>
        <w:t xml:space="preserve">winequality_red_8_vs_6</w:t>
      </w:r>
      <w:r>
        <w:t xml:space="preserve">: the same three folds fail under both classifiers because five labelled minority fitting rows are insufficient for its fixed five-neighbour setting (</w:t>
      </w:r>
      <w:r>
        <w:rPr>
          <w:rStyle w:val="VerbatimChar"/>
        </w:rPr>
        <w:t xml:space="preserve">n_neighbors = 6</w:t>
      </w:r>
      <w:r>
        <w:t xml:space="preserve"> </w:t>
      </w:r>
      <w:r>
        <w:t xml:space="preserve">requires at least six rows). The study did not change the sampler or redraw folds after seeing this. The six-way table uses</w:t>
      </w:r>
      <w:r>
        <w:t xml:space="preserve"> </w:t>
      </w:r>
      <w:r>
        <w:rPr>
          <w:b/>
          <w:bCs/>
        </w:rPr>
        <w:t xml:space="preserve">25 shared folds for 29 variants</w:t>
      </w:r>
      <w:r>
        <w:t xml:space="preserve"> </w:t>
      </w:r>
      <w:r>
        <w:t xml:space="preserve">and only</w:t>
      </w:r>
      <w:r>
        <w:t xml:space="preserve"> </w:t>
      </w:r>
      <w:r>
        <w:rPr>
          <w:b/>
          <w:bCs/>
        </w:rPr>
        <w:t xml:space="preserve">22 shared folds for this wine variant</w:t>
      </w:r>
      <w:r>
        <w:t xml:space="preserve">. Its SSHR with/without-U ablation uses all 25 paired folds, so those two summaries have different fold scopes. The rarest test fold for this variant has one minority row, adding instability.</w:t>
      </w:r>
    </w:p>
    <w:bookmarkEnd w:id="22"/>
    <w:bookmarkStart w:id="23" w:name="main-comparison"/>
    <w:p>
      <w:pPr>
        <w:pStyle w:val="Heading1"/>
      </w:pPr>
      <w:r>
        <w:t xml:space="preserve">Main comparison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G-mean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MCC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FPR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UGO-SMOTE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BFCH-SMOTE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UGO-SMOTE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BFCH-SMOTE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the tradeoff.</w:t>
      </w:r>
      <w:r>
        <w:t xml:space="preserve"> </w:t>
      </w:r>
      <w:r>
        <w:t xml:space="preserve">Under LogReg, SMOTE gains 0.069 F1 and 0.314 G-mean over NORES on average, but increases FPR by 0.128. UGO-SMOTE gains 0.048 F1 with a smaller 0.039 FPR increase; its G-mean gain is only 0.096. BFCH-SMOTE and EC-EBO have average LogReg F1 of 0.489 and 0.492, close to SMOTE’s 0.495, with slightly lower FPR but no overall F1 advantage. Under GNB, UGO-SMOTE improves average F1 over NORES by 0.018 while SMOTE is lower by 0.005. EC-EBO and BFCH-SMOTE have lower average GNB F1 than both UGO-SMOTE and NORES.</w:t>
      </w:r>
    </w:p>
    <w:p>
      <w:pPr>
        <w:pStyle w:val="BodyText"/>
      </w:pPr>
      <w:r>
        <w:t xml:space="preserve">These means conceal heterogeneity: UGO-SMOTE has the highest LogReg F1 on 13 of 30 variants even though SMOTE has the higher variant-average F1. A method’s performance depends on the classifier and dataset. FPR should be read alongside recall-sensitive metrics; a very conservative model can achieve low FPR while missing minority examples.</w:t>
      </w:r>
    </w:p>
    <w:bookmarkEnd w:id="23"/>
    <w:bookmarkStart w:id="24" w:name="questions-addressed-by-the-methods"/>
    <w:p>
      <w:pPr>
        <w:pStyle w:val="Heading1"/>
      </w:pPr>
      <w:r>
        <w:t xml:space="preserve">Questions addressed by the methods</w:t>
      </w:r>
    </w:p>
    <w:p>
      <w:pPr>
        <w:pStyle w:val="FirstParagraph"/>
      </w:pPr>
      <w:r>
        <w:rPr>
          <w:b/>
          <w:bCs/>
        </w:rPr>
        <w:t xml:space="preserve">Boundary sampling and overlap (BFCH-SMOTE).</w:t>
      </w:r>
      <w:r>
        <w:t xml:space="preserve"> </w:t>
      </w:r>
      <w:r>
        <w:t xml:space="preserve">BFCH-SMOTE applies an observed-majority exclusion rule during its geometric generation. That does not guarantee low overlap on unseen data. The study’s</w:t>
      </w:r>
      <w:r>
        <w:t xml:space="preserve"> </w:t>
      </w:r>
      <w:r>
        <w:rPr>
          <w:i/>
          <w:iCs/>
        </w:rPr>
        <w:t xml:space="preserve">training-only proxy</w:t>
      </w:r>
      <w:r>
        <w:t xml:space="preserve"> </w:t>
      </w:r>
      <w:r>
        <w:t xml:space="preserve">asks whether a generated minority point is nearer an observed majority row than an observed minority row. BFCH-SMOTE has a higher proxy rate than SMOTE on</w:t>
      </w:r>
      <w:r>
        <w:t xml:space="preserve"> </w:t>
      </w:r>
      <w:r>
        <w:rPr>
          <w:b/>
          <w:bCs/>
        </w:rPr>
        <w:t xml:space="preserve">26 of 30</w:t>
      </w:r>
      <w:r>
        <w:t xml:space="preserve"> </w:t>
      </w:r>
      <w:r>
        <w:t xml:space="preserve">variants, a lower rate on 3, and a tie on 1; its variant-average proxy rate is</w:t>
      </w:r>
      <w:r>
        <w:t xml:space="preserve"> </w:t>
      </w:r>
      <w:r>
        <w:rPr>
          <w:b/>
          <w:bCs/>
        </w:rPr>
        <w:t xml:space="preserve">0.141 versus 0.102</w:t>
      </w:r>
      <w:r>
        <w:t xml:space="preserve"> </w:t>
      </w:r>
      <w:r>
        <w:t xml:space="preserve">for SMOTE. These rates do not measure the true decision boundary or true class overlap. The current results therefore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demonstrate the desired reduction in overlap.</w:t>
      </w:r>
    </w:p>
    <w:p>
      <w:pPr>
        <w:pStyle w:val="BodyText"/>
      </w:pPr>
      <w:r>
        <w:rPr>
          <w:b/>
          <w:bCs/>
        </w:rPr>
        <w:t xml:space="preserve">Intra-class imbalance (EC-EBO).</w:t>
      </w:r>
      <w:r>
        <w:t xml:space="preserve"> </w:t>
      </w:r>
      <w:r>
        <w:t xml:space="preserve">EC-EBO’s entropy and clustering mechanism is implemented, but this comparison does not separately label minority subclusters or measure improvement by subcluster. Its mean LogReg G-mean is 0.794 versus SMOTE’s 0.800; GNB G-mean is 0.762 versus 0.771. This study is insufficient to claim that it resolves intra-class imbalance, although dataset-specific improvements may warrant inspection.</w:t>
      </w:r>
    </w:p>
    <w:p>
      <w:pPr>
        <w:pStyle w:val="BodyText"/>
      </w:pPr>
      <w:r>
        <w:rPr>
          <w:b/>
          <w:bCs/>
        </w:rPr>
        <w:t xml:space="preserve">Unlabelled data (SSHR).</w:t>
      </w:r>
      <w:r>
        <w:t xml:space="preserve"> </w:t>
      </w:r>
      <w:r>
        <w:t xml:space="preserve">SSHR uses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to select and pseudo-label existing training observations and may generate new minority vectors through its SMOTE fallback. The ablation estimates what supplying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changed under the fixed protocol: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SSHR with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SSHR without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− without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+0.024</w:t>
            </w:r>
          </w:p>
        </w:tc>
      </w:tr>
    </w:tbl>
    <w:p>
      <w:pPr>
        <w:pStyle w:val="BodyText"/>
      </w:pPr>
      <w:r>
        <w:t xml:space="preserve">Supplying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lowers variant-average F1 by 0.016 (LogReg) and 0.026 (GNB), while G-mean rises by about 0.013 and 0.012. FPR rises by about 0.022–0.024. F1 declines on 22/30 LogReg variants and 23/30 GNB variants, with one tie in each. Thus the present evidence does not support a general F1 benefit from</w:t>
      </w:r>
      <w:r>
        <w:t xml:space="preserve"> </w:t>
      </w:r>
      <w:r>
        <w:rPr>
          <w:rStyle w:val="VerbatimChar"/>
        </w:rPr>
        <w:t xml:space="preserve">U</w:t>
      </w:r>
      <w:r>
        <w:t xml:space="preserve">; it shows a recall/false-positive tradeoff. These ablation means use all 25 paired folds, including the three folds excluded from the six-method wine comparison.</w:t>
      </w:r>
    </w:p>
    <w:bookmarkEnd w:id="24"/>
    <w:bookmarkStart w:id="25" w:name="Xfee79f49ccef08d501c5e2675aa8fa5b0625182"/>
    <w:p>
      <w:pPr>
        <w:pStyle w:val="Heading1"/>
      </w:pPr>
      <w:r>
        <w:t xml:space="preserve">Interpretation limits and next discussion</w:t>
      </w:r>
    </w:p>
    <w:p>
      <w:pPr>
        <w:pStyle w:val="FirstParagraph"/>
      </w:pPr>
      <w:r>
        <w:t xml:space="preserve">The 30 entries are not 30 independent original datasets: Ecoli and Yeast alone contribute 19 entries. The averages are descriptive variant averages, not confidence intervals or independent-sample statistical tests. Repeated folds share observations, and the study uses only two classifiers, one labelled fraction, fixed method defaults and one seed. Paper-specific data preparation, hyperparameters, classifier sets and SSHR’s original unlabelled-pool protocol are not established here. UGO-SMOTE remains a provisional, source-audited implementation; BFCH-SMOTE includes declared geometric repairs; EC-EBO is an audited interpretation; SSHR also contains explicit implementation choices. Consequently, differences from original paper tables are expected.</w:t>
      </w:r>
    </w:p>
    <w:p>
      <w:pPr>
        <w:pStyle w:val="BodyText"/>
      </w:pPr>
      <w:r>
        <w:t xml:space="preserve">For a subsequent research method, define the primary target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tuning—for example, minority F1 subject to a maximum FPR—and evaluate boundary quality with a prespecified held-out or geometric overlap measure. The current BFCH proxy and SSHR ablation identify concrete limitations to discuss with the supervisor; they do not by themselves establish a new algorithm.</w:t>
      </w:r>
    </w:p>
    <w:bookmarkEnd w:id="25"/>
    <w:bookmarkStart w:id="32" w:name="files-and-provenance"/>
    <w:p>
      <w:pPr>
        <w:pStyle w:val="Heading1"/>
      </w:pPr>
      <w:r>
        <w:t xml:space="preserve">Files and provenance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30-dataset comparison table</w:t>
        </w:r>
      </w:hyperlink>
      <w:r>
        <w:t xml:space="preserve">: 300 Excel-friendly rows, with all five metrics side by side for six methods, separately by classifier and dataset.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Detailed aggregate scores</w:t>
        </w:r>
      </w:hyperlink>
      <w:r>
        <w:t xml:space="preserve">: 1,800 rows with mean, sample SD, shared-fold count and paired difference from NORES.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Method coverage</w:t>
        </w:r>
      </w:hyperlink>
      <w:r>
        <w:t xml:space="preserve">: planned, successful and failed fold events for every dataset, classifier and method.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SSHR unlabelled-pool ablation</w:t>
        </w:r>
      </w:hyperlink>
      <w:r>
        <w:t xml:space="preserve">: paired with/without-U effects for each dataset, classifier and metric.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Study protocol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fixed selection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Uploaded review ZIP SHA-256:</w:t>
      </w:r>
      <w:r>
        <w:t xml:space="preserve"> </w:t>
      </w:r>
      <w:r>
        <w:rPr>
          <w:rStyle w:val="VerbatimChar"/>
        </w:rPr>
        <w:t xml:space="preserve">05461d8e67ff55741982a0b8115fba80fcf6af0c7ff1ae8804e70699cca2b4be</w:t>
      </w:r>
      <w:r>
        <w:t xml:space="preserve">. It is retained by the student as the original aggregate report bundle. Raw datasets and individual job outputs remain local.</w:t>
      </w:r>
    </w:p>
    <w:p>
      <w:pPr>
        <w:pStyle w:val="FirstParagraph"/>
      </w:pPr>
      <w:r>
        <w:t xml:space="preserve">Paper sources: Sağlam &amp; Cengiz, UGO,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 </w:t>
      </w:r>
      <w:r>
        <w:t xml:space="preserve">(2026), DOI 10.1016/j.knosys.2026.115886; Wen et al., BFCH-SMOTE,</w:t>
      </w:r>
      <w:r>
        <w:t xml:space="preserve"> </w:t>
      </w:r>
      <w:r>
        <w:rPr>
          <w:i/>
          <w:iCs/>
        </w:rPr>
        <w:t xml:space="preserve">Neurocomputing</w:t>
      </w:r>
      <w:r>
        <w:t xml:space="preserve"> </w:t>
      </w:r>
      <w:r>
        <w:t xml:space="preserve">(2026), DOI 10.1016/j.neucom.2026.134595; Tao et al., EC-EBO,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 </w:t>
      </w:r>
      <w:r>
        <w:t xml:space="preserve">(2026), DOI 10.1016/j.knosys.2026.115544; Jiang et al., SSHR,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 </w:t>
      </w:r>
      <w:r>
        <w:t xml:space="preserve">(2023), DOI 10.1016/j.eswa.2023.119733. This report cites the studied methods; it does not assert exact author-code equivalence.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../../data/manifests/all_methods_30.json" TargetMode="External" /><Relationship Type="http://schemas.openxmlformats.org/officeDocument/2006/relationships/hyperlink" Id="rId30" Target="../ALL_METHODS_30_LOCAL.md" TargetMode="External" /><Relationship Type="http://schemas.openxmlformats.org/officeDocument/2006/relationships/hyperlink" Id="rId26" Target="Imbalanced_Learning_30_Dataset_Comparison.csv" TargetMode="External" /><Relationship Type="http://schemas.openxmlformats.org/officeDocument/2006/relationships/hyperlink" Id="rId28" Target="Imbalanced_Learning_30_Dataset_Coverage.csv" TargetMode="External" /><Relationship Type="http://schemas.openxmlformats.org/officeDocument/2006/relationships/hyperlink" Id="rId29" Target="Imbalanced_Learning_30_Dataset_SSHR_Ablation.csv" TargetMode="External" /><Relationship Type="http://schemas.openxmlformats.org/officeDocument/2006/relationships/hyperlink" Id="rId27" Target="Imbalanced_Learning_30_Dataset_Score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../data/manifests/all_methods_30.json" TargetMode="External" /><Relationship Type="http://schemas.openxmlformats.org/officeDocument/2006/relationships/hyperlink" Id="rId30" Target="../ALL_METHODS_30_LOCAL.md" TargetMode="External" /><Relationship Type="http://schemas.openxmlformats.org/officeDocument/2006/relationships/hyperlink" Id="rId26" Target="Imbalanced_Learning_30_Dataset_Comparison.csv" TargetMode="External" /><Relationship Type="http://schemas.openxmlformats.org/officeDocument/2006/relationships/hyperlink" Id="rId28" Target="Imbalanced_Learning_30_Dataset_Coverage.csv" TargetMode="External" /><Relationship Type="http://schemas.openxmlformats.org/officeDocument/2006/relationships/hyperlink" Id="rId29" Target="Imbalanced_Learning_30_Dataset_SSHR_Ablation.csv" TargetMode="External" /><Relationship Type="http://schemas.openxmlformats.org/officeDocument/2006/relationships/hyperlink" Id="rId27" Target="Imbalanced_Learning_30_Dataset_Score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comparison of six resampling conditions on 30 binary datasets</dc:title>
  <dc:creator/>
  <cp:keywords/>
  <dcterms:created xsi:type="dcterms:W3CDTF">2026-10-13T18:06:08Z</dcterms:created>
  <dcterms:modified xsi:type="dcterms:W3CDTF">2026-10-13T18:06:08Z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October 2026</vt:lpwstr>
  </property>
  <property fmtid="{D5CDD505-2E9C-101B-9397-08002B2CF9AE}" pid="3" name="subtitle">
    <vt:lpwstr>Supervisor briefing — UGO-SMOTE, BFCH-SMOTE, EC-EBO, SSHR, SMOTE and no resampling</vt:lpwstr>
  </property>
</Properties>
</file>