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word/theme/theme1.xml" ContentType="application/vnd.openxmlformats-officedocument.theme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header5.xml" ContentType="application/vnd.openxmlformats-officedocument.wordprocessingml.header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 w14:paraId="44AAF7AF">
      <w:pPr>
        <w:pStyle w:val="style1"/>
        <w:keepNext/>
        <w:keepLines/>
        <w:pageBreakBefore w:val="false"/>
        <w:widowControl w:val="false"/>
        <w:kinsoku/>
        <w:wordWrap/>
        <w:overflowPunct/>
        <w:topLinePunct w:val="false"/>
        <w:autoSpaceDE/>
        <w:autoSpaceDN/>
        <w:bidi w:val="false"/>
        <w:adjustRightInd w:val="false"/>
        <w:snapToGrid w:val="false"/>
        <w:spacing w:before="0" w:after="0" w:lineRule="auto" w:line="240"/>
        <w:jc w:val="center"/>
        <w:textAlignment w:val="auto"/>
        <w:rPr>
          <w:rFonts w:eastAsia="宋体" w:hint="eastAsia"/>
          <w:lang w:val="en-US" w:eastAsia="zh-CN"/>
        </w:rPr>
      </w:pPr>
      <w:r>
        <w:t>2026年</w:t>
      </w:r>
      <w:r>
        <w:rPr>
          <w:rFonts w:hint="eastAsia"/>
          <w:lang w:val="en-US" w:eastAsia="zh-CN"/>
        </w:rPr>
        <w:t>湖南大学</w:t>
      </w:r>
      <w:r>
        <w:t>电赛</w:t>
      </w:r>
      <w:r>
        <w:rPr>
          <w:rFonts w:hint="eastAsia"/>
          <w:lang w:val="en-US" w:eastAsia="zh-CN"/>
        </w:rPr>
        <w:t>第二轮</w:t>
      </w:r>
      <w:r>
        <w:t>校内</w:t>
      </w:r>
      <w:r>
        <w:rPr>
          <w:rFonts w:hint="eastAsia"/>
          <w:lang w:val="en-US" w:eastAsia="zh-CN"/>
        </w:rPr>
        <w:t>考核题</w:t>
      </w:r>
    </w:p>
    <w:p w14:paraId="708CC0B9">
      <w:pPr>
        <w:pStyle w:val="style0"/>
        <w:rPr>
          <w:rFonts w:hint="eastAsia"/>
        </w:rPr>
      </w:pPr>
    </w:p>
    <w:p w14:paraId="6A656C5E">
      <w:pPr>
        <w:pStyle w:val="style4116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  <w:lang w:val="en-US"/>
        </w:rPr>
        <w:t>注：此页不要求打印</w:t>
      </w:r>
    </w:p>
    <w:p w14:paraId="4E62DCDB">
      <w:pPr>
        <w:pStyle w:val="style0"/>
        <w:keepNext w:val="false"/>
        <w:keepLines w:val="false"/>
        <w:pageBreakBefore w:val="false"/>
        <w:widowControl w:val="false"/>
        <w:kinsoku/>
        <w:wordWrap/>
        <w:overflowPunct/>
        <w:topLinePunct w:val="false"/>
        <w:autoSpaceDE/>
        <w:autoSpaceDN/>
        <w:bidi w:val="false"/>
        <w:adjustRightInd/>
        <w:snapToGrid/>
        <w:ind w:firstLine="420" w:firstLineChars="200"/>
        <w:textAlignment w:val="auto"/>
        <w:rPr>
          <w:rFonts w:ascii="宋体" w:cs="宋体" w:eastAsia="宋体" w:hAnsi="宋体" w:hint="eastAsia"/>
          <w:sz w:val="21"/>
          <w:szCs w:val="21"/>
          <w:lang w:val="en-US" w:eastAsia="zh-CN"/>
        </w:rPr>
      </w:pPr>
      <w:r>
        <w:rPr>
          <w:rFonts w:ascii="宋体" w:cs="宋体" w:eastAsia="宋体" w:hAnsi="宋体" w:hint="eastAsia"/>
          <w:sz w:val="21"/>
          <w:szCs w:val="21"/>
        </w:rPr>
        <w:t>自备A、B两块主控电路板（单片机、FPGA、树莓派、DSP等非PC主板均可）</w:t>
      </w:r>
      <w:r>
        <w:rPr>
          <w:rFonts w:ascii="宋体" w:cs="宋体" w:eastAsia="宋体" w:hAnsi="宋体" w:hint="eastAsia"/>
          <w:sz w:val="21"/>
          <w:szCs w:val="21"/>
          <w:lang w:eastAsia="zh-CN"/>
        </w:rPr>
        <w:t>；</w:t>
      </w:r>
    </w:p>
    <w:p w14:paraId="0A3A7F05">
      <w:pPr>
        <w:pStyle w:val="style0"/>
        <w:keepNext w:val="false"/>
        <w:keepLines w:val="false"/>
        <w:pageBreakBefore w:val="false"/>
        <w:widowControl w:val="false"/>
        <w:kinsoku/>
        <w:wordWrap/>
        <w:overflowPunct/>
        <w:topLinePunct w:val="false"/>
        <w:autoSpaceDE/>
        <w:autoSpaceDN/>
        <w:bidi w:val="false"/>
        <w:adjustRightInd/>
        <w:snapToGrid/>
        <w:ind w:firstLine="422" w:firstLineChars="200"/>
        <w:textAlignment w:val="auto"/>
        <w:rPr>
          <w:rFonts w:ascii="宋体" w:cs="宋体" w:eastAsia="宋体" w:hAnsi="宋体" w:hint="eastAsia"/>
          <w:sz w:val="21"/>
          <w:szCs w:val="21"/>
        </w:rPr>
      </w:pPr>
      <w:r>
        <w:rPr>
          <w:rFonts w:ascii="宋体" w:cs="宋体" w:eastAsia="宋体" w:hAnsi="宋体" w:hint="eastAsia"/>
          <w:b/>
          <w:bCs/>
          <w:sz w:val="21"/>
          <w:szCs w:val="21"/>
        </w:rPr>
        <w:t>A</w:t>
      </w:r>
      <w:r>
        <w:rPr>
          <w:rFonts w:ascii="宋体" w:cs="宋体" w:eastAsia="宋体" w:hAnsi="宋体" w:hint="eastAsia"/>
          <w:sz w:val="21"/>
          <w:szCs w:val="21"/>
        </w:rPr>
        <w:t>板上有按键</w:t>
      </w:r>
      <w:r>
        <w:rPr>
          <w:rFonts w:ascii="宋体" w:cs="宋体" w:eastAsia="宋体" w:hAnsi="宋体" w:hint="eastAsia"/>
          <w:b/>
          <w:bCs/>
          <w:sz w:val="21"/>
          <w:szCs w:val="21"/>
        </w:rPr>
        <w:t>K1</w:t>
      </w:r>
      <w:r>
        <w:rPr>
          <w:rFonts w:ascii="宋体" w:cs="宋体" w:eastAsia="宋体" w:hAnsi="宋体" w:hint="eastAsia"/>
          <w:sz w:val="21"/>
          <w:szCs w:val="21"/>
        </w:rPr>
        <w:t>、显示模块（LED、多位数码管、LCD均可）、1个可控LED</w:t>
      </w:r>
      <w:r>
        <w:rPr>
          <w:rFonts w:ascii="宋体" w:cs="宋体" w:eastAsia="宋体" w:hAnsi="宋体" w:hint="eastAsia"/>
          <w:sz w:val="21"/>
          <w:szCs w:val="21"/>
          <w:lang w:val="en-US" w:eastAsia="zh-CN"/>
        </w:rPr>
        <w:t>:</w:t>
      </w:r>
      <w:r>
        <w:rPr>
          <w:rFonts w:ascii="宋体" w:cs="宋体" w:eastAsia="宋体" w:hAnsi="宋体" w:hint="eastAsia"/>
          <w:b/>
          <w:bCs/>
          <w:sz w:val="21"/>
          <w:szCs w:val="21"/>
        </w:rPr>
        <w:t>D1</w:t>
      </w:r>
      <w:r>
        <w:rPr>
          <w:rFonts w:ascii="宋体" w:cs="宋体" w:eastAsia="宋体" w:hAnsi="宋体" w:hint="eastAsia"/>
          <w:sz w:val="21"/>
          <w:szCs w:val="21"/>
        </w:rPr>
        <w:t>；</w:t>
      </w:r>
    </w:p>
    <w:p w14:paraId="333525C2">
      <w:pPr>
        <w:pStyle w:val="style0"/>
        <w:keepNext w:val="false"/>
        <w:keepLines w:val="false"/>
        <w:pageBreakBefore w:val="false"/>
        <w:widowControl w:val="false"/>
        <w:kinsoku/>
        <w:wordWrap/>
        <w:overflowPunct/>
        <w:topLinePunct w:val="false"/>
        <w:autoSpaceDE/>
        <w:autoSpaceDN/>
        <w:bidi w:val="false"/>
        <w:adjustRightInd/>
        <w:snapToGrid/>
        <w:ind w:firstLine="420" w:firstLineChars="200"/>
        <w:textAlignment w:val="auto"/>
        <w:rPr>
          <w:rFonts w:ascii="宋体" w:cs="宋体" w:eastAsia="宋体" w:hAnsi="宋体" w:hint="default"/>
          <w:sz w:val="21"/>
          <w:szCs w:val="21"/>
          <w:lang w:val="en-US" w:eastAsia="zh-CN"/>
        </w:rPr>
      </w:pPr>
      <w:r>
        <w:rPr>
          <w:rFonts w:ascii="宋体" w:cs="宋体" w:eastAsia="宋体" w:hAnsi="宋体" w:hint="eastAsia"/>
          <w:sz w:val="21"/>
          <w:szCs w:val="21"/>
        </w:rPr>
        <w:t>B板上有按键K2、显示模块（同上）、1个可控LED：D2</w:t>
      </w:r>
      <w:r>
        <w:rPr>
          <w:rFonts w:ascii="宋体" w:cs="宋体" w:eastAsia="宋体" w:hAnsi="宋体" w:hint="eastAsia"/>
          <w:sz w:val="21"/>
          <w:szCs w:val="21"/>
          <w:lang w:eastAsia="zh-CN"/>
        </w:rPr>
        <w:t>，</w:t>
      </w:r>
      <w:r>
        <w:rPr>
          <w:rFonts w:ascii="宋体" w:cs="宋体" w:eastAsia="宋体" w:hAnsi="宋体" w:hint="eastAsia"/>
          <w:sz w:val="21"/>
          <w:szCs w:val="21"/>
          <w:lang w:val="en-US" w:eastAsia="zh-CN"/>
        </w:rPr>
        <w:t>始终输出两路互补PWM信号</w:t>
      </w:r>
    </w:p>
    <w:p w14:paraId="47CC247E">
      <w:pPr>
        <w:pStyle w:val="style0"/>
        <w:keepNext w:val="false"/>
        <w:keepLines w:val="false"/>
        <w:pageBreakBefore w:val="false"/>
        <w:widowControl w:val="false"/>
        <w:kinsoku/>
        <w:wordWrap/>
        <w:overflowPunct/>
        <w:topLinePunct w:val="false"/>
        <w:autoSpaceDE/>
        <w:autoSpaceDN/>
        <w:bidi w:val="false"/>
        <w:adjustRightInd/>
        <w:snapToGrid/>
        <w:ind w:firstLine="420" w:firstLineChars="200"/>
        <w:textAlignment w:val="auto"/>
        <w:rPr>
          <w:rFonts w:ascii="宋体" w:cs="宋体" w:eastAsia="宋体" w:hAnsi="宋体" w:hint="eastAsia"/>
          <w:sz w:val="21"/>
          <w:szCs w:val="21"/>
        </w:rPr>
      </w:pPr>
      <w:r>
        <w:rPr>
          <w:rFonts w:ascii="宋体" w:cs="宋体" w:eastAsia="宋体" w:hAnsi="宋体" w:hint="eastAsia"/>
          <w:sz w:val="21"/>
          <w:szCs w:val="21"/>
        </w:rPr>
        <w:t>A板提供模拟电压输入接口，由外界输入信号Vi（</w:t>
      </w:r>
      <w:r>
        <w:rPr>
          <w:rFonts w:ascii="宋体" w:cs="宋体" w:eastAsia="宋体" w:hAnsi="宋体" w:hint="eastAsia"/>
          <w:sz w:val="21"/>
          <w:szCs w:val="21"/>
          <w:lang w:val="en-US" w:eastAsia="zh-CN"/>
        </w:rPr>
        <w:t>范围</w:t>
      </w:r>
      <w:r>
        <w:rPr>
          <w:rFonts w:ascii="宋体" w:cs="宋体" w:eastAsia="宋体" w:hAnsi="宋体" w:hint="eastAsia"/>
          <w:sz w:val="21"/>
          <w:szCs w:val="21"/>
        </w:rPr>
        <w:t>0～3.3V，可直流、1～3Hz正弦</w:t>
      </w:r>
      <w:r>
        <w:rPr>
          <w:rFonts w:ascii="宋体" w:cs="宋体" w:eastAsia="宋体" w:hAnsi="宋体" w:hint="eastAsia"/>
          <w:sz w:val="21"/>
          <w:szCs w:val="21"/>
          <w:lang w:val="en-US" w:eastAsia="zh-CN"/>
        </w:rPr>
        <w:t>或方波，直流偏置恒定1.65v</w:t>
      </w:r>
      <w:r>
        <w:rPr>
          <w:rFonts w:ascii="宋体" w:cs="宋体" w:eastAsia="宋体" w:hAnsi="宋体" w:hint="eastAsia"/>
          <w:sz w:val="21"/>
          <w:szCs w:val="21"/>
        </w:rPr>
        <w:t>）；A、B两板</w:t>
      </w:r>
      <w:r>
        <w:rPr>
          <w:rFonts w:ascii="宋体" w:cs="宋体" w:eastAsia="宋体" w:hAnsi="宋体" w:hint="eastAsia"/>
          <w:sz w:val="21"/>
          <w:szCs w:val="21"/>
          <w:lang w:val="en-US" w:eastAsia="zh-CN"/>
        </w:rPr>
        <w:t>存在通信，可通过</w:t>
      </w:r>
      <w:r>
        <w:rPr>
          <w:rFonts w:ascii="宋体" w:cs="宋体" w:eastAsia="宋体" w:hAnsi="宋体" w:hint="eastAsia"/>
          <w:sz w:val="21"/>
          <w:szCs w:val="21"/>
        </w:rPr>
        <w:t>有线串行通信连接（板间连线含地线不得多于3根）</w:t>
      </w:r>
      <w:r>
        <w:rPr>
          <w:rFonts w:ascii="宋体" w:cs="宋体" w:eastAsia="宋体" w:hAnsi="宋体" w:hint="eastAsia"/>
          <w:sz w:val="21"/>
          <w:szCs w:val="21"/>
          <w:lang w:eastAsia="zh-CN"/>
        </w:rPr>
        <w:t>，</w:t>
      </w:r>
      <w:r>
        <w:rPr>
          <w:rFonts w:ascii="宋体" w:cs="宋体" w:eastAsia="宋体" w:hAnsi="宋体" w:hint="eastAsia"/>
          <w:sz w:val="21"/>
          <w:szCs w:val="21"/>
          <w:lang w:val="en-US" w:eastAsia="zh-CN"/>
        </w:rPr>
        <w:t>也可用蓝牙等无线连接</w:t>
      </w:r>
      <w:r>
        <w:rPr>
          <w:rFonts w:ascii="宋体" w:cs="宋体" w:eastAsia="宋体" w:hAnsi="宋体" w:hint="eastAsia"/>
          <w:sz w:val="21"/>
          <w:szCs w:val="21"/>
        </w:rPr>
        <w:t>。</w:t>
      </w:r>
    </w:p>
    <w:p w14:paraId="4ADB5ACB">
      <w:pPr>
        <w:pStyle w:val="style0"/>
        <w:keepNext w:val="false"/>
        <w:keepLines w:val="false"/>
        <w:pageBreakBefore w:val="false"/>
        <w:widowControl w:val="false"/>
        <w:kinsoku/>
        <w:wordWrap/>
        <w:overflowPunct/>
        <w:topLinePunct w:val="false"/>
        <w:autoSpaceDE/>
        <w:autoSpaceDN/>
        <w:bidi w:val="false"/>
        <w:adjustRightInd/>
        <w:snapToGrid/>
        <w:ind w:firstLine="420" w:firstLineChars="200"/>
        <w:textAlignment w:val="auto"/>
        <w:rPr>
          <w:rFonts w:hint="eastAsia"/>
        </w:rPr>
      </w:pPr>
      <w:r>
        <w:rPr>
          <w:rFonts w:ascii="宋体" w:cs="宋体" w:eastAsia="宋体" w:hAnsi="宋体" w:hint="eastAsia"/>
          <w:sz w:val="21"/>
          <w:szCs w:val="21"/>
        </w:rPr>
        <w:t>提醒：容易错读，请仔细审题本次考核满分150分，所有评分项分值均为5分，共计30项。</w:t>
      </w:r>
    </w:p>
    <w:p w14:paraId="4525B0AB">
      <w:pPr>
        <w:pStyle w:val="style4107"/>
        <w:bidi w:val="false"/>
        <w:jc w:val="left"/>
        <w:rPr>
          <w:sz w:val="28"/>
          <w:szCs w:val="28"/>
        </w:rPr>
      </w:pPr>
      <w:r>
        <w:rPr>
          <w:sz w:val="28"/>
          <w:szCs w:val="28"/>
        </w:rPr>
        <w:t>一、功能概述</w:t>
      </w:r>
    </w:p>
    <w:p w14:paraId="716EAD44">
      <w:pPr>
        <w:pStyle w:val="style4107"/>
        <w:bidi w:val="false"/>
        <w:jc w:val="center"/>
        <w:rPr/>
      </w:pPr>
      <w:r>
        <w:rPr/>
        <w:drawing>
          <wp:inline distL="0" distT="0" distB="0" distR="0">
            <wp:extent cx="5036185" cy="1991360"/>
            <wp:effectExtent l="0" t="0" r="8255" b="5080"/>
            <wp:docPr id="1026" name="图片 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"/>
                    <pic:cNvPicPr/>
                  </pic:nvPicPr>
                  <pic:blipFill>
                    <a:blip r:embed="rId2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036185" cy="1991360"/>
                    </a:xfrm>
                    <a:prstGeom prst="rect"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2AF97E">
      <w:pPr>
        <w:pStyle w:val="style34"/>
        <w:bidi w:val="false"/>
        <w:jc w:val="center"/>
        <w:rPr>
          <w:rFonts w:eastAsia="黑体" w:hint="default"/>
          <w:lang w:val="en-US" w:eastAsia="zh-CN"/>
        </w:rPr>
      </w:pPr>
      <w:r>
        <w:t xml:space="preserve">图 </w:t>
      </w:r>
      <w:r>
        <w:rPr/>
        <w:fldChar w:fldCharType="begin"/>
      </w:r>
      <w:r>
        <w:instrText xml:space="preserve"> SEQ 图 \* ARABIC </w:instrText>
      </w:r>
      <w:r>
        <w:rPr/>
        <w:fldChar w:fldCharType="separate"/>
      </w:r>
      <w:r>
        <w:t>1</w:t>
      </w:r>
      <w:r>
        <w:rPr/>
        <w:fldChar w:fldCharType="end"/>
      </w:r>
      <w:r>
        <w:rPr>
          <w:rFonts w:hint="eastAsia"/>
          <w:lang w:val="en-US" w:eastAsia="zh-CN"/>
        </w:rPr>
        <w:t xml:space="preserve"> 系统框图</w:t>
      </w:r>
    </w:p>
    <w:p w14:paraId="3A0DF8C3">
      <w:pPr>
        <w:pStyle w:val="style4107"/>
        <w:bidi w:val="false"/>
        <w:rPr>
          <w:sz w:val="28"/>
          <w:szCs w:val="28"/>
        </w:rPr>
      </w:pPr>
      <w:r>
        <w:rPr>
          <w:sz w:val="28"/>
          <w:szCs w:val="28"/>
        </w:rPr>
        <w:t>1.A板任务</w:t>
      </w:r>
    </w:p>
    <w:p w14:paraId="1FC4D287">
      <w:pPr>
        <w:pStyle w:val="style4116"/>
        <w:rPr>
          <w:rFonts w:eastAsia="宋体" w:hint="eastAsia"/>
          <w:lang w:eastAsia="zh-CN"/>
        </w:rPr>
      </w:pPr>
      <w:r>
        <w:t>接收输入信号Vi，自动识别</w:t>
      </w:r>
      <w:r>
        <w:rPr>
          <w:rFonts w:hint="eastAsia"/>
          <w:lang w:val="en-US" w:eastAsia="zh-CN"/>
        </w:rPr>
        <w:t>并显示</w:t>
      </w:r>
      <w:r>
        <w:t>类型（直流/正弦/方波</w:t>
      </w:r>
      <w:r>
        <w:rPr>
          <w:rFonts w:hint="eastAsia"/>
          <w:lang w:val="en-US" w:eastAsia="zh-CN"/>
        </w:rPr>
        <w:t>/无输入</w:t>
      </w:r>
      <w:r>
        <w:t>），测量电压值（正弦、方波取</w:t>
      </w:r>
      <w:r>
        <w:rPr>
          <w:rFonts w:hint="eastAsia"/>
          <w:lang w:val="en-US" w:eastAsia="zh-CN"/>
        </w:rPr>
        <w:t>幅值</w:t>
      </w:r>
      <w:r>
        <w:t>，直流取电压值）</w:t>
      </w:r>
      <w:r>
        <w:rPr>
          <w:rFonts w:hint="eastAsia"/>
          <w:lang w:eastAsia="zh-CN"/>
        </w:rPr>
        <w:t>；</w:t>
      </w:r>
    </w:p>
    <w:p w14:paraId="2D2EB9A6">
      <w:pPr>
        <w:pStyle w:val="style4116"/>
        <w:rPr>
          <w:rFonts w:hint="eastAsia"/>
          <w:lang w:eastAsia="zh-CN"/>
        </w:rPr>
      </w:pPr>
      <w:r>
        <w:t>D1为呼吸灯，受K1 短按控制是否</w:t>
      </w:r>
      <w:r>
        <w:rPr>
          <w:rFonts w:hint="eastAsia"/>
          <w:lang w:val="en-US" w:eastAsia="zh-CN"/>
        </w:rPr>
        <w:t>点亮(K1长按控制D2是否点亮)</w:t>
      </w:r>
      <w:r>
        <w:rPr>
          <w:rFonts w:hint="eastAsia"/>
          <w:lang w:eastAsia="zh-CN"/>
        </w:rPr>
        <w:t>；</w:t>
      </w:r>
      <w:r>
        <w:t>呼吸频率由B板的PWM模式决定（</w:t>
      </w:r>
      <w:r>
        <w:rPr>
          <w:rFonts w:hint="eastAsia"/>
          <w:lang w:val="en-US" w:eastAsia="zh-CN"/>
        </w:rPr>
        <w:t>K2循环切换，</w:t>
      </w:r>
      <w:r>
        <w:t>三种模式对应三种明显不同的呼吸频率）</w:t>
      </w:r>
      <w:r>
        <w:rPr>
          <w:rFonts w:hint="eastAsia"/>
          <w:lang w:eastAsia="zh-CN"/>
        </w:rPr>
        <w:t>；</w:t>
      </w:r>
      <w:r>
        <w:t>显示相关信息及</w:t>
      </w:r>
      <w:r>
        <w:rPr>
          <w:rFonts w:hint="eastAsia"/>
          <w:lang w:val="en-US" w:eastAsia="zh-CN"/>
        </w:rPr>
        <w:t>通信</w:t>
      </w:r>
      <w:r>
        <w:t>状态。</w:t>
      </w:r>
    </w:p>
    <w:p w14:paraId="5A685B51">
      <w:pPr>
        <w:pStyle w:val="style4106"/>
        <w:rPr>
          <w:sz w:val="28"/>
          <w:szCs w:val="28"/>
        </w:rPr>
      </w:pPr>
      <w:r>
        <w:rPr>
          <w:sz w:val="28"/>
          <w:szCs w:val="28"/>
        </w:rPr>
        <w:t>2.B板任务</w:t>
      </w:r>
    </w:p>
    <w:p w14:paraId="11B6A9A1">
      <w:pPr>
        <w:pStyle w:val="style4116"/>
        <w:keepNext w:val="false"/>
        <w:keepLines w:val="false"/>
        <w:pageBreakBefore w:val="false"/>
        <w:widowControl w:val="false"/>
        <w:kinsoku/>
        <w:wordWrap/>
        <w:overflowPunct/>
        <w:topLinePunct w:val="false"/>
        <w:autoSpaceDE/>
        <w:autoSpaceDN/>
        <w:bidi w:val="false"/>
        <w:adjustRightInd/>
        <w:snapToGrid/>
        <w:textAlignment w:val="auto"/>
        <w:rPr>
          <w:rFonts w:eastAsia="宋体" w:hint="eastAsia"/>
          <w:lang w:eastAsia="zh-CN"/>
        </w:rPr>
      </w:pPr>
      <w:r>
        <w:t>D2亮度跟随Vi大小变化，Vi=0V时仍能明显看到微光</w:t>
      </w:r>
      <w:r>
        <w:rPr>
          <w:rFonts w:hint="eastAsia"/>
          <w:lang w:eastAsia="zh-CN"/>
        </w:rPr>
        <w:t>；</w:t>
      </w:r>
      <w:r>
        <w:t>受K1 长按（A板远程）控制点亮/熄灭</w:t>
      </w:r>
      <w:r>
        <w:rPr>
          <w:rFonts w:hint="eastAsia"/>
          <w:lang w:eastAsia="zh-CN"/>
        </w:rPr>
        <w:t>；</w:t>
      </w:r>
    </w:p>
    <w:p w14:paraId="77A8B72E">
      <w:pPr>
        <w:pStyle w:val="style4116"/>
        <w:keepNext w:val="false"/>
        <w:keepLines w:val="false"/>
        <w:pageBreakBefore w:val="false"/>
        <w:widowControl w:val="false"/>
        <w:kinsoku/>
        <w:wordWrap/>
        <w:overflowPunct/>
        <w:topLinePunct w:val="false"/>
        <w:autoSpaceDE/>
        <w:autoSpaceDN/>
        <w:bidi w:val="false"/>
        <w:adjustRightInd/>
        <w:snapToGrid/>
        <w:textAlignment w:val="auto"/>
        <w:rPr>
          <w:rFonts w:eastAsia="宋体" w:hint="default"/>
          <w:lang w:val="en-US" w:eastAsia="zh-CN"/>
        </w:rPr>
      </w:pPr>
      <w:r>
        <w:t>产生两路互补的5kHz PWM信号，带有明显死区。</w:t>
      </w:r>
      <w:r>
        <w:rPr>
          <w:rFonts w:hint="eastAsia"/>
          <w:lang w:val="en-US" w:eastAsia="zh-CN"/>
        </w:rPr>
        <w:t>互补PWM信号的</w:t>
      </w:r>
      <w:r>
        <w:t>占空比变化范围：</w:t>
      </w:r>
      <w:r>
        <w:rPr>
          <w:rFonts w:hint="eastAsia"/>
          <w:lang w:val="en-US" w:eastAsia="zh-CN"/>
        </w:rPr>
        <w:t>1</w:t>
      </w:r>
      <w:r>
        <w:t>0%～</w:t>
      </w:r>
      <w:r>
        <w:rPr>
          <w:rFonts w:hint="eastAsia"/>
          <w:lang w:val="en-US" w:eastAsia="zh-CN"/>
        </w:rPr>
        <w:t>9</w:t>
      </w:r>
      <w:r>
        <w:t>0%</w:t>
      </w:r>
      <w:r>
        <w:rPr>
          <w:rFonts w:hint="eastAsia"/>
          <w:lang w:eastAsia="zh-CN"/>
        </w:rPr>
        <w:t>；</w:t>
      </w:r>
    </w:p>
    <w:p w14:paraId="7F2C8501">
      <w:pPr>
        <w:pStyle w:val="style4116"/>
        <w:keepNext w:val="false"/>
        <w:keepLines w:val="false"/>
        <w:pageBreakBefore w:val="false"/>
        <w:widowControl w:val="false"/>
        <w:kinsoku/>
        <w:wordWrap/>
        <w:overflowPunct/>
        <w:topLinePunct w:val="false"/>
        <w:autoSpaceDE/>
        <w:autoSpaceDN/>
        <w:bidi w:val="false"/>
        <w:adjustRightInd/>
        <w:snapToGrid/>
        <w:textAlignment w:val="auto"/>
        <w:rPr/>
      </w:pPr>
      <w:r>
        <w:t>K2循环切换</w:t>
      </w:r>
      <w:r>
        <w:rPr>
          <w:rFonts w:hint="eastAsia"/>
          <w:lang w:val="en-US" w:eastAsia="zh-CN"/>
        </w:rPr>
        <w:t>互补</w:t>
      </w:r>
      <w:r>
        <w:t>PWM</w:t>
      </w:r>
      <w:r>
        <w:rPr>
          <w:rFonts w:hint="eastAsia"/>
          <w:lang w:val="en-US" w:eastAsia="zh-CN"/>
        </w:rPr>
        <w:t>的</w:t>
      </w:r>
      <w:r>
        <w:t>占空比模式</w:t>
      </w:r>
      <w:r>
        <w:rPr>
          <w:rFonts w:hint="eastAsia"/>
          <w:lang w:val="en-US" w:eastAsia="zh-CN"/>
        </w:rPr>
        <w:t>(同时决定A板LED呼吸频率)</w:t>
      </w:r>
      <w:r>
        <w:t>：</w:t>
      </w:r>
    </w:p>
    <w:p w14:paraId="2B4BDDBB">
      <w:pPr>
        <w:pStyle w:val="style4116"/>
        <w:keepNext w:val="false"/>
        <w:keepLines w:val="false"/>
        <w:pageBreakBefore w:val="false"/>
        <w:widowControl w:val="false"/>
        <w:kinsoku/>
        <w:wordWrap/>
        <w:overflowPunct/>
        <w:topLinePunct w:val="false"/>
        <w:autoSpaceDE/>
        <w:autoSpaceDN/>
        <w:bidi w:val="false"/>
        <w:adjustRightInd/>
        <w:snapToGrid/>
        <w:textAlignment w:val="auto"/>
        <w:rPr>
          <w:rFonts w:eastAsia="宋体" w:hint="default"/>
          <w:lang w:val="en-US" w:eastAsia="zh-CN"/>
        </w:rPr>
      </w:pPr>
      <w:r>
        <w:t>跟随模式：占空比实时跟随Vi</w:t>
      </w:r>
      <w:r>
        <w:rPr>
          <w:rFonts w:hint="eastAsia"/>
          <w:lang w:eastAsia="zh-CN"/>
        </w:rPr>
        <w:t>；</w:t>
      </w:r>
      <w:r>
        <w:rPr>
          <w:rFonts w:hint="eastAsia"/>
          <w:lang w:val="en-US" w:eastAsia="zh-CN"/>
        </w:rPr>
        <w:t>Vi为3.3v、0v分别对应90%、10%占空比，其余电压线性对应，下同。</w:t>
      </w:r>
    </w:p>
    <w:p w14:paraId="5455096A">
      <w:pPr>
        <w:pStyle w:val="style4116"/>
        <w:keepNext w:val="false"/>
        <w:keepLines w:val="false"/>
        <w:pageBreakBefore w:val="false"/>
        <w:widowControl w:val="false"/>
        <w:kinsoku/>
        <w:wordWrap/>
        <w:overflowPunct/>
        <w:topLinePunct w:val="false"/>
        <w:autoSpaceDE/>
        <w:autoSpaceDN/>
        <w:bidi w:val="false"/>
        <w:adjustRightInd/>
        <w:snapToGrid/>
        <w:textAlignment w:val="auto"/>
        <w:rPr/>
      </w:pPr>
      <w:r>
        <w:t>最大</w:t>
      </w:r>
      <w:r>
        <w:rPr>
          <w:rFonts w:hint="eastAsia"/>
          <w:lang w:val="en-US" w:eastAsia="zh-CN"/>
        </w:rPr>
        <w:t>(小)</w:t>
      </w:r>
      <w:r>
        <w:t>值模式：占空比对应过去1秒内Vi的最大</w:t>
      </w:r>
      <w:r>
        <w:rPr>
          <w:rFonts w:hint="eastAsia"/>
          <w:lang w:val="en-US" w:eastAsia="zh-CN"/>
        </w:rPr>
        <w:t>(小)</w:t>
      </w:r>
      <w:r>
        <w:t>值。</w:t>
      </w:r>
    </w:p>
    <w:p w14:paraId="1E3DB89F">
      <w:pPr>
        <w:pStyle w:val="style4116"/>
        <w:keepNext w:val="false"/>
        <w:keepLines w:val="false"/>
        <w:pageBreakBefore w:val="false"/>
        <w:widowControl w:val="false"/>
        <w:kinsoku/>
        <w:wordWrap/>
        <w:overflowPunct/>
        <w:topLinePunct w:val="false"/>
        <w:autoSpaceDE/>
        <w:autoSpaceDN/>
        <w:bidi w:val="false"/>
        <w:adjustRightInd/>
        <w:snapToGrid/>
        <w:textAlignment w:val="auto"/>
        <w:rPr>
          <w:rFonts w:hint="eastAsia"/>
          <w:lang w:eastAsia="zh-CN"/>
        </w:rPr>
      </w:pPr>
      <w:r>
        <w:t>三种模式同时决定A板D1的呼吸频率（三种明显不同频率）。显示相关信息及对方状态。</w:t>
      </w:r>
    </w:p>
    <w:p w14:paraId="137091EC">
      <w:pPr>
        <w:pStyle w:val="style4106"/>
        <w:rPr>
          <w:sz w:val="28"/>
          <w:szCs w:val="28"/>
        </w:rPr>
      </w:pPr>
      <w:r>
        <w:rPr>
          <w:sz w:val="28"/>
          <w:szCs w:val="28"/>
        </w:rPr>
        <w:t>3.通信与检测</w:t>
      </w:r>
    </w:p>
    <w:p w14:paraId="3E23EB0D">
      <w:pPr>
        <w:pStyle w:val="style4116"/>
        <w:rPr>
          <w:rFonts w:hint="eastAsia"/>
          <w:lang w:eastAsia="zh-CN"/>
        </w:rPr>
      </w:pPr>
      <w:r>
        <w:t>A、B板实时显示对方LED状态</w:t>
      </w: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是否点亮</w:t>
      </w:r>
      <w:r>
        <w:rPr>
          <w:rFonts w:hint="eastAsia"/>
          <w:lang w:eastAsia="zh-CN"/>
        </w:rPr>
        <w:t>）</w:t>
      </w:r>
      <w:r>
        <w:t>及B板PWM</w:t>
      </w:r>
      <w:r>
        <w:rPr>
          <w:rFonts w:hint="eastAsia"/>
          <w:lang w:val="en-US" w:eastAsia="zh-CN"/>
        </w:rPr>
        <w:t>工作</w:t>
      </w:r>
      <w:r>
        <w:t>模式</w:t>
      </w:r>
      <w:r>
        <w:rPr>
          <w:rFonts w:hint="eastAsia"/>
          <w:lang w:eastAsia="zh-CN"/>
        </w:rPr>
        <w:t>；</w:t>
      </w:r>
    </w:p>
    <w:p w14:paraId="1F7A79B9">
      <w:pPr>
        <w:pStyle w:val="style4116"/>
        <w:rPr/>
      </w:pPr>
      <w:r>
        <w:t>断开任何一根通信线</w:t>
      </w:r>
      <w:r>
        <w:rPr>
          <w:rFonts w:hint="eastAsia"/>
          <w:lang w:val="en-US" w:eastAsia="zh-CN"/>
        </w:rPr>
        <w:t>(无线为拔出模块或去除模块供电)</w:t>
      </w:r>
      <w:r>
        <w:t>，1秒内双方</w:t>
      </w:r>
      <w:r>
        <w:rPr>
          <w:rFonts w:hint="eastAsia"/>
          <w:lang w:val="en-US" w:eastAsia="zh-CN"/>
        </w:rPr>
        <w:t>显示</w:t>
      </w:r>
      <w:r>
        <w:t>通信失效。</w:t>
      </w:r>
    </w:p>
    <w:p w14:paraId="124A5C20">
      <w:pPr>
        <w:pStyle w:val="style4116"/>
        <w:rPr>
          <w:rFonts w:hint="eastAsia"/>
        </w:rPr>
      </w:pPr>
      <w:r>
        <w:t>失联后，</w:t>
      </w:r>
      <w:r>
        <w:rPr>
          <w:rFonts w:hint="eastAsia"/>
          <w:lang w:val="en-US" w:eastAsia="zh-CN"/>
        </w:rPr>
        <w:t>A板的LED保持呼吸频率、B板PWM输出保持失联前的占空比、B板LED保持亮度；复联后恢复正常；</w:t>
      </w:r>
      <w:r>
        <w:t>初始上电</w:t>
      </w:r>
      <w:r>
        <w:rPr>
          <w:rFonts w:hint="eastAsia"/>
          <w:lang w:val="en-US" w:eastAsia="zh-CN"/>
        </w:rPr>
        <w:t>时，两板LED不亮，</w:t>
      </w:r>
      <w:r>
        <w:t>PWM</w:t>
      </w:r>
      <w:r>
        <w:rPr>
          <w:rFonts w:hint="eastAsia"/>
          <w:lang w:val="en-US" w:eastAsia="zh-CN"/>
        </w:rPr>
        <w:t>输出</w:t>
      </w:r>
      <w:r>
        <w:t>占空比50%。</w:t>
      </w:r>
    </w:p>
    <w:p w14:paraId="1C0C3E29">
      <w:pPr>
        <w:pStyle w:val="style0"/>
        <w:rPr/>
      </w:pPr>
      <w:r>
        <w:br w:type="page"/>
      </w:r>
    </w:p>
    <w:p w14:paraId="68FA55DF">
      <w:pPr>
        <w:pStyle w:val="style1"/>
        <w:keepNext/>
        <w:keepLines/>
        <w:pageBreakBefore w:val="false"/>
        <w:widowControl w:val="false"/>
        <w:kinsoku/>
        <w:wordWrap/>
        <w:overflowPunct/>
        <w:topLinePunct w:val="false"/>
        <w:autoSpaceDE/>
        <w:autoSpaceDN/>
        <w:bidi w:val="false"/>
        <w:adjustRightInd w:val="false"/>
        <w:snapToGrid w:val="false"/>
        <w:spacing w:before="0" w:after="0" w:lineRule="auto" w:line="240"/>
        <w:jc w:val="center"/>
        <w:textAlignment w:val="auto"/>
        <w:rPr>
          <w:rFonts w:eastAsia="宋体" w:hint="eastAsia"/>
          <w:lang w:val="en-US" w:eastAsia="zh-CN"/>
        </w:rPr>
      </w:pPr>
      <w:r>
        <w:t>2026年</w:t>
      </w:r>
      <w:r>
        <w:rPr>
          <w:rFonts w:hint="eastAsia"/>
          <w:lang w:val="en-US" w:eastAsia="zh-CN"/>
        </w:rPr>
        <w:t>湖南大学</w:t>
      </w:r>
      <w:r>
        <w:t>电赛</w:t>
      </w:r>
      <w:r>
        <w:rPr>
          <w:rFonts w:hint="eastAsia"/>
          <w:lang w:val="en-US" w:eastAsia="zh-CN"/>
        </w:rPr>
        <w:t>第二轮</w:t>
      </w:r>
      <w:r>
        <w:t>校内</w:t>
      </w:r>
      <w:r>
        <w:rPr>
          <w:rFonts w:hint="eastAsia"/>
          <w:lang w:val="en-US" w:eastAsia="zh-CN"/>
        </w:rPr>
        <w:t>考核评分表</w:t>
      </w:r>
    </w:p>
    <w:p w14:paraId="0B897676">
      <w:pPr>
        <w:pStyle w:val="style0"/>
        <w:rPr>
          <w:rFonts w:hint="eastAsia"/>
        </w:rPr>
      </w:pPr>
    </w:p>
    <w:p w14:paraId="0ABCA4DE">
      <w:pPr>
        <w:pStyle w:val="style4116"/>
        <w:ind w:firstLine="0" w:firstLineChars="0"/>
        <w:rPr>
          <w:sz w:val="28"/>
          <w:szCs w:val="28"/>
        </w:rPr>
      </w:pPr>
      <w:r>
        <w:rPr>
          <w:sz w:val="28"/>
          <w:szCs w:val="28"/>
        </w:rPr>
        <w:t>组长</w:t>
      </w:r>
      <w:r>
        <w:rPr>
          <w:rFonts w:hint="eastAsia"/>
          <w:sz w:val="28"/>
          <w:szCs w:val="28"/>
          <w:lang w:val="en-US" w:eastAsia="zh-CN"/>
        </w:rPr>
        <w:t>及</w:t>
      </w:r>
      <w:r>
        <w:rPr>
          <w:sz w:val="28"/>
          <w:szCs w:val="28"/>
        </w:rPr>
        <w:t>电话：________</w:t>
      </w:r>
      <w:r>
        <w:rPr>
          <w:sz w:val="28"/>
          <w:szCs w:val="28"/>
          <w:u w:val="single"/>
        </w:rPr>
        <w:t xml:space="preserve">   </w:t>
      </w:r>
      <w:r>
        <w:rPr>
          <w:sz w:val="28"/>
          <w:szCs w:val="28"/>
        </w:rPr>
        <w:t>______ 组员：_______</w:t>
      </w:r>
      <w:r>
        <w:rPr>
          <w:sz w:val="28"/>
          <w:szCs w:val="28"/>
          <w:u w:val="single"/>
        </w:rPr>
        <w:t xml:space="preserve">      </w:t>
      </w:r>
      <w:r>
        <w:rPr>
          <w:sz w:val="28"/>
          <w:szCs w:val="28"/>
        </w:rPr>
        <w:t>_______ 指导老师：______________</w:t>
      </w:r>
    </w:p>
    <w:p w14:paraId="53833358">
      <w:pPr>
        <w:pStyle w:val="style0"/>
        <w:rPr>
          <w:rFonts w:hint="eastAsia"/>
        </w:rPr>
      </w:pPr>
    </w:p>
    <w:tbl>
      <w:tblPr>
        <w:tblStyle w:val="style105"/>
        <w:tblW w:w="1064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47"/>
        <w:gridCol w:w="8768"/>
        <w:gridCol w:w="733"/>
      </w:tblGrid>
      <w:tr w14:paraId="2C0E4641">
        <w:trPr>
          <w:trHeight w:val="0" w:hRule="auto"/>
          <w:tblHeader/>
          <w:jc w:val="center"/>
        </w:trPr>
        <w:tc>
          <w:tcPr>
            <w:tcW w:w="1147" w:type="dxa"/>
            <w:tcBorders>
              <w:top w:val="double" w:sz="4" w:space="0" w:color="auto"/>
              <w:bottom w:val="double" w:sz="4" w:space="0" w:color="auto"/>
            </w:tcBorders>
            <w:vAlign w:val="center"/>
          </w:tcPr>
          <w:p w14:paraId="6A15CAF7">
            <w:pPr>
              <w:pStyle w:val="style0"/>
              <w:snapToGrid w:val="false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项目</w:t>
            </w:r>
          </w:p>
        </w:tc>
        <w:tc>
          <w:tcPr>
            <w:tcW w:w="8768" w:type="dxa"/>
            <w:tcBorders>
              <w:top w:val="double" w:sz="4" w:space="0" w:color="auto"/>
              <w:bottom w:val="double" w:sz="4" w:space="0" w:color="auto"/>
            </w:tcBorders>
            <w:vAlign w:val="center"/>
          </w:tcPr>
          <w:p w14:paraId="6B1D0881">
            <w:pPr>
              <w:pStyle w:val="style0"/>
              <w:snapToGrid w:val="false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测试内容与给分点</w:t>
            </w:r>
          </w:p>
        </w:tc>
        <w:tc>
          <w:tcPr>
            <w:tcW w:w="733" w:type="dxa"/>
            <w:tcBorders>
              <w:top w:val="double" w:sz="4" w:space="0" w:color="auto"/>
              <w:bottom w:val="double" w:sz="4" w:space="0" w:color="auto"/>
            </w:tcBorders>
            <w:vAlign w:val="center"/>
          </w:tcPr>
          <w:p w14:paraId="14710ECF">
            <w:pPr>
              <w:pStyle w:val="style0"/>
              <w:snapToGrid w:val="false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得分</w:t>
            </w:r>
          </w:p>
        </w:tc>
      </w:tr>
      <w:tr w14:paraId="7D978F63">
        <w:tblPrEx/>
        <w:trPr>
          <w:trHeight w:val="0" w:hRule="auto"/>
          <w:jc w:val="center"/>
        </w:trPr>
        <w:tc>
          <w:tcPr>
            <w:tcW w:w="1147" w:type="dxa"/>
            <w:vMerge w:val="restart"/>
            <w:tcBorders>
              <w:top w:val="double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70A84298">
            <w:pPr>
              <w:pStyle w:val="style0"/>
              <w:snapToGrid w:val="false"/>
              <w:ind w:left="0" w:leftChars="0" w:right="0" w:rightChars="0" w:firstLine="0" w:firstLineChars="0"/>
              <w:jc w:val="center"/>
              <w:rPr/>
            </w:pPr>
            <w:r>
              <w:rPr>
                <w:b/>
              </w:rPr>
              <w:t>1. 初始状态</w:t>
            </w:r>
            <w:r>
              <w:t>(</w:t>
            </w:r>
            <w:r>
              <w:rPr>
                <w:rFonts w:hint="eastAsia"/>
                <w:lang w:val="en-US" w:eastAsia="zh-CN"/>
              </w:rPr>
              <w:t>1</w:t>
            </w:r>
            <w:r>
              <w:t>5分)</w:t>
            </w:r>
          </w:p>
        </w:tc>
        <w:tc>
          <w:tcPr>
            <w:tcW w:w="8768" w:type="dxa"/>
            <w:tcBorders>
              <w:top w:val="double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04C04E17">
            <w:pPr>
              <w:pStyle w:val="style0"/>
              <w:snapToGrid w:val="false"/>
              <w:ind w:left="0" w:leftChars="0" w:right="0" w:rightChars="0" w:firstLine="0" w:firstLineChars="0"/>
              <w:jc w:val="left"/>
              <w:rPr>
                <w:rFonts w:eastAsia="宋体" w:hint="default"/>
                <w:lang w:val="en-US" w:eastAsia="zh-CN"/>
              </w:rPr>
            </w:pPr>
            <w:r>
              <w:t>A、B板显示清晰稳定，</w:t>
            </w:r>
            <w:r>
              <w:rPr>
                <w:rFonts w:hint="eastAsia"/>
                <w:lang w:val="en-US" w:eastAsia="zh-CN"/>
              </w:rPr>
              <w:t>内容基本完整；</w:t>
            </w:r>
            <w:r>
              <w:t>初始D1</w:t>
            </w:r>
            <w:r>
              <w:rPr>
                <w:rFonts w:hint="eastAsia"/>
                <w:lang w:val="en-US" w:eastAsia="zh-CN"/>
              </w:rPr>
              <w:t xml:space="preserve"> D2</w:t>
            </w:r>
            <w:r>
              <w:t>灭，B板</w:t>
            </w:r>
            <w:r>
              <w:rPr>
                <w:rFonts w:hint="eastAsia"/>
                <w:lang w:val="en-US" w:eastAsia="zh-CN"/>
              </w:rPr>
              <w:t>互补</w:t>
            </w:r>
            <w:r>
              <w:t>PWM占空比约为50%。</w:t>
            </w:r>
          </w:p>
        </w:tc>
        <w:tc>
          <w:tcPr>
            <w:tcW w:w="733" w:type="dxa"/>
            <w:tcBorders>
              <w:top w:val="double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7200919D">
            <w:pPr>
              <w:pStyle w:val="style0"/>
              <w:snapToGrid w:val="false"/>
              <w:ind w:left="0" w:leftChars="0" w:right="0" w:rightChars="0" w:firstLine="0" w:firstLineChars="0"/>
              <w:jc w:val="center"/>
              <w:rPr/>
            </w:pPr>
          </w:p>
        </w:tc>
      </w:tr>
      <w:tr w14:paraId="2A5799B0">
        <w:tblPrEx/>
        <w:trPr>
          <w:trHeight w:val="0" w:hRule="auto"/>
          <w:jc w:val="center"/>
        </w:trPr>
        <w:tc>
          <w:tcPr>
            <w:tcW w:w="1147" w:type="dxa"/>
            <w:vMerge w:val="continue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0E419649">
            <w:pPr>
              <w:pStyle w:val="style0"/>
              <w:snapToGrid w:val="false"/>
              <w:ind w:left="0" w:leftChars="0" w:right="0" w:rightChars="0" w:firstLine="0" w:firstLineChars="0"/>
              <w:jc w:val="center"/>
              <w:rPr/>
            </w:pPr>
          </w:p>
        </w:tc>
        <w:tc>
          <w:tcPr>
            <w:tcW w:w="876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55AFE7DF">
            <w:pPr>
              <w:pStyle w:val="style0"/>
              <w:snapToGrid w:val="false"/>
              <w:ind w:left="0" w:leftChars="0" w:right="0" w:rightChars="0" w:firstLine="0" w:firstLineChars="0"/>
              <w:jc w:val="left"/>
              <w:rPr/>
            </w:pPr>
            <w:r>
              <w:rPr>
                <w:rFonts w:hint="eastAsia"/>
                <w:lang w:val="en-US" w:eastAsia="zh-CN"/>
              </w:rPr>
              <w:t>直流</w:t>
            </w:r>
            <w:r>
              <w:t>Vi测量值与万用表读数误差 ≤0.05V。</w:t>
            </w:r>
          </w:p>
        </w:tc>
        <w:tc>
          <w:tcPr>
            <w:tcW w:w="73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0E1E9C8B">
            <w:pPr>
              <w:pStyle w:val="style0"/>
              <w:snapToGrid w:val="false"/>
              <w:ind w:left="0" w:leftChars="0" w:right="0" w:rightChars="0" w:firstLine="0" w:firstLineChars="0"/>
              <w:jc w:val="center"/>
              <w:rPr/>
            </w:pPr>
          </w:p>
        </w:tc>
      </w:tr>
      <w:tr w14:paraId="0C81C348">
        <w:tblPrEx/>
        <w:trPr>
          <w:trHeight w:val="0" w:hRule="auto"/>
          <w:jc w:val="center"/>
        </w:trPr>
        <w:tc>
          <w:tcPr>
            <w:tcW w:w="1147" w:type="dxa"/>
            <w:vMerge w:val="continue"/>
            <w:tcBorders>
              <w:top w:val="single" w:sz="8" w:space="0" w:color="auto"/>
              <w:left w:val="single" w:sz="8" w:space="0" w:color="auto"/>
              <w:bottom w:val="double" w:sz="4" w:space="0" w:color="auto"/>
              <w:right w:val="single" w:sz="8" w:space="0" w:color="auto"/>
            </w:tcBorders>
            <w:vAlign w:val="center"/>
          </w:tcPr>
          <w:p w14:paraId="02B875CE">
            <w:pPr>
              <w:pStyle w:val="style0"/>
              <w:snapToGrid w:val="false"/>
              <w:ind w:left="0" w:leftChars="0" w:right="0" w:rightChars="0" w:firstLine="0" w:firstLineChars="0"/>
              <w:jc w:val="center"/>
              <w:rPr/>
            </w:pPr>
          </w:p>
        </w:tc>
        <w:tc>
          <w:tcPr>
            <w:tcW w:w="8768" w:type="dxa"/>
            <w:tcBorders>
              <w:top w:val="single" w:sz="8" w:space="0" w:color="auto"/>
              <w:left w:val="single" w:sz="8" w:space="0" w:color="auto"/>
              <w:bottom w:val="double" w:sz="4" w:space="0" w:color="auto"/>
              <w:right w:val="single" w:sz="8" w:space="0" w:color="auto"/>
            </w:tcBorders>
            <w:vAlign w:val="center"/>
          </w:tcPr>
          <w:p w14:paraId="002B51AF">
            <w:pPr>
              <w:pStyle w:val="style0"/>
              <w:snapToGrid w:val="false"/>
              <w:ind w:left="0" w:leftChars="0" w:right="0" w:rightChars="0" w:firstLine="0" w:firstLineChars="0"/>
              <w:jc w:val="left"/>
              <w:rPr/>
            </w:pPr>
            <w:r>
              <w:rPr>
                <w:rFonts w:hint="eastAsia"/>
                <w:lang w:val="en-US" w:eastAsia="zh-CN"/>
              </w:rPr>
              <w:t>直流</w:t>
            </w:r>
            <w:r>
              <w:t>Vi测量值与万用表读数误差 ≤0.01V。</w:t>
            </w:r>
          </w:p>
        </w:tc>
        <w:tc>
          <w:tcPr>
            <w:tcW w:w="733" w:type="dxa"/>
            <w:tcBorders>
              <w:top w:val="single" w:sz="8" w:space="0" w:color="auto"/>
              <w:left w:val="single" w:sz="8" w:space="0" w:color="auto"/>
              <w:bottom w:val="double" w:sz="4" w:space="0" w:color="auto"/>
              <w:right w:val="single" w:sz="8" w:space="0" w:color="auto"/>
            </w:tcBorders>
            <w:vAlign w:val="center"/>
          </w:tcPr>
          <w:p w14:paraId="00C319BE">
            <w:pPr>
              <w:pStyle w:val="style0"/>
              <w:snapToGrid w:val="false"/>
              <w:ind w:left="0" w:leftChars="0" w:right="0" w:rightChars="0" w:firstLine="0" w:firstLineChars="0"/>
              <w:jc w:val="center"/>
              <w:rPr/>
            </w:pPr>
          </w:p>
        </w:tc>
      </w:tr>
      <w:tr w14:paraId="143537BA">
        <w:tblPrEx/>
        <w:trPr>
          <w:trHeight w:val="0" w:hRule="auto"/>
          <w:jc w:val="center"/>
        </w:trPr>
        <w:tc>
          <w:tcPr>
            <w:tcW w:w="1147" w:type="dxa"/>
            <w:vMerge w:val="restart"/>
            <w:tcBorders>
              <w:top w:val="double" w:sz="4" w:space="0" w:color="auto"/>
            </w:tcBorders>
            <w:vAlign w:val="center"/>
          </w:tcPr>
          <w:p w14:paraId="0004868D">
            <w:pPr>
              <w:pStyle w:val="style0"/>
              <w:snapToGrid w:val="false"/>
              <w:ind w:left="0" w:leftChars="0" w:right="0" w:rightChars="0" w:firstLine="0" w:firstLineChars="0"/>
              <w:jc w:val="center"/>
              <w:rPr/>
            </w:pPr>
            <w:r>
              <w:rPr>
                <w:b/>
              </w:rPr>
              <w:t>2. 按键功能</w:t>
            </w:r>
            <w:r>
              <w:t>(2</w:t>
            </w:r>
            <w:r>
              <w:rPr>
                <w:rFonts w:hint="eastAsia"/>
                <w:lang w:val="en-US" w:eastAsia="zh-CN"/>
              </w:rPr>
              <w:t>0</w:t>
            </w:r>
            <w:r>
              <w:t>分)</w:t>
            </w:r>
          </w:p>
        </w:tc>
        <w:tc>
          <w:tcPr>
            <w:tcW w:w="8768" w:type="dxa"/>
            <w:tcBorders>
              <w:top w:val="double" w:sz="4" w:space="0" w:color="auto"/>
            </w:tcBorders>
            <w:vAlign w:val="center"/>
          </w:tcPr>
          <w:p w14:paraId="01EF3D76">
            <w:pPr>
              <w:pStyle w:val="style0"/>
              <w:snapToGrid w:val="false"/>
              <w:ind w:left="0" w:leftChars="0" w:right="0" w:rightChars="0" w:firstLine="0" w:firstLineChars="0"/>
              <w:jc w:val="left"/>
              <w:rPr/>
            </w:pPr>
            <w:r>
              <w:rPr>
                <w:b/>
              </w:rPr>
              <w:t>K1 短按</w:t>
            </w:r>
            <w:r>
              <w:t>：准确切换A板D1工作/停止，无连击，显示对应状态。</w:t>
            </w:r>
          </w:p>
        </w:tc>
        <w:tc>
          <w:tcPr>
            <w:tcW w:w="733" w:type="dxa"/>
            <w:tcBorders>
              <w:top w:val="double" w:sz="4" w:space="0" w:color="auto"/>
            </w:tcBorders>
            <w:vAlign w:val="center"/>
          </w:tcPr>
          <w:p w14:paraId="5F4F2C0C">
            <w:pPr>
              <w:pStyle w:val="style0"/>
              <w:snapToGrid w:val="false"/>
              <w:ind w:left="0" w:leftChars="0" w:right="0" w:rightChars="0" w:firstLine="0" w:firstLineChars="0"/>
              <w:jc w:val="center"/>
              <w:rPr/>
            </w:pPr>
          </w:p>
        </w:tc>
      </w:tr>
      <w:tr w14:paraId="04332358">
        <w:tblPrEx/>
        <w:trPr>
          <w:trHeight w:val="0" w:hRule="auto"/>
          <w:jc w:val="center"/>
        </w:trPr>
        <w:tc>
          <w:tcPr>
            <w:tcW w:w="1147" w:type="dxa"/>
            <w:vMerge w:val="continue"/>
            <w:tcBorders/>
            <w:vAlign w:val="center"/>
          </w:tcPr>
          <w:p w14:paraId="70BA18B6">
            <w:pPr>
              <w:pStyle w:val="style0"/>
              <w:snapToGrid w:val="false"/>
              <w:ind w:left="0" w:leftChars="0" w:right="0" w:rightChars="0" w:firstLine="0" w:firstLineChars="0"/>
              <w:jc w:val="center"/>
              <w:rPr/>
            </w:pPr>
          </w:p>
        </w:tc>
        <w:tc>
          <w:tcPr>
            <w:tcW w:w="8768" w:type="dxa"/>
            <w:tcBorders/>
            <w:vAlign w:val="center"/>
          </w:tcPr>
          <w:p w14:paraId="5742597F">
            <w:pPr>
              <w:pStyle w:val="style0"/>
              <w:snapToGrid w:val="false"/>
              <w:ind w:left="0" w:leftChars="0" w:right="0" w:rightChars="0" w:firstLine="0" w:firstLineChars="0"/>
              <w:jc w:val="left"/>
              <w:rPr>
                <w:rFonts w:eastAsia="宋体" w:hint="default"/>
                <w:lang w:val="en-US" w:eastAsia="zh-CN"/>
              </w:rPr>
            </w:pPr>
            <w:r>
              <w:rPr>
                <w:b/>
              </w:rPr>
              <w:t xml:space="preserve">K1 </w:t>
            </w:r>
            <w:r>
              <w:rPr>
                <w:rFonts w:hint="eastAsia"/>
                <w:b/>
                <w:lang w:val="en-US" w:eastAsia="zh-CN"/>
              </w:rPr>
              <w:t>有</w:t>
            </w:r>
            <w:r>
              <w:rPr>
                <w:b/>
              </w:rPr>
              <w:t>长按</w:t>
            </w:r>
            <w:r>
              <w:t>（&gt;0.6s）</w:t>
            </w:r>
            <w:r>
              <w:rPr>
                <w:rFonts w:hint="eastAsia"/>
                <w:lang w:val="en-US" w:eastAsia="zh-CN"/>
              </w:rPr>
              <w:t>效果（A板显示或B板动作）</w:t>
            </w:r>
          </w:p>
        </w:tc>
        <w:tc>
          <w:tcPr>
            <w:tcW w:w="733" w:type="dxa"/>
            <w:tcBorders/>
            <w:vAlign w:val="center"/>
          </w:tcPr>
          <w:p w14:paraId="14805ED3">
            <w:pPr>
              <w:pStyle w:val="style0"/>
              <w:snapToGrid w:val="false"/>
              <w:ind w:left="0" w:leftChars="0" w:right="0" w:rightChars="0" w:firstLine="0" w:firstLineChars="0"/>
              <w:jc w:val="center"/>
              <w:rPr/>
            </w:pPr>
          </w:p>
        </w:tc>
      </w:tr>
      <w:tr w14:paraId="3C13D815">
        <w:tblPrEx/>
        <w:trPr>
          <w:trHeight w:val="0" w:hRule="auto"/>
          <w:jc w:val="center"/>
        </w:trPr>
        <w:tc>
          <w:tcPr>
            <w:tcW w:w="1147" w:type="dxa"/>
            <w:vMerge w:val="continue"/>
            <w:tcBorders/>
            <w:vAlign w:val="center"/>
          </w:tcPr>
          <w:p w14:paraId="713BE8AB">
            <w:pPr>
              <w:pStyle w:val="style0"/>
              <w:snapToGrid w:val="false"/>
              <w:ind w:left="0" w:leftChars="0" w:right="0" w:rightChars="0" w:firstLine="0" w:firstLineChars="0"/>
              <w:jc w:val="center"/>
              <w:rPr/>
            </w:pPr>
          </w:p>
        </w:tc>
        <w:tc>
          <w:tcPr>
            <w:tcW w:w="8768" w:type="dxa"/>
            <w:tcBorders/>
            <w:vAlign w:val="center"/>
          </w:tcPr>
          <w:p w14:paraId="7C5B9901">
            <w:pPr>
              <w:pStyle w:val="style0"/>
              <w:snapToGrid w:val="false"/>
              <w:ind w:left="0" w:leftChars="0" w:right="0" w:rightChars="0" w:firstLine="0" w:firstLineChars="0"/>
              <w:jc w:val="left"/>
              <w:rPr/>
            </w:pPr>
            <w:r>
              <w:rPr>
                <w:b/>
              </w:rPr>
              <w:t>K2 短按</w:t>
            </w:r>
            <w:r>
              <w:t>：循环切换PWM模式（跟随→最大→最小→跟随…），B板显示当前模式。</w:t>
            </w:r>
          </w:p>
        </w:tc>
        <w:tc>
          <w:tcPr>
            <w:tcW w:w="733" w:type="dxa"/>
            <w:tcBorders/>
            <w:vAlign w:val="center"/>
          </w:tcPr>
          <w:p w14:paraId="74C416F1">
            <w:pPr>
              <w:pStyle w:val="style0"/>
              <w:snapToGrid w:val="false"/>
              <w:ind w:left="0" w:leftChars="0" w:right="0" w:rightChars="0" w:firstLine="0" w:firstLineChars="0"/>
              <w:jc w:val="center"/>
              <w:rPr/>
            </w:pPr>
          </w:p>
        </w:tc>
      </w:tr>
      <w:tr w14:paraId="1965F9B1">
        <w:tblPrEx/>
        <w:trPr>
          <w:trHeight w:val="0" w:hRule="auto"/>
          <w:jc w:val="center"/>
        </w:trPr>
        <w:tc>
          <w:tcPr>
            <w:tcW w:w="1147" w:type="dxa"/>
            <w:vMerge w:val="continue"/>
            <w:tcBorders>
              <w:bottom w:val="double" w:sz="4" w:space="0" w:color="auto"/>
            </w:tcBorders>
            <w:vAlign w:val="center"/>
          </w:tcPr>
          <w:p w14:paraId="5D5B2F7B">
            <w:pPr>
              <w:pStyle w:val="style0"/>
              <w:snapToGrid w:val="false"/>
              <w:ind w:left="0" w:leftChars="0" w:right="0" w:rightChars="0" w:firstLine="0" w:firstLineChars="0"/>
              <w:jc w:val="center"/>
              <w:rPr/>
            </w:pPr>
          </w:p>
        </w:tc>
        <w:tc>
          <w:tcPr>
            <w:tcW w:w="8768" w:type="dxa"/>
            <w:tcBorders>
              <w:bottom w:val="double" w:sz="4" w:space="0" w:color="auto"/>
            </w:tcBorders>
            <w:vAlign w:val="center"/>
          </w:tcPr>
          <w:p w14:paraId="4B516E26">
            <w:pPr>
              <w:pStyle w:val="style0"/>
              <w:snapToGrid w:val="false"/>
              <w:ind w:left="0" w:leftChars="0" w:right="0" w:rightChars="0" w:firstLine="0" w:firstLineChars="0"/>
              <w:jc w:val="left"/>
              <w:rPr/>
            </w:pPr>
            <w:r>
              <w:t>任何按键操作不影响显示内容的稳定性与正确性。</w:t>
            </w:r>
          </w:p>
        </w:tc>
        <w:tc>
          <w:tcPr>
            <w:tcW w:w="733" w:type="dxa"/>
            <w:tcBorders>
              <w:bottom w:val="double" w:sz="4" w:space="0" w:color="auto"/>
            </w:tcBorders>
            <w:vAlign w:val="center"/>
          </w:tcPr>
          <w:p w14:paraId="47EC778A">
            <w:pPr>
              <w:pStyle w:val="style0"/>
              <w:snapToGrid w:val="false"/>
              <w:ind w:left="0" w:leftChars="0" w:right="0" w:rightChars="0" w:firstLine="0" w:firstLineChars="0"/>
              <w:jc w:val="center"/>
              <w:rPr/>
            </w:pPr>
          </w:p>
        </w:tc>
      </w:tr>
      <w:tr w14:paraId="4538FBB4">
        <w:tblPrEx/>
        <w:trPr>
          <w:trHeight w:val="0" w:hRule="auto"/>
          <w:jc w:val="center"/>
        </w:trPr>
        <w:tc>
          <w:tcPr>
            <w:tcW w:w="1147" w:type="dxa"/>
            <w:vMerge w:val="restart"/>
            <w:tcBorders>
              <w:top w:val="double" w:sz="4" w:space="0" w:color="auto"/>
            </w:tcBorders>
            <w:vAlign w:val="center"/>
          </w:tcPr>
          <w:p w14:paraId="386F3AEC">
            <w:pPr>
              <w:pStyle w:val="style0"/>
              <w:snapToGrid w:val="false"/>
              <w:ind w:left="0" w:leftChars="0" w:right="0" w:rightChars="0" w:firstLine="0" w:firstLineChars="0"/>
              <w:jc w:val="center"/>
              <w:rPr/>
            </w:pPr>
            <w:r>
              <w:rPr>
                <w:b/>
              </w:rPr>
              <w:t>3. A板</w:t>
            </w:r>
            <w:r>
              <w:rPr>
                <w:rFonts w:hint="eastAsia"/>
                <w:b/>
                <w:lang w:val="en-US" w:eastAsia="zh-CN"/>
              </w:rPr>
              <w:t>功能</w:t>
            </w:r>
            <w:r>
              <w:rPr>
                <w:b/>
              </w:rPr>
              <w:t xml:space="preserve"> </w:t>
            </w:r>
            <w:r>
              <w:t>(</w:t>
            </w:r>
            <w:r>
              <w:rPr>
                <w:rFonts w:hint="eastAsia"/>
                <w:lang w:val="en-US" w:eastAsia="zh-CN"/>
              </w:rPr>
              <w:t>35</w:t>
            </w:r>
            <w:r>
              <w:t>分)</w:t>
            </w:r>
          </w:p>
        </w:tc>
        <w:tc>
          <w:tcPr>
            <w:tcW w:w="8768" w:type="dxa"/>
            <w:tcBorders>
              <w:top w:val="double" w:sz="4" w:space="0" w:color="auto"/>
            </w:tcBorders>
            <w:vAlign w:val="center"/>
          </w:tcPr>
          <w:p w14:paraId="43A62D20">
            <w:pPr>
              <w:pStyle w:val="style0"/>
              <w:snapToGrid w:val="false"/>
              <w:ind w:left="0" w:leftChars="0" w:right="0" w:rightChars="0" w:firstLine="0" w:firstLineChars="0"/>
              <w:jc w:val="left"/>
              <w:rPr>
                <w:rFonts w:eastAsia="宋体" w:hint="default"/>
                <w:lang w:val="en-US" w:eastAsia="zh-CN"/>
              </w:rPr>
            </w:pPr>
            <w:r>
              <w:t>D1</w:t>
            </w:r>
            <w:r>
              <w:rPr>
                <w:rFonts w:hint="eastAsia"/>
                <w:lang w:val="en-US" w:eastAsia="zh-CN"/>
              </w:rPr>
              <w:t>呼吸效果正确，</w:t>
            </w:r>
            <w:r>
              <w:t>周期T1（0.5s±20%）。</w:t>
            </w:r>
            <w:bookmarkStart w:id="0" w:name="_GoBack"/>
            <w:bookmarkEnd w:id="0"/>
          </w:p>
        </w:tc>
        <w:tc>
          <w:tcPr>
            <w:tcW w:w="733" w:type="dxa"/>
            <w:tcBorders>
              <w:top w:val="double" w:sz="4" w:space="0" w:color="auto"/>
            </w:tcBorders>
            <w:vAlign w:val="center"/>
          </w:tcPr>
          <w:p w14:paraId="44C3685C">
            <w:pPr>
              <w:pStyle w:val="style0"/>
              <w:snapToGrid w:val="false"/>
              <w:ind w:left="0" w:leftChars="0" w:right="0" w:rightChars="0" w:firstLine="0" w:firstLineChars="0"/>
              <w:jc w:val="center"/>
              <w:rPr/>
            </w:pPr>
          </w:p>
        </w:tc>
      </w:tr>
      <w:tr w14:paraId="1902E143">
        <w:tblPrEx/>
        <w:trPr>
          <w:trHeight w:val="0" w:hRule="auto"/>
          <w:jc w:val="center"/>
        </w:trPr>
        <w:tc>
          <w:tcPr>
            <w:tcW w:w="1147" w:type="dxa"/>
            <w:vMerge w:val="continue"/>
            <w:tcBorders/>
            <w:vAlign w:val="center"/>
          </w:tcPr>
          <w:p w14:paraId="2E0CDDC8">
            <w:pPr>
              <w:pStyle w:val="style0"/>
              <w:snapToGrid w:val="false"/>
              <w:ind w:left="0" w:leftChars="0" w:right="0" w:rightChars="0" w:firstLine="0" w:firstLineChars="0"/>
              <w:jc w:val="center"/>
              <w:rPr/>
            </w:pPr>
          </w:p>
        </w:tc>
        <w:tc>
          <w:tcPr>
            <w:tcW w:w="8768" w:type="dxa"/>
            <w:tcBorders/>
            <w:vAlign w:val="center"/>
          </w:tcPr>
          <w:p w14:paraId="454B5CA9">
            <w:pPr>
              <w:pStyle w:val="style0"/>
              <w:snapToGrid w:val="false"/>
              <w:ind w:left="0" w:leftChars="0" w:right="0" w:rightChars="0" w:firstLine="0" w:firstLineChars="0"/>
              <w:jc w:val="left"/>
              <w:rPr/>
            </w:pPr>
            <w:r>
              <w:t>D1</w:t>
            </w:r>
            <w:r>
              <w:rPr>
                <w:rFonts w:hint="eastAsia"/>
                <w:lang w:val="en-US" w:eastAsia="zh-CN"/>
              </w:rPr>
              <w:t>呼吸效果正确，</w:t>
            </w:r>
            <w:r>
              <w:t>周期T2（1s±20%）。</w:t>
            </w:r>
          </w:p>
        </w:tc>
        <w:tc>
          <w:tcPr>
            <w:tcW w:w="733" w:type="dxa"/>
            <w:tcBorders/>
            <w:vAlign w:val="center"/>
          </w:tcPr>
          <w:p w14:paraId="153686AC">
            <w:pPr>
              <w:pStyle w:val="style0"/>
              <w:snapToGrid w:val="false"/>
              <w:ind w:left="0" w:leftChars="0" w:right="0" w:rightChars="0" w:firstLine="0" w:firstLineChars="0"/>
              <w:jc w:val="center"/>
              <w:rPr/>
            </w:pPr>
          </w:p>
        </w:tc>
      </w:tr>
      <w:tr w14:paraId="7701E7DA">
        <w:tblPrEx/>
        <w:trPr>
          <w:trHeight w:val="0" w:hRule="auto"/>
          <w:jc w:val="center"/>
        </w:trPr>
        <w:tc>
          <w:tcPr>
            <w:tcW w:w="1147" w:type="dxa"/>
            <w:vMerge w:val="continue"/>
            <w:tcBorders/>
            <w:vAlign w:val="center"/>
          </w:tcPr>
          <w:p w14:paraId="3F83FE60">
            <w:pPr>
              <w:pStyle w:val="style0"/>
              <w:snapToGrid w:val="false"/>
              <w:ind w:left="0" w:leftChars="0" w:right="0" w:rightChars="0" w:firstLine="0" w:firstLineChars="0"/>
              <w:jc w:val="center"/>
              <w:rPr/>
            </w:pPr>
          </w:p>
        </w:tc>
        <w:tc>
          <w:tcPr>
            <w:tcW w:w="8768" w:type="dxa"/>
            <w:tcBorders/>
            <w:vAlign w:val="center"/>
          </w:tcPr>
          <w:p w14:paraId="34D18D2B">
            <w:pPr>
              <w:pStyle w:val="style0"/>
              <w:snapToGrid w:val="false"/>
              <w:ind w:left="0" w:leftChars="0" w:right="0" w:rightChars="0" w:firstLine="0" w:firstLineChars="0"/>
              <w:jc w:val="left"/>
              <w:rPr/>
            </w:pPr>
            <w:r>
              <w:t>D1</w:t>
            </w:r>
            <w:r>
              <w:rPr>
                <w:rFonts w:hint="eastAsia"/>
                <w:lang w:val="en-US" w:eastAsia="zh-CN"/>
              </w:rPr>
              <w:t>呼吸效果正确，</w:t>
            </w:r>
            <w:r>
              <w:t>周期T3（2s±20%）。</w:t>
            </w:r>
          </w:p>
        </w:tc>
        <w:tc>
          <w:tcPr>
            <w:tcW w:w="733" w:type="dxa"/>
            <w:tcBorders/>
            <w:vAlign w:val="center"/>
          </w:tcPr>
          <w:p w14:paraId="33A7B307">
            <w:pPr>
              <w:pStyle w:val="style0"/>
              <w:snapToGrid w:val="false"/>
              <w:ind w:left="0" w:leftChars="0" w:right="0" w:rightChars="0" w:firstLine="0" w:firstLineChars="0"/>
              <w:jc w:val="center"/>
              <w:rPr/>
            </w:pPr>
          </w:p>
        </w:tc>
      </w:tr>
      <w:tr w14:paraId="4F34F99F">
        <w:tblPrEx/>
        <w:trPr>
          <w:trHeight w:val="0" w:hRule="auto"/>
          <w:jc w:val="center"/>
        </w:trPr>
        <w:tc>
          <w:tcPr>
            <w:tcW w:w="1147" w:type="dxa"/>
            <w:vMerge w:val="continue"/>
            <w:tcBorders/>
            <w:vAlign w:val="center"/>
          </w:tcPr>
          <w:p w14:paraId="021E6F7A">
            <w:pPr>
              <w:pStyle w:val="style0"/>
              <w:snapToGrid w:val="false"/>
              <w:ind w:left="0" w:leftChars="0" w:right="0" w:rightChars="0" w:firstLine="0" w:firstLineChars="0"/>
              <w:jc w:val="center"/>
              <w:rPr/>
            </w:pPr>
          </w:p>
        </w:tc>
        <w:tc>
          <w:tcPr>
            <w:tcW w:w="8768" w:type="dxa"/>
            <w:tcBorders/>
            <w:vAlign w:val="center"/>
          </w:tcPr>
          <w:p w14:paraId="06A73576">
            <w:pPr>
              <w:pStyle w:val="style0"/>
              <w:snapToGrid w:val="false"/>
              <w:ind w:left="0" w:leftChars="0" w:right="0" w:rightChars="0" w:firstLine="0" w:firstLineChars="0"/>
              <w:jc w:val="left"/>
              <w:rPr/>
            </w:pPr>
            <w:r>
              <w:t>能自动识别并显示当前信号类型（直流/正弦/方波）</w:t>
            </w:r>
          </w:p>
        </w:tc>
        <w:tc>
          <w:tcPr>
            <w:tcW w:w="733" w:type="dxa"/>
            <w:tcBorders/>
            <w:vAlign w:val="center"/>
          </w:tcPr>
          <w:p w14:paraId="10016A07">
            <w:pPr>
              <w:pStyle w:val="style0"/>
              <w:snapToGrid w:val="false"/>
              <w:ind w:left="0" w:leftChars="0" w:right="0" w:rightChars="0" w:firstLine="0" w:firstLineChars="0"/>
              <w:jc w:val="center"/>
              <w:rPr/>
            </w:pPr>
          </w:p>
        </w:tc>
      </w:tr>
      <w:tr w14:paraId="18A35696">
        <w:tblPrEx/>
        <w:trPr>
          <w:trHeight w:val="0" w:hRule="auto"/>
          <w:jc w:val="center"/>
        </w:trPr>
        <w:tc>
          <w:tcPr>
            <w:tcW w:w="1147" w:type="dxa"/>
            <w:vMerge w:val="continue"/>
            <w:tcBorders/>
            <w:vAlign w:val="center"/>
          </w:tcPr>
          <w:p w14:paraId="2A6A74DF">
            <w:pPr>
              <w:pStyle w:val="style0"/>
              <w:snapToGrid w:val="false"/>
              <w:ind w:left="0" w:leftChars="0" w:right="0" w:rightChars="0" w:firstLine="0" w:firstLineChars="0"/>
              <w:jc w:val="center"/>
              <w:rPr/>
            </w:pPr>
          </w:p>
        </w:tc>
        <w:tc>
          <w:tcPr>
            <w:tcW w:w="8768" w:type="dxa"/>
            <w:tcBorders/>
            <w:vAlign w:val="center"/>
          </w:tcPr>
          <w:p w14:paraId="5434BC44">
            <w:pPr>
              <w:pStyle w:val="style0"/>
              <w:snapToGrid w:val="false"/>
              <w:ind w:left="0" w:leftChars="0" w:right="0" w:rightChars="0" w:firstLine="0" w:firstLineChars="0"/>
              <w:jc w:val="left"/>
              <w:rPr>
                <w:rFonts w:eastAsia="宋体"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能准确显示正弦/方波的幅值，与示波器读数相差&lt;0.1v</w:t>
            </w:r>
          </w:p>
        </w:tc>
        <w:tc>
          <w:tcPr>
            <w:tcW w:w="733" w:type="dxa"/>
            <w:tcBorders/>
            <w:vAlign w:val="center"/>
          </w:tcPr>
          <w:p w14:paraId="3D999915">
            <w:pPr>
              <w:pStyle w:val="style0"/>
              <w:snapToGrid w:val="false"/>
              <w:ind w:left="0" w:leftChars="0" w:right="0" w:rightChars="0" w:firstLine="0" w:firstLineChars="0"/>
              <w:jc w:val="center"/>
              <w:rPr/>
            </w:pPr>
          </w:p>
        </w:tc>
      </w:tr>
      <w:tr w14:paraId="5BCF3E20">
        <w:tblPrEx/>
        <w:trPr>
          <w:trHeight w:val="0" w:hRule="auto"/>
          <w:jc w:val="center"/>
        </w:trPr>
        <w:tc>
          <w:tcPr>
            <w:tcW w:w="1147" w:type="dxa"/>
            <w:vMerge w:val="continue"/>
            <w:tcBorders/>
            <w:vAlign w:val="center"/>
          </w:tcPr>
          <w:p w14:paraId="4583DD1B">
            <w:pPr>
              <w:pStyle w:val="style0"/>
              <w:snapToGrid w:val="false"/>
              <w:ind w:left="0" w:leftChars="0" w:right="0" w:rightChars="0" w:firstLine="0" w:firstLineChars="0"/>
              <w:jc w:val="center"/>
              <w:rPr/>
            </w:pPr>
          </w:p>
        </w:tc>
        <w:tc>
          <w:tcPr>
            <w:tcW w:w="8768" w:type="dxa"/>
            <w:tcBorders/>
            <w:vAlign w:val="center"/>
          </w:tcPr>
          <w:p w14:paraId="2DB44367">
            <w:pPr>
              <w:pStyle w:val="style0"/>
              <w:snapToGrid w:val="false"/>
              <w:ind w:left="0" w:leftChars="0" w:right="0" w:rightChars="0" w:firstLine="0" w:firstLineChars="0"/>
              <w:jc w:val="left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能准确捕捉1秒内的最大Vi，与示波器读数相差&lt;0.1v</w:t>
            </w:r>
          </w:p>
        </w:tc>
        <w:tc>
          <w:tcPr>
            <w:tcW w:w="733" w:type="dxa"/>
            <w:tcBorders/>
            <w:vAlign w:val="center"/>
          </w:tcPr>
          <w:p w14:paraId="538BD8F6">
            <w:pPr>
              <w:pStyle w:val="style0"/>
              <w:snapToGrid w:val="false"/>
              <w:ind w:left="0" w:leftChars="0" w:right="0" w:rightChars="0" w:firstLine="0" w:firstLineChars="0"/>
              <w:jc w:val="center"/>
              <w:rPr/>
            </w:pPr>
          </w:p>
        </w:tc>
      </w:tr>
      <w:tr w14:paraId="7B6913B6">
        <w:tblPrEx/>
        <w:trPr>
          <w:trHeight w:val="0" w:hRule="auto"/>
          <w:jc w:val="center"/>
        </w:trPr>
        <w:tc>
          <w:tcPr>
            <w:tcW w:w="1147" w:type="dxa"/>
            <w:vMerge w:val="continue"/>
            <w:tcBorders>
              <w:bottom w:val="double" w:sz="4" w:space="0" w:color="auto"/>
            </w:tcBorders>
            <w:vAlign w:val="center"/>
          </w:tcPr>
          <w:p w14:paraId="071C42C1">
            <w:pPr>
              <w:pStyle w:val="style0"/>
              <w:snapToGrid w:val="false"/>
              <w:ind w:left="0" w:leftChars="0" w:right="0" w:rightChars="0" w:firstLine="0" w:firstLineChars="0"/>
              <w:jc w:val="center"/>
              <w:rPr/>
            </w:pPr>
          </w:p>
        </w:tc>
        <w:tc>
          <w:tcPr>
            <w:tcW w:w="8768" w:type="dxa"/>
            <w:tcBorders>
              <w:bottom w:val="double" w:sz="4" w:space="0" w:color="auto"/>
            </w:tcBorders>
            <w:vAlign w:val="center"/>
          </w:tcPr>
          <w:p w14:paraId="7E0581BB">
            <w:pPr>
              <w:pStyle w:val="style0"/>
              <w:snapToGrid w:val="false"/>
              <w:ind w:left="0" w:leftChars="0" w:right="0" w:rightChars="0" w:firstLine="0" w:firstLineChars="0"/>
              <w:jc w:val="left"/>
              <w:rPr>
                <w:rFonts w:eastAsia="宋体"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能准确捕捉1秒内的最小Vi，与示波器读数相差&lt;0.1v</w:t>
            </w:r>
          </w:p>
        </w:tc>
        <w:tc>
          <w:tcPr>
            <w:tcW w:w="733" w:type="dxa"/>
            <w:tcBorders>
              <w:bottom w:val="double" w:sz="4" w:space="0" w:color="auto"/>
            </w:tcBorders>
            <w:vAlign w:val="center"/>
          </w:tcPr>
          <w:p w14:paraId="09A0F018">
            <w:pPr>
              <w:pStyle w:val="style0"/>
              <w:snapToGrid w:val="false"/>
              <w:ind w:left="0" w:leftChars="0" w:right="0" w:rightChars="0" w:firstLine="0" w:firstLineChars="0"/>
              <w:jc w:val="center"/>
              <w:rPr/>
            </w:pPr>
          </w:p>
        </w:tc>
      </w:tr>
      <w:tr w14:paraId="694E8BEC">
        <w:tblPrEx/>
        <w:trPr>
          <w:trHeight w:val="0" w:hRule="auto"/>
          <w:jc w:val="center"/>
        </w:trPr>
        <w:tc>
          <w:tcPr>
            <w:tcW w:w="1147" w:type="dxa"/>
            <w:vMerge w:val="restart"/>
            <w:tcBorders>
              <w:top w:val="double" w:sz="4" w:space="0" w:color="auto"/>
            </w:tcBorders>
            <w:vAlign w:val="center"/>
          </w:tcPr>
          <w:p w14:paraId="14E98578">
            <w:pPr>
              <w:pStyle w:val="style0"/>
              <w:snapToGrid w:val="false"/>
              <w:ind w:left="0" w:leftChars="0" w:right="0" w:rightChars="0" w:firstLine="0" w:firstLineChars="0"/>
              <w:jc w:val="center"/>
              <w:rPr/>
            </w:pPr>
            <w:r>
              <w:rPr>
                <w:b/>
              </w:rPr>
              <w:t>4. B板</w:t>
            </w:r>
            <w:r>
              <w:rPr>
                <w:rFonts w:hint="eastAsia"/>
                <w:b/>
                <w:lang w:val="en-US" w:eastAsia="zh-CN"/>
              </w:rPr>
              <w:t>功能</w:t>
            </w:r>
            <w:r>
              <w:t>(</w:t>
            </w:r>
            <w:r>
              <w:rPr>
                <w:rFonts w:hint="eastAsia"/>
                <w:lang w:val="en-US" w:eastAsia="zh-CN"/>
              </w:rPr>
              <w:t>40</w:t>
            </w:r>
            <w:r>
              <w:t>分)</w:t>
            </w:r>
          </w:p>
        </w:tc>
        <w:tc>
          <w:tcPr>
            <w:tcW w:w="8768" w:type="dxa"/>
            <w:tcBorders>
              <w:top w:val="double" w:sz="4" w:space="0" w:color="auto"/>
            </w:tcBorders>
            <w:vAlign w:val="center"/>
          </w:tcPr>
          <w:p w14:paraId="091C3F43">
            <w:pPr>
              <w:pStyle w:val="style0"/>
              <w:snapToGrid w:val="false"/>
              <w:ind w:left="0" w:leftChars="0" w:right="0" w:rightChars="0" w:firstLine="0" w:firstLineChars="0"/>
              <w:jc w:val="left"/>
              <w:rPr>
                <w:rFonts w:eastAsia="宋体" w:hint="default"/>
                <w:lang w:val="en-US" w:eastAsia="zh-CN"/>
              </w:rPr>
            </w:pPr>
            <w:r>
              <w:t>D2点亮时，亮度</w:t>
            </w:r>
            <w:r>
              <w:rPr>
                <w:rFonts w:hint="eastAsia"/>
                <w:lang w:val="en-US" w:eastAsia="zh-CN"/>
              </w:rPr>
              <w:t>按要求跟随Vi变化</w:t>
            </w:r>
          </w:p>
        </w:tc>
        <w:tc>
          <w:tcPr>
            <w:tcW w:w="733" w:type="dxa"/>
            <w:tcBorders>
              <w:top w:val="double" w:sz="4" w:space="0" w:color="auto"/>
            </w:tcBorders>
            <w:vAlign w:val="center"/>
          </w:tcPr>
          <w:p w14:paraId="207BC69D">
            <w:pPr>
              <w:pStyle w:val="style0"/>
              <w:snapToGrid w:val="false"/>
              <w:ind w:left="0" w:leftChars="0" w:right="0" w:rightChars="0" w:firstLine="0" w:firstLineChars="0"/>
              <w:jc w:val="center"/>
              <w:rPr/>
            </w:pPr>
          </w:p>
        </w:tc>
      </w:tr>
      <w:tr w14:paraId="74261A92">
        <w:tblPrEx/>
        <w:trPr>
          <w:trHeight w:val="0" w:hRule="auto"/>
          <w:jc w:val="center"/>
        </w:trPr>
        <w:tc>
          <w:tcPr>
            <w:tcW w:w="1147" w:type="dxa"/>
            <w:vMerge w:val="continue"/>
            <w:tcBorders/>
            <w:vAlign w:val="center"/>
          </w:tcPr>
          <w:p w14:paraId="6686575E">
            <w:pPr>
              <w:pStyle w:val="style0"/>
              <w:snapToGrid w:val="false"/>
              <w:ind w:left="0" w:leftChars="0" w:right="0" w:rightChars="0" w:firstLine="0" w:firstLineChars="0"/>
              <w:jc w:val="center"/>
              <w:rPr/>
            </w:pPr>
          </w:p>
        </w:tc>
        <w:tc>
          <w:tcPr>
            <w:tcW w:w="8768" w:type="dxa"/>
            <w:tcBorders/>
            <w:vAlign w:val="center"/>
          </w:tcPr>
          <w:p w14:paraId="02E899B1">
            <w:pPr>
              <w:pStyle w:val="style0"/>
              <w:snapToGrid w:val="false"/>
              <w:ind w:left="0" w:leftChars="0" w:right="0" w:rightChars="0" w:firstLine="0" w:firstLineChars="0"/>
              <w:jc w:val="left"/>
              <w:rPr/>
            </w:pPr>
            <w:r>
              <w:t>Vi=0V时，D2仍可明显看到微光（不能全灭）。</w:t>
            </w:r>
          </w:p>
        </w:tc>
        <w:tc>
          <w:tcPr>
            <w:tcW w:w="733" w:type="dxa"/>
            <w:tcBorders/>
            <w:vAlign w:val="center"/>
          </w:tcPr>
          <w:p w14:paraId="12082FD8">
            <w:pPr>
              <w:pStyle w:val="style0"/>
              <w:snapToGrid w:val="false"/>
              <w:ind w:left="0" w:leftChars="0" w:right="0" w:rightChars="0" w:firstLine="0" w:firstLineChars="0"/>
              <w:jc w:val="center"/>
              <w:rPr/>
            </w:pPr>
          </w:p>
        </w:tc>
      </w:tr>
      <w:tr w14:paraId="2C38FA11">
        <w:tblPrEx/>
        <w:trPr>
          <w:trHeight w:val="0" w:hRule="auto"/>
          <w:jc w:val="center"/>
        </w:trPr>
        <w:tc>
          <w:tcPr>
            <w:tcW w:w="1147" w:type="dxa"/>
            <w:vMerge w:val="continue"/>
            <w:tcBorders/>
            <w:vAlign w:val="center"/>
          </w:tcPr>
          <w:p w14:paraId="541C73A1">
            <w:pPr>
              <w:pStyle w:val="style0"/>
              <w:snapToGrid w:val="false"/>
              <w:ind w:left="0" w:leftChars="0" w:right="0" w:rightChars="0" w:firstLine="0" w:firstLineChars="0"/>
              <w:jc w:val="center"/>
              <w:rPr/>
            </w:pPr>
          </w:p>
        </w:tc>
        <w:tc>
          <w:tcPr>
            <w:tcW w:w="8768" w:type="dxa"/>
            <w:tcBorders/>
            <w:vAlign w:val="center"/>
          </w:tcPr>
          <w:p w14:paraId="008D702A">
            <w:pPr>
              <w:pStyle w:val="style0"/>
              <w:snapToGrid w:val="false"/>
              <w:ind w:left="0" w:leftChars="0" w:right="0" w:rightChars="0" w:firstLine="0" w:firstLineChars="0"/>
              <w:jc w:val="left"/>
              <w:rPr>
                <w:rFonts w:eastAsia="宋体"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当Vi变为无输入时，D2与0v相同，保持微光；PWM输出占空比为50%</w:t>
            </w:r>
          </w:p>
        </w:tc>
        <w:tc>
          <w:tcPr>
            <w:tcW w:w="733" w:type="dxa"/>
            <w:tcBorders/>
            <w:vAlign w:val="center"/>
          </w:tcPr>
          <w:p w14:paraId="195FF778">
            <w:pPr>
              <w:pStyle w:val="style0"/>
              <w:snapToGrid w:val="false"/>
              <w:ind w:left="0" w:leftChars="0" w:right="0" w:rightChars="0" w:firstLine="0" w:firstLineChars="0"/>
              <w:jc w:val="center"/>
              <w:rPr/>
            </w:pPr>
          </w:p>
        </w:tc>
      </w:tr>
      <w:tr w14:paraId="1ACCE2EA">
        <w:tblPrEx/>
        <w:trPr>
          <w:trHeight w:val="0" w:hRule="auto"/>
          <w:jc w:val="center"/>
        </w:trPr>
        <w:tc>
          <w:tcPr>
            <w:tcW w:w="1147" w:type="dxa"/>
            <w:vMerge w:val="continue"/>
            <w:tcBorders/>
            <w:vAlign w:val="center"/>
          </w:tcPr>
          <w:p w14:paraId="41597A5C">
            <w:pPr>
              <w:pStyle w:val="style0"/>
              <w:snapToGrid w:val="false"/>
              <w:ind w:left="0" w:leftChars="0" w:right="0" w:rightChars="0" w:firstLine="0" w:firstLineChars="0"/>
              <w:jc w:val="center"/>
              <w:rPr/>
            </w:pPr>
          </w:p>
        </w:tc>
        <w:tc>
          <w:tcPr>
            <w:tcW w:w="8768" w:type="dxa"/>
            <w:tcBorders/>
            <w:vAlign w:val="center"/>
          </w:tcPr>
          <w:p w14:paraId="51F4937F">
            <w:pPr>
              <w:pStyle w:val="style0"/>
              <w:snapToGrid w:val="false"/>
              <w:ind w:left="0" w:leftChars="0" w:right="0" w:rightChars="0" w:firstLine="0" w:firstLineChars="0"/>
              <w:jc w:val="left"/>
              <w:rPr/>
            </w:pPr>
            <w:r>
              <w:t>B板始终输出两路互补PWM，频率</w:t>
            </w:r>
            <w:r>
              <w:rPr>
                <w:b/>
              </w:rPr>
              <w:t>5kHz±5%</w:t>
            </w:r>
            <w:r>
              <w:t>（示波器测量）。</w:t>
            </w:r>
          </w:p>
        </w:tc>
        <w:tc>
          <w:tcPr>
            <w:tcW w:w="733" w:type="dxa"/>
            <w:tcBorders/>
            <w:vAlign w:val="center"/>
          </w:tcPr>
          <w:p w14:paraId="77FD5700">
            <w:pPr>
              <w:pStyle w:val="style0"/>
              <w:snapToGrid w:val="false"/>
              <w:ind w:left="0" w:leftChars="0" w:right="0" w:rightChars="0" w:firstLine="0" w:firstLineChars="0"/>
              <w:jc w:val="center"/>
              <w:rPr/>
            </w:pPr>
          </w:p>
        </w:tc>
      </w:tr>
      <w:tr w14:paraId="6905ADE3">
        <w:tblPrEx/>
        <w:trPr>
          <w:trHeight w:val="273" w:hRule="atLeast"/>
          <w:jc w:val="center"/>
        </w:trPr>
        <w:tc>
          <w:tcPr>
            <w:tcW w:w="1147" w:type="dxa"/>
            <w:vMerge w:val="continue"/>
            <w:tcBorders/>
            <w:vAlign w:val="center"/>
          </w:tcPr>
          <w:p w14:paraId="3515ECD6">
            <w:pPr>
              <w:pStyle w:val="style0"/>
              <w:snapToGrid w:val="false"/>
              <w:ind w:left="0" w:leftChars="0" w:right="0" w:rightChars="0" w:firstLine="0" w:firstLineChars="0"/>
              <w:jc w:val="center"/>
              <w:rPr/>
            </w:pPr>
          </w:p>
        </w:tc>
        <w:tc>
          <w:tcPr>
            <w:tcW w:w="8768" w:type="dxa"/>
            <w:tcBorders/>
            <w:vAlign w:val="center"/>
          </w:tcPr>
          <w:p w14:paraId="04E3CF11">
            <w:pPr>
              <w:pStyle w:val="style0"/>
              <w:snapToGrid w:val="false"/>
              <w:ind w:left="0" w:leftChars="0" w:right="0" w:rightChars="0" w:firstLine="0" w:firstLineChars="0"/>
              <w:jc w:val="left"/>
              <w:rPr/>
            </w:pPr>
            <w:r>
              <w:rPr>
                <w:rFonts w:hint="eastAsia"/>
                <w:lang w:val="en-US" w:eastAsia="zh-CN"/>
              </w:rPr>
              <w:t>互补PWM</w:t>
            </w:r>
            <w:r>
              <w:t>有</w:t>
            </w:r>
            <w:r>
              <w:rPr>
                <w:b/>
              </w:rPr>
              <w:t>明显死区时间</w:t>
            </w:r>
            <w:r>
              <w:rPr>
                <w:rFonts w:hint="eastAsia"/>
                <w:b/>
                <w:lang w:eastAsia="zh-CN"/>
              </w:rPr>
              <w:t>，</w:t>
            </w:r>
            <w:r>
              <w:t>双踪示波器</w:t>
            </w:r>
            <w:r>
              <w:rPr>
                <w:rFonts w:hint="eastAsia"/>
                <w:lang w:val="en-US" w:eastAsia="zh-CN"/>
              </w:rPr>
              <w:t>肉眼可观察</w:t>
            </w:r>
          </w:p>
        </w:tc>
        <w:tc>
          <w:tcPr>
            <w:tcW w:w="733" w:type="dxa"/>
            <w:tcBorders/>
            <w:vAlign w:val="center"/>
          </w:tcPr>
          <w:p w14:paraId="3BBCF8F8">
            <w:pPr>
              <w:pStyle w:val="style0"/>
              <w:snapToGrid w:val="false"/>
              <w:ind w:left="0" w:leftChars="0" w:right="0" w:rightChars="0" w:firstLine="0" w:firstLineChars="0"/>
              <w:jc w:val="center"/>
              <w:rPr/>
            </w:pPr>
          </w:p>
        </w:tc>
      </w:tr>
      <w:tr w14:paraId="1723E489">
        <w:tblPrEx/>
        <w:trPr>
          <w:trHeight w:val="0" w:hRule="auto"/>
          <w:jc w:val="center"/>
        </w:trPr>
        <w:tc>
          <w:tcPr>
            <w:tcW w:w="1147" w:type="dxa"/>
            <w:vMerge w:val="continue"/>
            <w:tcBorders/>
            <w:vAlign w:val="center"/>
          </w:tcPr>
          <w:p w14:paraId="17956924">
            <w:pPr>
              <w:pStyle w:val="style0"/>
              <w:snapToGrid w:val="false"/>
              <w:ind w:left="0" w:leftChars="0" w:right="0" w:rightChars="0" w:firstLine="0" w:firstLineChars="0"/>
              <w:jc w:val="center"/>
              <w:rPr/>
            </w:pPr>
          </w:p>
        </w:tc>
        <w:tc>
          <w:tcPr>
            <w:tcW w:w="8768" w:type="dxa"/>
            <w:tcBorders/>
            <w:vAlign w:val="center"/>
          </w:tcPr>
          <w:p w14:paraId="119DBCF6">
            <w:pPr>
              <w:pStyle w:val="style0"/>
              <w:snapToGrid w:val="false"/>
              <w:ind w:left="0" w:leftChars="0" w:right="0" w:rightChars="0" w:firstLine="0" w:firstLineChars="0"/>
              <w:jc w:val="left"/>
              <w:rPr/>
            </w:pPr>
            <w:r>
              <w:rPr>
                <w:b/>
              </w:rPr>
              <w:t>跟随模式</w:t>
            </w:r>
            <w:r>
              <w:t>：占空比随Vi 0→3.3V线性变化，范围覆盖</w:t>
            </w:r>
            <w:r>
              <w:rPr>
                <w:rFonts w:hint="eastAsia"/>
                <w:b/>
                <w:lang w:val="en-US" w:eastAsia="zh-CN"/>
              </w:rPr>
              <w:t>1</w:t>
            </w:r>
            <w:r>
              <w:rPr>
                <w:b/>
              </w:rPr>
              <w:t>0%～</w:t>
            </w:r>
            <w:r>
              <w:rPr>
                <w:rFonts w:hint="eastAsia"/>
                <w:b/>
                <w:lang w:val="en-US" w:eastAsia="zh-CN"/>
              </w:rPr>
              <w:t>9</w:t>
            </w:r>
            <w:r>
              <w:rPr>
                <w:b/>
              </w:rPr>
              <w:t>0%</w:t>
            </w:r>
            <w:r>
              <w:t>。</w:t>
            </w:r>
          </w:p>
        </w:tc>
        <w:tc>
          <w:tcPr>
            <w:tcW w:w="733" w:type="dxa"/>
            <w:tcBorders/>
            <w:vAlign w:val="center"/>
          </w:tcPr>
          <w:p w14:paraId="22A696E5">
            <w:pPr>
              <w:pStyle w:val="style0"/>
              <w:snapToGrid w:val="false"/>
              <w:ind w:left="0" w:leftChars="0" w:right="0" w:rightChars="0" w:firstLine="0" w:firstLineChars="0"/>
              <w:jc w:val="center"/>
              <w:rPr/>
            </w:pPr>
          </w:p>
        </w:tc>
      </w:tr>
      <w:tr w14:paraId="4C2876B3">
        <w:tblPrEx/>
        <w:trPr>
          <w:trHeight w:val="0" w:hRule="auto"/>
          <w:jc w:val="center"/>
        </w:trPr>
        <w:tc>
          <w:tcPr>
            <w:tcW w:w="1147" w:type="dxa"/>
            <w:vMerge w:val="continue"/>
            <w:tcBorders/>
            <w:vAlign w:val="center"/>
          </w:tcPr>
          <w:p w14:paraId="4C8E32D0">
            <w:pPr>
              <w:pStyle w:val="style0"/>
              <w:snapToGrid w:val="false"/>
              <w:ind w:left="0" w:leftChars="0" w:right="0" w:rightChars="0" w:firstLine="0" w:firstLineChars="0"/>
              <w:jc w:val="center"/>
              <w:rPr/>
            </w:pPr>
          </w:p>
        </w:tc>
        <w:tc>
          <w:tcPr>
            <w:tcW w:w="8768" w:type="dxa"/>
            <w:tcBorders/>
            <w:vAlign w:val="center"/>
          </w:tcPr>
          <w:p w14:paraId="3C9357CD">
            <w:pPr>
              <w:pStyle w:val="style0"/>
              <w:snapToGrid w:val="false"/>
              <w:ind w:left="0" w:leftChars="0" w:right="0" w:rightChars="0" w:firstLine="0" w:firstLineChars="0"/>
              <w:jc w:val="left"/>
              <w:rPr/>
            </w:pPr>
            <w:r>
              <w:rPr>
                <w:b/>
              </w:rPr>
              <w:t>最大值模式</w:t>
            </w:r>
            <w:r>
              <w:t>：输入缓变正弦/方波，</w:t>
            </w:r>
            <w:r>
              <w:rPr>
                <w:rFonts w:hint="eastAsia"/>
                <w:lang w:val="en-US" w:eastAsia="zh-CN"/>
              </w:rPr>
              <w:t>PWM</w:t>
            </w:r>
            <w:r>
              <w:t>占空比稳定对应峰值</w:t>
            </w:r>
            <w:r>
              <w:rPr>
                <w:rFonts w:hint="eastAsia"/>
                <w:lang w:eastAsia="zh-CN"/>
              </w:rPr>
              <w:t>，</w:t>
            </w:r>
            <w:r>
              <w:rPr>
                <w:rFonts w:hint="eastAsia"/>
                <w:lang w:val="en-US" w:eastAsia="zh-CN"/>
              </w:rPr>
              <w:t>波形平稳</w:t>
            </w:r>
            <w:r>
              <w:t>。</w:t>
            </w:r>
          </w:p>
        </w:tc>
        <w:tc>
          <w:tcPr>
            <w:tcW w:w="733" w:type="dxa"/>
            <w:tcBorders/>
            <w:vAlign w:val="center"/>
          </w:tcPr>
          <w:p w14:paraId="4539EEA9">
            <w:pPr>
              <w:pStyle w:val="style0"/>
              <w:snapToGrid w:val="false"/>
              <w:ind w:left="0" w:leftChars="0" w:right="0" w:rightChars="0" w:firstLine="0" w:firstLineChars="0"/>
              <w:jc w:val="center"/>
              <w:rPr/>
            </w:pPr>
          </w:p>
        </w:tc>
      </w:tr>
      <w:tr w14:paraId="18BADCE0">
        <w:tblPrEx/>
        <w:trPr>
          <w:trHeight w:val="0" w:hRule="auto"/>
          <w:jc w:val="center"/>
        </w:trPr>
        <w:tc>
          <w:tcPr>
            <w:tcW w:w="1147" w:type="dxa"/>
            <w:vMerge w:val="continue"/>
            <w:tcBorders>
              <w:bottom w:val="double" w:sz="4" w:space="0" w:color="auto"/>
            </w:tcBorders>
            <w:vAlign w:val="center"/>
          </w:tcPr>
          <w:p w14:paraId="59374BB1">
            <w:pPr>
              <w:pStyle w:val="style0"/>
              <w:snapToGrid w:val="false"/>
              <w:ind w:left="0" w:leftChars="0" w:right="0" w:rightChars="0" w:firstLine="0" w:firstLineChars="0"/>
              <w:jc w:val="center"/>
              <w:rPr/>
            </w:pPr>
          </w:p>
        </w:tc>
        <w:tc>
          <w:tcPr>
            <w:tcW w:w="8768" w:type="dxa"/>
            <w:tcBorders>
              <w:bottom w:val="double" w:sz="4" w:space="0" w:color="auto"/>
            </w:tcBorders>
            <w:vAlign w:val="center"/>
          </w:tcPr>
          <w:p w14:paraId="4115040C">
            <w:pPr>
              <w:pStyle w:val="style0"/>
              <w:snapToGrid w:val="false"/>
              <w:ind w:left="0" w:leftChars="0" w:right="0" w:rightChars="0" w:firstLine="0" w:firstLineChars="0"/>
              <w:jc w:val="left"/>
              <w:rPr/>
            </w:pPr>
            <w:r>
              <w:rPr>
                <w:b/>
              </w:rPr>
              <w:t>最小值模式</w:t>
            </w:r>
            <w:r>
              <w:t>：输入缓变正弦/方波，</w:t>
            </w:r>
            <w:r>
              <w:rPr>
                <w:rFonts w:hint="eastAsia"/>
                <w:lang w:val="en-US" w:eastAsia="zh-CN"/>
              </w:rPr>
              <w:t>PWM</w:t>
            </w:r>
            <w:r>
              <w:t>占空比稳定对应谷值，</w:t>
            </w:r>
            <w:r>
              <w:rPr>
                <w:rFonts w:hint="eastAsia"/>
                <w:lang w:val="en-US" w:eastAsia="zh-CN"/>
              </w:rPr>
              <w:t>波形平稳</w:t>
            </w:r>
            <w:r>
              <w:t>。</w:t>
            </w:r>
          </w:p>
        </w:tc>
        <w:tc>
          <w:tcPr>
            <w:tcW w:w="733" w:type="dxa"/>
            <w:tcBorders>
              <w:bottom w:val="double" w:sz="4" w:space="0" w:color="auto"/>
            </w:tcBorders>
            <w:vAlign w:val="center"/>
          </w:tcPr>
          <w:p w14:paraId="00C0866B">
            <w:pPr>
              <w:pStyle w:val="style0"/>
              <w:snapToGrid w:val="false"/>
              <w:ind w:left="0" w:leftChars="0" w:right="0" w:rightChars="0" w:firstLine="0" w:firstLineChars="0"/>
              <w:jc w:val="center"/>
              <w:rPr/>
            </w:pPr>
          </w:p>
        </w:tc>
      </w:tr>
      <w:tr w14:paraId="2700BCA7">
        <w:tblPrEx/>
        <w:trPr>
          <w:trHeight w:val="0" w:hRule="auto"/>
          <w:jc w:val="center"/>
        </w:trPr>
        <w:tc>
          <w:tcPr>
            <w:tcW w:w="1147" w:type="dxa"/>
            <w:vMerge w:val="restart"/>
            <w:tcBorders>
              <w:top w:val="double" w:sz="4" w:space="0" w:color="auto"/>
            </w:tcBorders>
            <w:vAlign w:val="center"/>
          </w:tcPr>
          <w:p w14:paraId="297222BC">
            <w:pPr>
              <w:pStyle w:val="style0"/>
              <w:snapToGrid w:val="false"/>
              <w:ind w:left="0" w:leftChars="0" w:right="0" w:rightChars="0" w:firstLine="0" w:firstLineChars="0"/>
              <w:jc w:val="center"/>
              <w:rPr/>
            </w:pPr>
            <w:r>
              <w:rPr>
                <w:b/>
              </w:rPr>
              <w:t>6. 通信与失联检测</w:t>
            </w:r>
            <w:r>
              <w:t>(</w:t>
            </w:r>
            <w:r>
              <w:rPr>
                <w:rFonts w:hint="eastAsia"/>
                <w:lang w:val="en-US" w:eastAsia="zh-CN"/>
              </w:rPr>
              <w:t>40</w:t>
            </w:r>
            <w:r>
              <w:t>分)</w:t>
            </w:r>
          </w:p>
        </w:tc>
        <w:tc>
          <w:tcPr>
            <w:tcW w:w="8768" w:type="dxa"/>
            <w:tcBorders>
              <w:top w:val="double" w:sz="4" w:space="0" w:color="auto"/>
            </w:tcBorders>
            <w:vAlign w:val="center"/>
          </w:tcPr>
          <w:p w14:paraId="7A963F24">
            <w:pPr>
              <w:pStyle w:val="style0"/>
              <w:snapToGrid w:val="false"/>
              <w:ind w:left="0" w:leftChars="0" w:right="0" w:rightChars="0" w:firstLine="0" w:firstLineChars="0"/>
              <w:jc w:val="left"/>
              <w:rPr/>
            </w:pPr>
            <w:r>
              <w:t>通信正常时，A、B板</w:t>
            </w:r>
            <w:r>
              <w:rPr>
                <w:rFonts w:hint="eastAsia"/>
                <w:lang w:val="en-US" w:eastAsia="zh-CN"/>
              </w:rPr>
              <w:t>正确</w:t>
            </w:r>
            <w:r>
              <w:t>显示对方</w:t>
            </w:r>
            <w:r>
              <w:rPr>
                <w:rFonts w:hint="eastAsia"/>
                <w:lang w:val="en-US" w:eastAsia="zh-CN"/>
              </w:rPr>
              <w:t>LE</w:t>
            </w:r>
            <w:r>
              <w:t>D工作状态及B板PWM模式。</w:t>
            </w:r>
          </w:p>
        </w:tc>
        <w:tc>
          <w:tcPr>
            <w:tcW w:w="733" w:type="dxa"/>
            <w:tcBorders>
              <w:top w:val="double" w:sz="4" w:space="0" w:color="auto"/>
            </w:tcBorders>
            <w:vAlign w:val="center"/>
          </w:tcPr>
          <w:p w14:paraId="4E5C1910">
            <w:pPr>
              <w:pStyle w:val="style0"/>
              <w:snapToGrid w:val="false"/>
              <w:ind w:left="0" w:leftChars="0" w:right="0" w:rightChars="0" w:firstLine="0" w:firstLineChars="0"/>
              <w:jc w:val="center"/>
              <w:rPr/>
            </w:pPr>
          </w:p>
        </w:tc>
      </w:tr>
      <w:tr w14:paraId="13360346">
        <w:tblPrEx/>
        <w:trPr>
          <w:trHeight w:val="0" w:hRule="auto"/>
          <w:jc w:val="center"/>
        </w:trPr>
        <w:tc>
          <w:tcPr>
            <w:tcW w:w="1147" w:type="dxa"/>
            <w:vMerge w:val="continue"/>
            <w:tcBorders/>
            <w:vAlign w:val="center"/>
          </w:tcPr>
          <w:p w14:paraId="41EB4F97">
            <w:pPr>
              <w:pStyle w:val="style0"/>
              <w:snapToGrid w:val="false"/>
              <w:ind w:left="0" w:leftChars="0" w:right="0" w:rightChars="0" w:firstLine="0" w:firstLineChars="0"/>
              <w:jc w:val="center"/>
              <w:rPr/>
            </w:pPr>
          </w:p>
        </w:tc>
        <w:tc>
          <w:tcPr>
            <w:tcW w:w="8768" w:type="dxa"/>
            <w:tcBorders/>
            <w:vAlign w:val="center"/>
          </w:tcPr>
          <w:p w14:paraId="6694F467">
            <w:pPr>
              <w:pStyle w:val="style0"/>
              <w:snapToGrid w:val="false"/>
              <w:ind w:left="0" w:leftChars="0" w:right="0" w:rightChars="0" w:firstLine="0" w:firstLineChars="0"/>
              <w:jc w:val="left"/>
              <w:rPr/>
            </w:pPr>
            <w:r>
              <w:t>断开任意一根通信线，</w:t>
            </w:r>
            <w:r>
              <w:rPr>
                <w:b/>
              </w:rPr>
              <w:t>1秒内</w:t>
            </w:r>
            <w:r>
              <w:t>双方均显示通信失效标志。</w:t>
            </w:r>
          </w:p>
        </w:tc>
        <w:tc>
          <w:tcPr>
            <w:tcW w:w="733" w:type="dxa"/>
            <w:tcBorders/>
            <w:vAlign w:val="center"/>
          </w:tcPr>
          <w:p w14:paraId="0226F799">
            <w:pPr>
              <w:pStyle w:val="style0"/>
              <w:snapToGrid w:val="false"/>
              <w:ind w:left="0" w:leftChars="0" w:right="0" w:rightChars="0" w:firstLine="0" w:firstLineChars="0"/>
              <w:jc w:val="center"/>
              <w:rPr/>
            </w:pPr>
          </w:p>
        </w:tc>
      </w:tr>
      <w:tr w14:paraId="213A0526">
        <w:tblPrEx/>
        <w:trPr>
          <w:trHeight w:val="0" w:hRule="auto"/>
          <w:jc w:val="center"/>
        </w:trPr>
        <w:tc>
          <w:tcPr>
            <w:tcW w:w="1147" w:type="dxa"/>
            <w:vMerge w:val="continue"/>
            <w:tcBorders/>
            <w:vAlign w:val="center"/>
          </w:tcPr>
          <w:p w14:paraId="4CF8DB6C">
            <w:pPr>
              <w:pStyle w:val="style0"/>
              <w:snapToGrid w:val="false"/>
              <w:ind w:left="0" w:leftChars="0" w:right="0" w:rightChars="0" w:firstLine="0" w:firstLineChars="0"/>
              <w:jc w:val="center"/>
              <w:rPr/>
            </w:pPr>
          </w:p>
        </w:tc>
        <w:tc>
          <w:tcPr>
            <w:tcW w:w="8768" w:type="dxa"/>
            <w:tcBorders/>
            <w:vAlign w:val="center"/>
          </w:tcPr>
          <w:p w14:paraId="42A8FF2D">
            <w:pPr>
              <w:pStyle w:val="style0"/>
              <w:snapToGrid w:val="false"/>
              <w:ind w:left="0" w:leftChars="0" w:right="0" w:rightChars="0" w:firstLine="0" w:firstLineChars="0"/>
              <w:jc w:val="left"/>
              <w:rPr/>
            </w:pPr>
            <w:r>
              <w:t>通信恢复后，</w:t>
            </w:r>
            <w:r>
              <w:rPr>
                <w:rFonts w:hint="eastAsia"/>
                <w:b/>
                <w:lang w:val="en-US" w:eastAsia="zh-CN"/>
              </w:rPr>
              <w:t>1</w:t>
            </w:r>
            <w:r>
              <w:rPr>
                <w:b/>
              </w:rPr>
              <w:t>秒内</w:t>
            </w:r>
            <w:r>
              <w:t>通信正常标志恢复。</w:t>
            </w:r>
          </w:p>
        </w:tc>
        <w:tc>
          <w:tcPr>
            <w:tcW w:w="733" w:type="dxa"/>
            <w:tcBorders/>
            <w:vAlign w:val="center"/>
          </w:tcPr>
          <w:p w14:paraId="0795BC2D">
            <w:pPr>
              <w:pStyle w:val="style0"/>
              <w:snapToGrid w:val="false"/>
              <w:ind w:left="0" w:leftChars="0" w:right="0" w:rightChars="0" w:firstLine="0" w:firstLineChars="0"/>
              <w:jc w:val="center"/>
              <w:rPr/>
            </w:pPr>
          </w:p>
        </w:tc>
      </w:tr>
      <w:tr w14:paraId="38896135">
        <w:tblPrEx/>
        <w:trPr>
          <w:trHeight w:val="0" w:hRule="auto"/>
          <w:jc w:val="center"/>
        </w:trPr>
        <w:tc>
          <w:tcPr>
            <w:tcW w:w="1147" w:type="dxa"/>
            <w:vMerge w:val="continue"/>
            <w:tcBorders/>
            <w:vAlign w:val="center"/>
          </w:tcPr>
          <w:p w14:paraId="1E362954">
            <w:pPr>
              <w:pStyle w:val="style0"/>
              <w:snapToGrid w:val="false"/>
              <w:ind w:left="0" w:leftChars="0" w:right="0" w:rightChars="0" w:firstLine="0" w:firstLineChars="0"/>
              <w:jc w:val="center"/>
              <w:rPr/>
            </w:pPr>
          </w:p>
        </w:tc>
        <w:tc>
          <w:tcPr>
            <w:tcW w:w="8768" w:type="dxa"/>
            <w:tcBorders/>
            <w:vAlign w:val="center"/>
          </w:tcPr>
          <w:p w14:paraId="3A4F50BA">
            <w:pPr>
              <w:pStyle w:val="style0"/>
              <w:snapToGrid w:val="false"/>
              <w:ind w:left="0" w:leftChars="0" w:right="0" w:rightChars="0" w:firstLine="0" w:firstLineChars="0"/>
              <w:jc w:val="left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通信正常时，K1短按使D1关闭</w:t>
            </w:r>
            <w:r>
              <w:rPr>
                <w:rFonts w:hint="eastAsia"/>
                <w:lang w:eastAsia="zh-CN"/>
              </w:rPr>
              <w:t>，</w:t>
            </w:r>
            <w:r>
              <w:rPr>
                <w:rFonts w:hint="eastAsia"/>
                <w:lang w:val="en-US" w:eastAsia="zh-CN"/>
              </w:rPr>
              <w:t>再次</w:t>
            </w:r>
            <w:r>
              <w:t>点亮</w:t>
            </w:r>
            <w:r>
              <w:rPr>
                <w:rFonts w:hint="eastAsia"/>
                <w:lang w:val="en-US" w:eastAsia="zh-CN"/>
              </w:rPr>
              <w:t>后</w:t>
            </w:r>
            <w:r>
              <w:t>，</w:t>
            </w:r>
            <w:r>
              <w:rPr>
                <w:rFonts w:hint="eastAsia"/>
                <w:lang w:val="en-US" w:eastAsia="zh-CN"/>
              </w:rPr>
              <w:t>D1呼吸周期T1</w:t>
            </w:r>
            <w:r>
              <w:t>立即跟随当前</w:t>
            </w:r>
            <w:r>
              <w:rPr>
                <w:rFonts w:hint="eastAsia"/>
                <w:lang w:val="en-US" w:eastAsia="zh-CN"/>
              </w:rPr>
              <w:t>B板PWM模式</w:t>
            </w:r>
            <w:r>
              <w:t>。</w:t>
            </w:r>
          </w:p>
        </w:tc>
        <w:tc>
          <w:tcPr>
            <w:tcW w:w="733" w:type="dxa"/>
            <w:tcBorders/>
            <w:vAlign w:val="center"/>
          </w:tcPr>
          <w:p w14:paraId="0B121168">
            <w:pPr>
              <w:pStyle w:val="style0"/>
              <w:snapToGrid w:val="false"/>
              <w:ind w:left="0" w:leftChars="0" w:right="0" w:rightChars="0" w:firstLine="0" w:firstLineChars="0"/>
              <w:jc w:val="center"/>
              <w:rPr/>
            </w:pPr>
          </w:p>
        </w:tc>
      </w:tr>
      <w:tr w14:paraId="32DCCCE9">
        <w:tblPrEx/>
        <w:trPr>
          <w:trHeight w:val="0" w:hRule="auto"/>
          <w:jc w:val="center"/>
        </w:trPr>
        <w:tc>
          <w:tcPr>
            <w:tcW w:w="1147" w:type="dxa"/>
            <w:vMerge w:val="continue"/>
            <w:tcBorders/>
            <w:vAlign w:val="center"/>
          </w:tcPr>
          <w:p w14:paraId="20A7B494">
            <w:pPr>
              <w:pStyle w:val="style0"/>
              <w:snapToGrid w:val="false"/>
              <w:ind w:left="0" w:leftChars="0" w:right="0" w:rightChars="0" w:firstLine="0" w:firstLineChars="0"/>
              <w:jc w:val="center"/>
              <w:rPr/>
            </w:pPr>
          </w:p>
        </w:tc>
        <w:tc>
          <w:tcPr>
            <w:tcW w:w="8768" w:type="dxa"/>
            <w:tcBorders/>
            <w:vAlign w:val="center"/>
          </w:tcPr>
          <w:p w14:paraId="5DEFFE75">
            <w:pPr>
              <w:pStyle w:val="style0"/>
              <w:snapToGrid w:val="false"/>
              <w:ind w:left="0" w:leftChars="0" w:right="0" w:rightChars="0" w:firstLine="0" w:firstLineChars="0"/>
              <w:jc w:val="left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通信正常时，</w:t>
            </w:r>
            <w:r>
              <w:t>K1长按使D2熄灭；再次点亮</w:t>
            </w:r>
            <w:r>
              <w:rPr>
                <w:rFonts w:hint="eastAsia"/>
                <w:lang w:val="en-US" w:eastAsia="zh-CN"/>
              </w:rPr>
              <w:t>时</w:t>
            </w:r>
            <w:r>
              <w:t>，亮度立即跟随当前Vi</w:t>
            </w:r>
            <w:r>
              <w:rPr>
                <w:rFonts w:hint="eastAsia"/>
                <w:lang w:eastAsia="zh-CN"/>
              </w:rPr>
              <w:t>，</w:t>
            </w:r>
            <w:r>
              <w:rPr>
                <w:rFonts w:hint="eastAsia"/>
                <w:lang w:val="en-US" w:eastAsia="zh-CN"/>
              </w:rPr>
              <w:t>无过渡</w:t>
            </w:r>
            <w:r>
              <w:t>。</w:t>
            </w:r>
          </w:p>
        </w:tc>
        <w:tc>
          <w:tcPr>
            <w:tcW w:w="733" w:type="dxa"/>
            <w:tcBorders/>
            <w:vAlign w:val="center"/>
          </w:tcPr>
          <w:p w14:paraId="661A8BCD">
            <w:pPr>
              <w:pStyle w:val="style0"/>
              <w:snapToGrid w:val="false"/>
              <w:ind w:left="0" w:leftChars="0" w:right="0" w:rightChars="0" w:firstLine="0" w:firstLineChars="0"/>
              <w:jc w:val="center"/>
              <w:rPr/>
            </w:pPr>
          </w:p>
        </w:tc>
      </w:tr>
      <w:tr w14:paraId="5EE23A86">
        <w:tblPrEx/>
        <w:trPr>
          <w:trHeight w:val="0" w:hRule="auto"/>
          <w:jc w:val="center"/>
        </w:trPr>
        <w:tc>
          <w:tcPr>
            <w:tcW w:w="1147" w:type="dxa"/>
            <w:vMerge w:val="continue"/>
            <w:tcBorders/>
            <w:vAlign w:val="center"/>
          </w:tcPr>
          <w:p w14:paraId="4F7EF903">
            <w:pPr>
              <w:pStyle w:val="style0"/>
              <w:snapToGrid w:val="false"/>
              <w:ind w:left="0" w:leftChars="0" w:right="0" w:rightChars="0" w:firstLine="0" w:firstLineChars="0"/>
              <w:jc w:val="center"/>
              <w:rPr/>
            </w:pPr>
          </w:p>
        </w:tc>
        <w:tc>
          <w:tcPr>
            <w:tcW w:w="8768" w:type="dxa"/>
            <w:tcBorders/>
            <w:vAlign w:val="center"/>
          </w:tcPr>
          <w:p w14:paraId="098A2D77">
            <w:pPr>
              <w:pStyle w:val="style0"/>
              <w:snapToGrid w:val="false"/>
              <w:ind w:left="0" w:leftChars="0" w:right="0" w:rightChars="0" w:firstLine="0" w:firstLineChars="0"/>
              <w:jc w:val="left"/>
              <w:rPr/>
            </w:pPr>
            <w:r>
              <w:t>通信失联</w:t>
            </w:r>
            <w:r>
              <w:rPr>
                <w:rFonts w:hint="eastAsia"/>
                <w:lang w:val="en-US" w:eastAsia="zh-CN"/>
              </w:rPr>
              <w:t>时</w:t>
            </w:r>
            <w:r>
              <w:t>，B板PWM</w:t>
            </w:r>
            <w:r>
              <w:rPr>
                <w:rFonts w:hint="eastAsia"/>
                <w:lang w:val="en-US" w:eastAsia="zh-CN"/>
              </w:rPr>
              <w:t>和两板LED</w:t>
            </w:r>
            <w:r>
              <w:t>行为符合</w:t>
            </w:r>
            <w:r>
              <w:rPr>
                <w:rFonts w:hint="eastAsia"/>
                <w:lang w:val="en-US" w:eastAsia="zh-CN"/>
              </w:rPr>
              <w:t>题目中保持的</w:t>
            </w:r>
            <w:r>
              <w:t>要求</w:t>
            </w:r>
          </w:p>
        </w:tc>
        <w:tc>
          <w:tcPr>
            <w:tcW w:w="733" w:type="dxa"/>
            <w:tcBorders/>
            <w:vAlign w:val="center"/>
          </w:tcPr>
          <w:p w14:paraId="3CE90788">
            <w:pPr>
              <w:pStyle w:val="style0"/>
              <w:snapToGrid w:val="false"/>
              <w:ind w:left="0" w:leftChars="0" w:right="0" w:rightChars="0" w:firstLine="0" w:firstLineChars="0"/>
              <w:jc w:val="center"/>
              <w:rPr/>
            </w:pPr>
          </w:p>
        </w:tc>
      </w:tr>
      <w:tr w14:paraId="200C65B8">
        <w:tblPrEx/>
        <w:trPr>
          <w:trHeight w:val="0" w:hRule="auto"/>
          <w:jc w:val="center"/>
        </w:trPr>
        <w:tc>
          <w:tcPr>
            <w:tcW w:w="1147" w:type="dxa"/>
            <w:vMerge w:val="continue"/>
            <w:tcBorders/>
            <w:vAlign w:val="center"/>
          </w:tcPr>
          <w:p w14:paraId="778A6FDB">
            <w:pPr>
              <w:pStyle w:val="style0"/>
              <w:snapToGrid w:val="false"/>
              <w:ind w:left="0" w:leftChars="0" w:right="0" w:rightChars="0" w:firstLine="0" w:firstLineChars="0"/>
              <w:jc w:val="center"/>
              <w:rPr/>
            </w:pPr>
          </w:p>
        </w:tc>
        <w:tc>
          <w:tcPr>
            <w:tcW w:w="8768" w:type="dxa"/>
            <w:tcBorders/>
            <w:vAlign w:val="center"/>
          </w:tcPr>
          <w:p w14:paraId="23F4B762">
            <w:pPr>
              <w:pStyle w:val="style0"/>
              <w:snapToGrid w:val="false"/>
              <w:ind w:left="0" w:leftChars="0" w:right="0" w:rightChars="0" w:firstLine="0" w:firstLineChars="0"/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失联时B板修改PWM模式(L1呼吸周期)，</w:t>
            </w:r>
            <w:r>
              <w:t>通信</w:t>
            </w:r>
            <w:r>
              <w:rPr>
                <w:rFonts w:hint="eastAsia"/>
                <w:lang w:val="en-US" w:eastAsia="zh-CN"/>
              </w:rPr>
              <w:t>恢复后</w:t>
            </w:r>
            <w:r>
              <w:t>，</w:t>
            </w:r>
            <w:r>
              <w:rPr>
                <w:rFonts w:hint="eastAsia"/>
                <w:lang w:val="en-US" w:eastAsia="zh-CN"/>
              </w:rPr>
              <w:t>D1呼吸新周期1秒内自动生效</w:t>
            </w:r>
          </w:p>
        </w:tc>
        <w:tc>
          <w:tcPr>
            <w:tcW w:w="733" w:type="dxa"/>
            <w:tcBorders/>
            <w:vAlign w:val="center"/>
          </w:tcPr>
          <w:p w14:paraId="2E7F5539">
            <w:pPr>
              <w:pStyle w:val="style0"/>
              <w:snapToGrid w:val="false"/>
              <w:ind w:left="0" w:leftChars="0" w:right="0" w:rightChars="0" w:firstLine="0" w:firstLineChars="0"/>
              <w:jc w:val="center"/>
              <w:rPr/>
            </w:pPr>
          </w:p>
        </w:tc>
      </w:tr>
      <w:tr w14:paraId="722A0EDF">
        <w:tblPrEx/>
        <w:trPr>
          <w:trHeight w:val="0" w:hRule="auto"/>
          <w:jc w:val="center"/>
        </w:trPr>
        <w:tc>
          <w:tcPr>
            <w:tcW w:w="1147" w:type="dxa"/>
            <w:vMerge w:val="continue"/>
            <w:tcBorders>
              <w:bottom w:val="double" w:sz="4" w:space="0" w:color="auto"/>
            </w:tcBorders>
            <w:vAlign w:val="center"/>
          </w:tcPr>
          <w:p w14:paraId="056EBD7E">
            <w:pPr>
              <w:pStyle w:val="style0"/>
              <w:snapToGrid w:val="false"/>
              <w:ind w:left="0" w:leftChars="0" w:right="0" w:rightChars="0" w:firstLine="0" w:firstLineChars="0"/>
              <w:jc w:val="center"/>
              <w:rPr/>
            </w:pPr>
          </w:p>
        </w:tc>
        <w:tc>
          <w:tcPr>
            <w:tcW w:w="8768" w:type="dxa"/>
            <w:tcBorders>
              <w:bottom w:val="double" w:sz="4" w:space="0" w:color="auto"/>
            </w:tcBorders>
            <w:vAlign w:val="center"/>
          </w:tcPr>
          <w:p w14:paraId="56854A9B">
            <w:pPr>
              <w:pStyle w:val="style0"/>
              <w:snapToGrid w:val="false"/>
              <w:ind w:left="0" w:leftChars="0" w:right="0" w:rightChars="0" w:firstLine="0" w:firstLineChars="0"/>
              <w:jc w:val="left"/>
              <w:rPr>
                <w:rFonts w:eastAsia="宋体"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失联时A板修改D2开/关状态，</w:t>
            </w:r>
            <w:r>
              <w:t>通信</w:t>
            </w:r>
            <w:r>
              <w:rPr>
                <w:rFonts w:hint="eastAsia"/>
                <w:lang w:val="en-US" w:eastAsia="zh-CN"/>
              </w:rPr>
              <w:t>恢复后</w:t>
            </w:r>
            <w:r>
              <w:t>，</w:t>
            </w:r>
            <w:r>
              <w:rPr>
                <w:rFonts w:hint="eastAsia"/>
                <w:lang w:val="en-US" w:eastAsia="zh-CN"/>
              </w:rPr>
              <w:t>D2新状态1秒内自动生效</w:t>
            </w:r>
          </w:p>
        </w:tc>
        <w:tc>
          <w:tcPr>
            <w:tcW w:w="733" w:type="dxa"/>
            <w:tcBorders>
              <w:bottom w:val="double" w:sz="4" w:space="0" w:color="auto"/>
            </w:tcBorders>
            <w:vAlign w:val="center"/>
          </w:tcPr>
          <w:p w14:paraId="50A83563">
            <w:pPr>
              <w:pStyle w:val="style0"/>
              <w:snapToGrid w:val="false"/>
              <w:ind w:left="0" w:leftChars="0" w:right="0" w:rightChars="0" w:firstLine="0" w:firstLineChars="0"/>
              <w:jc w:val="center"/>
              <w:rPr/>
            </w:pPr>
          </w:p>
        </w:tc>
      </w:tr>
    </w:tbl>
    <w:p w14:paraId="2B5A17B5">
      <w:pPr>
        <w:pStyle w:val="style4116"/>
        <w:rPr>
          <w:rFonts w:eastAsia="宋体" w:hint="default"/>
          <w:lang w:val="en-US" w:eastAsia="zh-CN"/>
        </w:rPr>
      </w:pPr>
      <w:r>
        <w:rPr>
          <w:rFonts w:hint="eastAsia"/>
          <w:lang w:val="en-US" w:eastAsia="zh-CN"/>
        </w:rPr>
        <w:t>说明：每项5分，共计150分</w:t>
      </w:r>
    </w:p>
    <w:p w14:paraId="162546BA">
      <w:pPr>
        <w:pStyle w:val="style4116"/>
        <w:rPr/>
      </w:pPr>
    </w:p>
    <w:p w14:paraId="718767E1">
      <w:pPr>
        <w:pStyle w:val="style4116"/>
        <w:rPr/>
      </w:pPr>
    </w:p>
    <w:p w14:paraId="0450DD37">
      <w:pPr>
        <w:pStyle w:val="style4116"/>
        <w:rPr/>
      </w:pPr>
    </w:p>
    <w:p w14:paraId="1BF8DE0E">
      <w:pPr>
        <w:pStyle w:val="style4116"/>
        <w:rPr>
          <w:sz w:val="30"/>
          <w:szCs w:val="30"/>
        </w:rPr>
      </w:pPr>
      <w:r>
        <w:rPr>
          <w:sz w:val="30"/>
          <w:szCs w:val="30"/>
        </w:rPr>
        <w:t>小组成员签字：______________ 、______________ 、______________</w:t>
      </w:r>
    </w:p>
    <w:p w14:paraId="0B573F24">
      <w:pPr>
        <w:pStyle w:val="style0"/>
        <w:rPr>
          <w:rFonts w:hint="eastAsia"/>
        </w:rPr>
      </w:pPr>
    </w:p>
    <w:p w14:paraId="48958EC4">
      <w:pPr>
        <w:pStyle w:val="style4116"/>
        <w:rPr/>
      </w:pPr>
      <w:r>
        <w:rPr>
          <w:b/>
          <w:bCs/>
          <w:sz w:val="28"/>
          <w:szCs w:val="28"/>
        </w:rPr>
        <w:t>注：签字即代表对作品测试记录无异议</w:t>
      </w:r>
      <w:r>
        <w:t>。</w:t>
      </w:r>
    </w:p>
    <w:p w14:paraId="39CDFE6B">
      <w:pPr>
        <w:pStyle w:val="style0"/>
        <w:rPr>
          <w:rFonts w:hint="eastAsia"/>
        </w:rPr>
      </w:pPr>
      <w:r>
        <w:rPr>
          <w:rFonts w:hint="eastAsia"/>
          <w:b/>
          <w:bCs/>
          <w:u w:val="single"/>
          <w:lang w:val="en-US" w:eastAsia="zh-CN"/>
        </w:rPr>
        <w:t>PS:请填写</w:t>
      </w:r>
      <w:r>
        <w:rPr>
          <w:rFonts w:hint="default"/>
          <w:b/>
          <w:bCs/>
          <w:u w:val="single"/>
          <w:lang w:val="en-US" w:eastAsia="zh-CN"/>
        </w:rPr>
        <w:t>表头</w:t>
      </w:r>
      <w:r>
        <w:rPr>
          <w:rFonts w:hint="eastAsia"/>
          <w:b/>
          <w:bCs/>
          <w:u w:val="single"/>
          <w:lang w:val="en-US" w:eastAsia="zh-CN"/>
        </w:rPr>
        <w:t>本组信息，自行打印此</w:t>
      </w:r>
      <w:r>
        <w:rPr>
          <w:rFonts w:hint="default"/>
          <w:b/>
          <w:bCs/>
          <w:u w:val="single"/>
          <w:lang w:val="en-US" w:eastAsia="zh-CN"/>
        </w:rPr>
        <w:t>页</w:t>
      </w:r>
      <w:r>
        <w:rPr>
          <w:rFonts w:hint="eastAsia"/>
          <w:b/>
          <w:bCs/>
          <w:u w:val="single"/>
          <w:lang w:val="en-US" w:eastAsia="zh-CN"/>
        </w:rPr>
        <w:t>评分表，作品评测时交给测评老师</w:t>
      </w:r>
      <w:r>
        <w:rPr>
          <w:rFonts w:hint="default"/>
          <w:b/>
          <w:bCs/>
          <w:u w:val="single"/>
          <w:lang w:val="en-US" w:eastAsia="zh-CN"/>
        </w:rPr>
        <w:t>，测评完毕签字确认</w:t>
      </w:r>
    </w:p>
    <w:p w14:paraId="6DFB7909">
      <w:pPr>
        <w:pStyle w:val="style0"/>
        <w:rPr/>
      </w:pPr>
    </w:p>
    <w:sectPr>
      <w:headerReference w:type="even" r:id="rId3"/>
      <w:headerReference w:type="default" r:id="rId4"/>
      <w:footerReference w:type="even" r:id="rId5"/>
      <w:footerReference w:type="default" r:id="rId6"/>
      <w:headerReference w:type="first" r:id="rId7"/>
      <w:pgSz w:w="11906" w:h="16838" w:orient="portrait"/>
      <w:pgMar w:top="720" w:right="720" w:bottom="720" w:left="720" w:header="851" w:footer="992" w:gutter="0"/>
      <w:pgBorders w:zOrder="front" w:display="allPages" w:offsetFrom="text"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gBorders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altName w:val="Times New Roman"/>
    <w:panose1 w:val="02020603050000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宋体"/>
    <w:panose1 w:val="02010600030000010101"/>
    <w:charset w:val="86"/>
    <w:family w:val="auto"/>
    <w:pitch w:val="default"/>
    <w:sig w:usb0="00000203" w:usb1="288F0000" w:usb2="00000006" w:usb3="00000000" w:csb0="00040001" w:csb1="00000000"/>
  </w:font>
  <w:font w:name="Wingdings">
    <w:altName w:val="Wingdings"/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altName w:val="Arial"/>
    <w:panose1 w:val="020b0604020000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黑体"/>
    <w:panose1 w:val="02010609060000010101"/>
    <w:charset w:val="86"/>
    <w:family w:val="auto"/>
    <w:pitch w:val="default"/>
    <w:sig w:usb0="800002BF" w:usb1="38CF7CFA" w:usb2="00000016" w:usb3="00000000" w:csb0="00040001" w:csb1="00000000"/>
  </w:font>
  <w:font w:name="Courier New">
    <w:altName w:val="Courier New"/>
    <w:panose1 w:val="02070309020000020404"/>
    <w:charset w:val="01"/>
    <w:family w:val="modern"/>
    <w:pitch w:val="default"/>
    <w:sig w:usb0="E0002EFF" w:usb1="C0007843" w:usb2="00000009" w:usb3="00000000" w:csb0="400001FF" w:csb1="FFFF0000"/>
  </w:font>
  <w:font w:name="Symbol">
    <w:altName w:val="Symbol"/>
    <w:panose1 w:val="05050102010000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Calibri"/>
    <w:panose1 w:val="020f0502020000030204"/>
    <w:charset w:val="00"/>
    <w:family w:val="swiss"/>
    <w:pitch w:val="default"/>
    <w:sig w:usb0="E4002EFF" w:usb1="C000247B" w:usb2="00000009" w:usb3="00000000" w:csb0="200001FF" w:csb1="00000000"/>
  </w:font>
  <w:font w:name="方正小标宋简体">
    <w:altName w:val="方正舒体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方正舒体">
    <w:altName w:val="方正舒体"/>
    <w:panose1 w:val="02010601030000010101"/>
    <w:charset w:val="86"/>
    <w:family w:val="auto"/>
    <w:pitch w:val="default"/>
    <w:sig w:usb0="00000003" w:usb1="080E0000" w:usb2="00000000" w:usb3="00000000" w:csb0="00040000" w:csb1="00000000"/>
  </w:font>
  <w:font w:name="仿宋_GB2312">
    <w:altName w:val="仿宋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仿宋">
    <w:altName w:val="仿宋"/>
    <w:panose1 w:val="02010609060000010101"/>
    <w:charset w:val="86"/>
    <w:family w:val="auto"/>
    <w:pitch w:val="default"/>
    <w:sig w:usb0="800002BF" w:usb1="38CF7CFA" w:usb2="00000016" w:usb3="00000000" w:csb0="00040001" w:csb1="00000000"/>
  </w:font>
  <w:font w:name="楷体_GB2312">
    <w:altName w:val="楷体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楷体">
    <w:altName w:val="楷体"/>
    <w:panose1 w:val="02010609060000010101"/>
    <w:charset w:val="86"/>
    <w:family w:val="auto"/>
    <w:pitch w:val="default"/>
    <w:sig w:usb0="800002BF" w:usb1="38CF7CFA" w:usb2="00000016" w:usb3="00000000" w:csb0="00040001" w:csb1="00000000"/>
  </w:font>
</w:fonts>
</file>

<file path=word/footer3.xml><?xml version="1.0" encoding="utf-8"?>
<w:ftr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p w14:paraId="7EC8CAFD">
    <w:pPr>
      <w:pStyle w:val="style32"/>
      <w:rPr/>
    </w:pPr>
  </w:p>
</w:ftr>
</file>

<file path=word/footer4.xml><?xml version="1.0" encoding="utf-8"?>
<w:ftr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p w14:paraId="0DFD339E">
    <w:pPr>
      <w:pStyle w:val="style32"/>
      <w:jc w:val="right"/>
      <w:rPr>
        <w:rFonts w:ascii="宋体" w:cs="宋体" w:eastAsia="宋体" w:hAnsi="宋体" w:hint="eastAsia"/>
        <w:sz w:val="28"/>
      </w:rPr>
    </w:pPr>
    <w:r>
      <w:rPr>
        <w:rFonts w:ascii="宋体" w:cs="宋体" w:eastAsia="宋体" w:hAnsi="宋体" w:hint="eastAsia"/>
        <w:sz w:val="28"/>
      </w:rPr>
      <w:fldChar w:fldCharType="begin"/>
    </w:r>
    <w:r>
      <w:rPr>
        <w:rFonts w:ascii="宋体" w:cs="宋体" w:eastAsia="宋体" w:hAnsi="宋体" w:hint="eastAsia"/>
        <w:sz w:val="28"/>
      </w:rPr>
      <w:instrText xml:space="preserve"> PAGE PAGE \* ArabicDash \* MERGEFORMAT </w:instrText>
    </w:r>
    <w:r>
      <w:rPr>
        <w:rFonts w:ascii="宋体" w:cs="宋体" w:eastAsia="宋体" w:hAnsi="宋体" w:hint="eastAsia"/>
        <w:sz w:val="28"/>
      </w:rPr>
      <w:fldChar w:fldCharType="separate"/>
    </w:r>
    <w:r>
      <w:rPr>
        <w:rFonts w:ascii="宋体" w:cs="宋体" w:eastAsia="宋体" w:hAnsi="宋体" w:hint="eastAsia"/>
        <w:sz w:val="28"/>
      </w:rPr>
      <w:t>- 1 -</w:t>
    </w:r>
    <w:r>
      <w:rPr>
        <w:rFonts w:ascii="宋体" w:cs="宋体" w:eastAsia="宋体" w:hAnsi="宋体" w:hint="eastAsia"/>
        <w:sz w:val="28"/>
      </w:rPr>
      <w:fldChar w:fldCharType="end"/>
    </w:r>
  </w:p>
</w:ftr>
</file>

<file path=word/header1.xml><?xml version="1.0" encoding="utf-8"?>
<w:hdr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p w14:paraId="1759D769">
    <w:pPr>
      <w:pStyle w:val="style31"/>
      <w:rPr/>
    </w:pPr>
  </w:p>
</w:hdr>
</file>

<file path=word/header2.xml><?xml version="1.0" encoding="utf-8"?>
<w:hdr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p w14:paraId="081C1A96">
    <w:pPr>
      <w:pStyle w:val="style31"/>
      <w:pBdr>
        <w:bottom w:val="none" w:sz="0" w:space="1" w:color="auto"/>
      </w:pBdr>
      <w:rPr/>
    </w:pPr>
  </w:p>
</w:hdr>
</file>

<file path=word/header5.xml><?xml version="1.0" encoding="utf-8"?>
<w:hdr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p w14:paraId="383E5C74">
    <w:pPr>
      <w:pStyle w:val="style31"/>
      <w:rPr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96"/>
  <w:embedSystemFonts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420"/>
  <w:drawingGridVerticalSpacing w:val="156"/>
  <w:displayHorizontalDrawingGridEvery w:val="1"/>
  <w:displayVerticalDrawingGridEvery w:val="1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Times New Roman" w:cs="Times New Roman" w:eastAsia="宋体" w:hAnsi="Times New Roman"/>
      </w:rPr>
    </w:rPrDefault>
    <w:pPrDefault>
      <w:pPr/>
    </w:pPrDefault>
  </w:docDefaults>
  <w:style w:type="paragraph" w:default="1" w:styleId="style0">
    <w:name w:val="Normal"/>
    <w:next w:val="style0"/>
    <w:qFormat/>
    <w:uiPriority w:val="0"/>
    <w:pPr>
      <w:widowControl w:val="false"/>
      <w:jc w:val="both"/>
    </w:pPr>
    <w:rPr>
      <w:rFonts w:ascii="Calibri" w:cs="宋体" w:eastAsia="宋体" w:hAnsi="Calibri"/>
      <w:kern w:val="2"/>
      <w:sz w:val="21"/>
      <w:szCs w:val="24"/>
      <w:lang w:val="en-US" w:bidi="ar-SA" w:eastAsia="zh-CN"/>
    </w:rPr>
  </w:style>
  <w:style w:type="paragraph" w:styleId="style1">
    <w:name w:val="heading 1"/>
    <w:basedOn w:val="style0"/>
    <w:next w:val="style0"/>
    <w:qFormat/>
    <w:uiPriority w:val="0"/>
    <w:pPr>
      <w:keepNext/>
      <w:keepLines/>
      <w:spacing w:before="340" w:beforeAutospacing="false" w:after="330" w:afterAutospacing="false" w:lineRule="auto" w:line="576"/>
      <w:outlineLvl w:val="0"/>
    </w:pPr>
    <w:rPr>
      <w:b/>
      <w:kern w:val="44"/>
      <w:sz w:val="44"/>
    </w:rPr>
  </w:style>
  <w:style w:type="paragraph" w:styleId="style4">
    <w:name w:val="heading 4"/>
    <w:basedOn w:val="style0"/>
    <w:next w:val="style0"/>
    <w:qFormat/>
    <w:uiPriority w:val="0"/>
    <w:pPr>
      <w:keepNext/>
      <w:keepLines/>
      <w:spacing w:before="280" w:beforeAutospacing="false" w:after="290" w:afterAutospacing="false" w:lineRule="auto" w:line="372"/>
      <w:outlineLvl w:val="3"/>
    </w:pPr>
    <w:rPr>
      <w:rFonts w:ascii="Arial" w:eastAsia="黑体" w:hAnsi="Arial"/>
      <w:b/>
      <w:sz w:val="28"/>
    </w:rPr>
  </w:style>
  <w:style w:type="paragraph" w:styleId="style5">
    <w:name w:val="heading 5"/>
    <w:basedOn w:val="style0"/>
    <w:next w:val="style0"/>
    <w:qFormat/>
    <w:uiPriority w:val="0"/>
    <w:pPr>
      <w:keepNext/>
      <w:keepLines/>
      <w:spacing w:before="280" w:beforeAutospacing="false" w:after="290" w:afterAutospacing="false" w:lineRule="auto" w:line="372"/>
      <w:outlineLvl w:val="4"/>
    </w:pPr>
    <w:rPr>
      <w:b/>
      <w:sz w:val="28"/>
    </w:rPr>
  </w:style>
  <w:style w:type="character" w:default="1" w:styleId="style65">
    <w:name w:val="Default Paragraph Font"/>
    <w:next w:val="style65"/>
    <w:qFormat/>
    <w:uiPriority w:val="0"/>
  </w:style>
  <w:style w:type="table" w:default="1" w:styleId="style105">
    <w:name w:val="Normal Table"/>
    <w:next w:val="style105"/>
    <w:qFormat/>
    <w:uiPriority w:val="0"/>
    <w:pPr/>
    <w:rPr/>
    <w:tblPr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paragraph" w:styleId="style34">
    <w:name w:val="caption"/>
    <w:basedOn w:val="style0"/>
    <w:next w:val="style0"/>
    <w:qFormat/>
    <w:uiPriority w:val="0"/>
    <w:pPr/>
    <w:rPr>
      <w:rFonts w:ascii="Arial" w:eastAsia="黑体" w:hAnsi="Arial"/>
      <w:sz w:val="20"/>
    </w:rPr>
  </w:style>
  <w:style w:type="paragraph" w:styleId="style32">
    <w:name w:val="footer"/>
    <w:basedOn w:val="style0"/>
    <w:next w:val="style32"/>
    <w:qFormat/>
    <w:uiPriority w:val="0"/>
    <w:pPr>
      <w:tabs>
        <w:tab w:val="center" w:leader="none" w:pos="4153"/>
        <w:tab w:val="right" w:leader="none" w:pos="8306"/>
      </w:tabs>
      <w:snapToGrid w:val="false"/>
      <w:jc w:val="left"/>
    </w:pPr>
    <w:rPr>
      <w:sz w:val="18"/>
    </w:rPr>
  </w:style>
  <w:style w:type="paragraph" w:styleId="style31">
    <w:name w:val="header"/>
    <w:basedOn w:val="style0"/>
    <w:next w:val="style31"/>
    <w:qFormat/>
    <w:uiPriority w:val="0"/>
    <w:pPr>
      <w:pBdr>
        <w:left w:val="none" w:sz="0" w:space="4" w:color="auto"/>
        <w:right w:val="none" w:sz="0" w:space="4" w:color="auto"/>
        <w:top w:val="none" w:sz="0" w:space="1" w:color="auto"/>
        <w:bottom w:val="none" w:sz="0" w:space="1" w:color="auto"/>
      </w:pBdr>
      <w:tabs>
        <w:tab w:val="center" w:leader="none" w:pos="4153"/>
        <w:tab w:val="right" w:leader="none" w:pos="8306"/>
      </w:tabs>
      <w:snapToGrid w:val="false"/>
      <w:spacing w:lineRule="auto" w:line="240"/>
      <w:jc w:val="both"/>
      <w:outlineLvl w:val="9"/>
    </w:pPr>
    <w:rPr>
      <w:sz w:val="18"/>
    </w:rPr>
  </w:style>
  <w:style w:type="paragraph" w:customStyle="1" w:styleId="style4097">
    <w:name w:val="OfficeAI-版头-份号"/>
    <w:basedOn w:val="style0"/>
    <w:next w:val="style4097"/>
    <w:qFormat/>
    <w:uiPriority w:val="0"/>
    <w:pPr>
      <w:jc w:val="left"/>
    </w:pPr>
    <w:rPr>
      <w:rFonts w:ascii="Times New Roman" w:cs="Times New Roman" w:eastAsia="黑体" w:hAnsi="黑体" w:hint="eastAsia"/>
      <w:color w:val="000000"/>
      <w:sz w:val="32"/>
    </w:rPr>
  </w:style>
  <w:style w:type="paragraph" w:customStyle="1" w:styleId="style4098">
    <w:name w:val="OfficeAI-版头-紧急程度"/>
    <w:basedOn w:val="style0"/>
    <w:next w:val="style4098"/>
    <w:qFormat/>
    <w:uiPriority w:val="0"/>
    <w:pPr>
      <w:jc w:val="left"/>
    </w:pPr>
    <w:rPr>
      <w:rFonts w:ascii="Times New Roman" w:cs="Times New Roman" w:eastAsia="黑体" w:hAnsi="黑体" w:hint="eastAsia"/>
      <w:color w:val="000000"/>
      <w:sz w:val="32"/>
    </w:rPr>
  </w:style>
  <w:style w:type="paragraph" w:customStyle="1" w:styleId="style4099">
    <w:name w:val="OfficeAI-版头-密级和保密期限"/>
    <w:basedOn w:val="style0"/>
    <w:next w:val="style4099"/>
    <w:uiPriority w:val="0"/>
    <w:pPr>
      <w:jc w:val="left"/>
    </w:pPr>
    <w:rPr>
      <w:rFonts w:ascii="Times New Roman" w:cs="Times New Roman" w:eastAsia="黑体" w:hAnsi="黑体" w:hint="eastAsia"/>
      <w:color w:val="000000"/>
      <w:sz w:val="32"/>
    </w:rPr>
  </w:style>
  <w:style w:type="paragraph" w:customStyle="1" w:styleId="style4100">
    <w:name w:val="OfficeAI-版头-发文机关标志"/>
    <w:basedOn w:val="style0"/>
    <w:next w:val="style4100"/>
    <w:qFormat/>
    <w:uiPriority w:val="0"/>
    <w:pPr>
      <w:jc w:val="center"/>
    </w:pPr>
    <w:rPr>
      <w:rFonts w:ascii="Times New Roman" w:cs="Times New Roman" w:eastAsia="方正小标宋简体" w:hAnsi="方正小标宋简体" w:hint="eastAsia"/>
      <w:color w:val="ff0000"/>
      <w:sz w:val="84"/>
    </w:rPr>
  </w:style>
  <w:style w:type="paragraph" w:customStyle="1" w:styleId="style4101">
    <w:name w:val="OfficeAI-版头-发文字号"/>
    <w:basedOn w:val="style0"/>
    <w:next w:val="style4101"/>
    <w:qFormat/>
    <w:uiPriority w:val="0"/>
    <w:pPr>
      <w:jc w:val="center"/>
    </w:pPr>
    <w:rPr>
      <w:rFonts w:ascii="Times New Roman" w:cs="Times New Roman" w:eastAsia="仿宋_GB2312" w:hAnsi="仿宋_GB2312" w:hint="eastAsia"/>
      <w:color w:val="000000"/>
      <w:sz w:val="32"/>
    </w:rPr>
  </w:style>
  <w:style w:type="paragraph" w:customStyle="1" w:styleId="style4102">
    <w:name w:val="OfficeAI-版头-签发人"/>
    <w:basedOn w:val="style0"/>
    <w:next w:val="style4102"/>
    <w:qFormat/>
    <w:uiPriority w:val="0"/>
    <w:pPr>
      <w:ind w:right="210" w:rightChars="100"/>
      <w:jc w:val="right"/>
    </w:pPr>
    <w:rPr>
      <w:rFonts w:ascii="Times New Roman" w:cs="Times New Roman" w:eastAsia="楷体_GB2312" w:hAnsi="楷体_GB2312" w:hint="eastAsia"/>
      <w:color w:val="000000"/>
      <w:sz w:val="32"/>
    </w:rPr>
  </w:style>
  <w:style w:type="paragraph" w:customStyle="1" w:styleId="style4103">
    <w:name w:val="OfficeAI-公文主体-标题"/>
    <w:basedOn w:val="style0"/>
    <w:next w:val="style4103"/>
    <w:qFormat/>
    <w:uiPriority w:val="0"/>
    <w:pPr>
      <w:jc w:val="center"/>
    </w:pPr>
    <w:rPr>
      <w:rFonts w:ascii="Times New Roman" w:cs="Times New Roman" w:eastAsia="方正小标宋简体" w:hAnsi="方正小标宋简体" w:hint="eastAsia"/>
      <w:color w:val="000000"/>
      <w:sz w:val="44"/>
    </w:rPr>
  </w:style>
  <w:style w:type="paragraph" w:customStyle="1" w:styleId="style4104">
    <w:name w:val="OfficeAI-公文主体-主送机关"/>
    <w:basedOn w:val="style0"/>
    <w:next w:val="style4104"/>
    <w:qFormat/>
    <w:uiPriority w:val="0"/>
    <w:pPr>
      <w:jc w:val="left"/>
    </w:pPr>
    <w:rPr>
      <w:rFonts w:ascii="Times New Roman" w:cs="Times New Roman" w:eastAsia="仿宋_GB2312" w:hAnsi="仿宋_GB2312" w:hint="eastAsia"/>
      <w:color w:val="000000"/>
      <w:sz w:val="32"/>
    </w:rPr>
  </w:style>
  <w:style w:type="paragraph" w:customStyle="1" w:styleId="style4105">
    <w:name w:val="OfficeAI-一级标题"/>
    <w:basedOn w:val="style0"/>
    <w:next w:val="style4105"/>
    <w:uiPriority w:val="0"/>
    <w:pPr>
      <w:ind w:firstLine="420" w:firstLineChars="200"/>
      <w:jc w:val="left"/>
      <w:outlineLvl w:val="0"/>
    </w:pPr>
    <w:rPr>
      <w:rFonts w:ascii="Times New Roman" w:cs="Times New Roman" w:eastAsia="黑体" w:hAnsi="黑体" w:hint="eastAsia"/>
      <w:color w:val="000000"/>
      <w:sz w:val="32"/>
    </w:rPr>
  </w:style>
  <w:style w:type="paragraph" w:customStyle="1" w:styleId="style4106">
    <w:name w:val="OfficeAI-二级标题"/>
    <w:basedOn w:val="style0"/>
    <w:next w:val="style4106"/>
    <w:qFormat/>
    <w:uiPriority w:val="0"/>
    <w:pPr>
      <w:ind w:firstLine="420" w:firstLineChars="200"/>
      <w:jc w:val="left"/>
      <w:outlineLvl w:val="1"/>
    </w:pPr>
    <w:rPr>
      <w:rFonts w:ascii="Times New Roman" w:cs="Times New Roman" w:eastAsia="楷体_GB2312" w:hAnsi="楷体_GB2312" w:hint="eastAsia"/>
      <w:color w:val="000000"/>
      <w:sz w:val="32"/>
    </w:rPr>
  </w:style>
  <w:style w:type="paragraph" w:customStyle="1" w:styleId="style4107">
    <w:name w:val="OfficeAI-三级标题"/>
    <w:basedOn w:val="style0"/>
    <w:next w:val="style4107"/>
    <w:qFormat/>
    <w:uiPriority w:val="0"/>
    <w:pPr>
      <w:ind w:firstLine="420" w:firstLineChars="200"/>
      <w:jc w:val="left"/>
      <w:outlineLvl w:val="2"/>
    </w:pPr>
    <w:rPr>
      <w:rFonts w:ascii="Times New Roman" w:cs="Times New Roman" w:eastAsia="仿宋_GB2312" w:hAnsi="仿宋_GB2312" w:hint="eastAsia"/>
      <w:color w:val="000000"/>
      <w:sz w:val="32"/>
    </w:rPr>
  </w:style>
  <w:style w:type="paragraph" w:customStyle="1" w:styleId="style4108">
    <w:name w:val="OfficeAI-四级标题"/>
    <w:basedOn w:val="style0"/>
    <w:next w:val="style4108"/>
    <w:qFormat/>
    <w:uiPriority w:val="0"/>
    <w:pPr>
      <w:ind w:firstLine="420" w:firstLineChars="200"/>
      <w:jc w:val="left"/>
    </w:pPr>
    <w:rPr>
      <w:rFonts w:ascii="Times New Roman" w:cs="Times New Roman" w:eastAsia="仿宋_GB2312" w:hAnsi="仿宋_GB2312" w:hint="eastAsia"/>
      <w:color w:val="000000"/>
      <w:sz w:val="32"/>
    </w:rPr>
  </w:style>
  <w:style w:type="paragraph" w:customStyle="1" w:styleId="style4109">
    <w:name w:val="OfficeAI-公文主体-发文机关署名"/>
    <w:basedOn w:val="style0"/>
    <w:next w:val="style4109"/>
    <w:qFormat/>
    <w:uiPriority w:val="0"/>
    <w:pPr>
      <w:spacing w:before="520" w:lineRule="exact" w:line="540"/>
      <w:ind w:left="3360" w:leftChars="1600"/>
      <w:jc w:val="center"/>
    </w:pPr>
    <w:rPr>
      <w:rFonts w:ascii="Times New Roman" w:cs="Times New Roman" w:eastAsia="仿宋_GB2312" w:hAnsi="仿宋_GB2312" w:hint="eastAsia"/>
      <w:color w:val="000000"/>
      <w:sz w:val="32"/>
    </w:rPr>
  </w:style>
  <w:style w:type="paragraph" w:customStyle="1" w:styleId="style4110">
    <w:name w:val="OfficeAI-公文主体-附注"/>
    <w:basedOn w:val="style0"/>
    <w:next w:val="style4110"/>
    <w:qFormat/>
    <w:uiPriority w:val="0"/>
    <w:pPr>
      <w:spacing w:lineRule="exact" w:line="560"/>
      <w:ind w:left="420" w:leftChars="200"/>
      <w:jc w:val="left"/>
    </w:pPr>
    <w:rPr>
      <w:rFonts w:ascii="Times New Roman" w:cs="Times New Roman" w:eastAsia="仿宋_GB2312" w:hAnsi="仿宋_GB2312" w:hint="eastAsia"/>
      <w:color w:val="000000"/>
      <w:sz w:val="32"/>
    </w:rPr>
  </w:style>
  <w:style w:type="paragraph" w:customStyle="1" w:styleId="style4111">
    <w:name w:val="OfficeAI-公文主体-成文日期"/>
    <w:basedOn w:val="style0"/>
    <w:next w:val="style4111"/>
    <w:qFormat/>
    <w:uiPriority w:val="0"/>
    <w:pPr>
      <w:spacing w:lineRule="exact" w:line="540"/>
      <w:ind w:left="3360" w:leftChars="1600"/>
      <w:jc w:val="center"/>
    </w:pPr>
    <w:rPr>
      <w:rFonts w:ascii="Times New Roman" w:cs="Times New Roman" w:eastAsia="仿宋_GB2312" w:hAnsi="仿宋_GB2312" w:hint="eastAsia"/>
      <w:color w:val="000000"/>
      <w:sz w:val="32"/>
    </w:rPr>
  </w:style>
  <w:style w:type="paragraph" w:customStyle="1" w:styleId="style4112">
    <w:name w:val="OfficeAI-版记-主送机关"/>
    <w:basedOn w:val="style0"/>
    <w:next w:val="style4112"/>
    <w:qFormat/>
    <w:uiPriority w:val="0"/>
    <w:pPr>
      <w:ind w:left="210" w:leftChars="100" w:right="210" w:rightChars="100"/>
    </w:pPr>
    <w:rPr>
      <w:rFonts w:ascii="Times New Roman" w:cs="Times New Roman" w:eastAsia="仿宋_GB2312" w:hAnsi="仿宋_GB2312" w:hint="eastAsia"/>
      <w:color w:val="000000"/>
      <w:sz w:val="28"/>
    </w:rPr>
  </w:style>
  <w:style w:type="paragraph" w:customStyle="1" w:styleId="style4113">
    <w:name w:val="OfficeAI-版记-抄送机关"/>
    <w:basedOn w:val="style0"/>
    <w:next w:val="style4113"/>
    <w:qFormat/>
    <w:uiPriority w:val="0"/>
    <w:pPr>
      <w:ind w:left="210" w:leftChars="100" w:right="210" w:rightChars="100"/>
    </w:pPr>
    <w:rPr>
      <w:rFonts w:ascii="Times New Roman" w:cs="Times New Roman" w:eastAsia="仿宋_GB2312" w:hAnsi="仿宋_GB2312" w:hint="eastAsia"/>
      <w:color w:val="000000"/>
      <w:sz w:val="28"/>
    </w:rPr>
  </w:style>
  <w:style w:type="paragraph" w:customStyle="1" w:styleId="style4114">
    <w:name w:val="OfficeAI-版记-印发机关和印发日期"/>
    <w:basedOn w:val="style0"/>
    <w:next w:val="style4114"/>
    <w:qFormat/>
    <w:uiPriority w:val="0"/>
    <w:pPr>
      <w:ind w:left="210" w:leftChars="100" w:right="210" w:rightChars="100"/>
    </w:pPr>
    <w:rPr>
      <w:rFonts w:ascii="Times New Roman" w:cs="Times New Roman" w:eastAsia="仿宋_GB2312" w:hAnsi="仿宋_GB2312" w:hint="eastAsia"/>
      <w:color w:val="000000"/>
      <w:sz w:val="28"/>
    </w:rPr>
  </w:style>
  <w:style w:type="character" w:customStyle="1" w:styleId="style4115">
    <w:name w:val="OfficeAI-重点词句-Character"/>
    <w:basedOn w:val="style65"/>
    <w:next w:val="style4115"/>
    <w:qFormat/>
    <w:uiPriority w:val="0"/>
    <w:rPr>
      <w:rFonts w:ascii="Times New Roman" w:cs="Times New Roman" w:eastAsia="楷体_GB2312" w:hAnsi="楷体_GB2312" w:hint="eastAsia"/>
      <w:b/>
      <w:color w:val="000000"/>
      <w:sz w:val="32"/>
    </w:rPr>
  </w:style>
  <w:style w:type="paragraph" w:customStyle="1" w:styleId="style4116">
    <w:name w:val="OfficeAI-正文"/>
    <w:basedOn w:val="style0"/>
    <w:next w:val="style4116"/>
    <w:uiPriority w:val="0"/>
    <w:pPr>
      <w:ind w:firstLine="420" w:firstLineChars="200"/>
    </w:pPr>
    <w:rPr>
      <w:rFonts w:ascii="Times New Roman" w:cs="Times New Roman" w:eastAsia="宋体" w:hAnsi="宋体" w:hint="eastAsia"/>
      <w:color w:val="000000"/>
    </w:rPr>
  </w:style>
  <w:style w:type="paragraph" w:customStyle="1" w:styleId="style4117">
    <w:name w:val="我的正文"/>
    <w:basedOn w:val="style0"/>
    <w:next w:val="style4117"/>
    <w:qFormat/>
    <w:uiPriority w:val="0"/>
    <w:pPr>
      <w:ind w:firstLine="420" w:firstLineChars="200"/>
    </w:pPr>
    <w:rPr>
      <w:rFonts w:ascii="宋体" w:cs="宋体" w:eastAsia="宋体" w:hAnsi="宋体" w:hint="eastAsia"/>
      <w:szCs w:val="21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image" Target="media/image1.png"/><Relationship Id="rId3" Type="http://schemas.openxmlformats.org/officeDocument/2006/relationships/header" Target="header1.xml"/><Relationship Id="rId4" Type="http://schemas.openxmlformats.org/officeDocument/2006/relationships/header" Target="header2.xml"/><Relationship Id="rId11" Type="http://schemas.openxmlformats.org/officeDocument/2006/relationships/theme" Target="theme/theme1.xml"/><Relationship Id="rId10" Type="http://schemas.openxmlformats.org/officeDocument/2006/relationships/settings" Target="settings.xml"/><Relationship Id="rId9" Type="http://schemas.openxmlformats.org/officeDocument/2006/relationships/fontTable" Target="fontTable.xml"/><Relationship Id="rId5" Type="http://schemas.openxmlformats.org/officeDocument/2006/relationships/footer" Target="footer3.xml"/><Relationship Id="rId6" Type="http://schemas.openxmlformats.org/officeDocument/2006/relationships/footer" Target="footer4.xml"/><Relationship Id="rId7" Type="http://schemas.openxmlformats.org/officeDocument/2006/relationships/header" Target="header5.xml"/><Relationship Id="rId8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Words>1696</Words>
  <Pages>2</Pages>
  <Characters>2016</Characters>
  <Application>WPS Office</Application>
  <DocSecurity>0</DocSecurity>
  <Paragraphs>173</Paragraphs>
  <ScaleCrop>false</ScaleCrop>
  <LinksUpToDate>false</LinksUpToDate>
  <CharactersWithSpaces>2049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2026-06-18T14:00:00Z</dcterms:created>
  <dc:creator>dell</dc:creator>
  <lastModifiedBy>ALN-AL00</lastModifiedBy>
  <dcterms:modified xsi:type="dcterms:W3CDTF">2026-06-19T23:30:35Z</dcterms:modified>
  <revision>1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261130c1c0c64240b3b6a5b557d6b66a_23</vt:lpwstr>
  </property>
  <property fmtid="{D5CDD505-2E9C-101B-9397-08002B2CF9AE}" pid="4" name="KSOTemplateDocerSaveRecord">
    <vt:lpwstr>eyJoZGlkIjoiN2EzZWQwZTNkN2VlYjQyMDFjMTY3ODFkOTRkNTY2YTAiLCJ1c2VySWQiOiI0Mzk2MjI2NDQifQ==</vt:lpwstr>
  </property>
  <property fmtid="{D5CDD505-2E9C-101B-9397-08002B2CF9AE}" pid="5" name="OfficeAIDocId">
    <vt:lpwstr>DOC_378661cae61d48fabf748bb2f6588fce</vt:lpwstr>
  </property>
</Properties>
</file>