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Freight Rate Prediction: Approach, Validation and Results</w:t>
      </w:r>
    </w:p>
    <w:p>
      <w:r>
        <w:t>Model: Spline GAM (ColumnTransformer: impute, scale, B-splines -&gt; Ridge), feature set 'no_quote', trained on 47,323 loads (2025-01-01 to 2025-10-31). Selected from 97 MLflow-tracked runs.</w:t>
      </w:r>
    </w:p>
    <w:p>
      <w:pPr>
        <w:pStyle w:val="Heading1"/>
      </w:pPr>
      <w:r>
        <w:t>1. Summary</w:t>
      </w:r>
    </w:p>
    <w:p>
      <w:pPr>
        <w:pStyle w:val="ListBullet"/>
      </w:pPr>
      <w:r>
        <w:t>Out-of-time accuracy (mean of 3 folds, each predicting the next two months): MAPE 1.86%, MAE $44 on correctly labelled loads; 96.3% of loads priced within ±5%.</w:t>
      </w:r>
    </w:p>
    <w:p>
      <w:pPr>
        <w:pStyle w:val="ListBullet"/>
      </w:pPr>
      <w:r>
        <w:t>Latest fold (train Jan-Aug, predict Sep-Oct, the closest rehearsal of the real task): MAPE 1.77%, R² 0.9980.</w:t>
      </w:r>
    </w:p>
    <w:p>
      <w:pPr>
        <w:pStyle w:val="ListBullet"/>
      </w:pPr>
      <w:r>
        <w:t>The $/mile rule of thumb scores 3.71% on the same folds, so the model cuts its error by 50%.</w:t>
      </w:r>
    </w:p>
    <w:p>
      <w:pPr>
        <w:pStyle w:val="ListBullet"/>
      </w:pPr>
      <w:r>
        <w:t>About 677 labels (1.4%) are corrupted (2-5x off). Metrics are reported with and without them; no model can predict them.</w:t>
      </w:r>
    </w:p>
    <w:p>
      <w:pPr>
        <w:pStyle w:val="Heading1"/>
      </w:pPr>
      <w:r>
        <w:t>2. Data exploration: key findings</w:t>
      </w:r>
    </w:p>
    <w:p>
      <w:pPr>
        <w:pStyle w:val="ListBullet"/>
      </w:pPr>
      <w:r>
        <w:t>48,000 labelled loads (Jan-Oct 2025) and 12,000 loads to price (Nov-Dec 2025): the task is a two-month forecast, not interpolation.</w:t>
      </w:r>
    </w:p>
    <w:p>
      <w:pPr>
        <w:pStyle w:val="ListBullet"/>
      </w:pPr>
      <w:r>
        <w:t>Distance explains most of the rate (correlation 0.91). $/mile falls with distance and is highest for Reefer, then Flatbed, then Dry Van.</w:t>
      </w:r>
    </w:p>
    <w:p>
      <w:pPr>
        <w:pStyle w:val="ListBullet"/>
      </w:pPr>
      <w:r>
        <w:t>market_index is one value per day plus small noise (within-day std 0.025 vs 0.167 across days). It has a weekly cycle on top of a piecewise trend. Rates follow the trend loosely, but the mapping drifts: Sep-Oct rates are ~5% above Jan-Feb at the same market level.</w:t>
      </w:r>
    </w:p>
    <w:p>
      <w:pPr>
        <w:pStyle w:val="ListBullet"/>
      </w:pPr>
      <w:r>
        <w:t>quote_signal looks irrelevant by correlation (0.10) but has a V-shaped effect whose direction flips from month to month, so it is unstable as a forward-looking signal.</w:t>
      </w:r>
    </w:p>
    <w:p>
      <w:pPr>
        <w:pStyle w:val="ListBullet"/>
      </w:pPr>
      <w:r>
        <w:t>1,447 validation loads (12%) touch one of 8 cities that never appear in training (e.g. Chicago, Charlotte, Laredo).</w:t>
      </w:r>
    </w:p>
    <w:p>
      <w:r>
        <w:drawing>
          <wp:inline xmlns:a="http://schemas.openxmlformats.org/drawingml/2006/main" xmlns:pic="http://schemas.openxmlformats.org/drawingml/2006/picture">
            <wp:extent cx="6035040" cy="2450894"/>
            <wp:docPr id="1" name="Picture 1"/>
            <wp:cNvGraphicFramePr>
              <a:graphicFrameLocks noChangeAspect="1"/>
            </wp:cNvGraphicFramePr>
            <a:graphic>
              <a:graphicData uri="http://schemas.openxmlformats.org/drawingml/2006/picture">
                <pic:pic>
                  <pic:nvPicPr>
                    <pic:cNvPr id="0" name="02_distance_equipment.png"/>
                    <pic:cNvPicPr/>
                  </pic:nvPicPr>
                  <pic:blipFill>
                    <a:blip r:embed="rId9"/>
                    <a:stretch>
                      <a:fillRect/>
                    </a:stretch>
                  </pic:blipFill>
                  <pic:spPr>
                    <a:xfrm>
                      <a:off x="0" y="0"/>
                      <a:ext cx="6035040" cy="2450894"/>
                    </a:xfrm>
                    <a:prstGeom prst="rect"/>
                  </pic:spPr>
                </pic:pic>
              </a:graphicData>
            </a:graphic>
          </wp:inline>
        </w:drawing>
      </w:r>
    </w:p>
    <w:p>
      <w:r>
        <w:rPr>
          <w:color w:val="52514E"/>
          <w:sz w:val="17"/>
        </w:rPr>
        <w:t>Rate vs distance and $/mile by equipment</w:t>
      </w:r>
    </w:p>
    <w:p>
      <w:r>
        <w:drawing>
          <wp:inline xmlns:a="http://schemas.openxmlformats.org/drawingml/2006/main" xmlns:pic="http://schemas.openxmlformats.org/drawingml/2006/picture">
            <wp:extent cx="6035040" cy="3538986"/>
            <wp:docPr id="2" name="Picture 2"/>
            <wp:cNvGraphicFramePr>
              <a:graphicFrameLocks noChangeAspect="1"/>
            </wp:cNvGraphicFramePr>
            <a:graphic>
              <a:graphicData uri="http://schemas.openxmlformats.org/drawingml/2006/picture">
                <pic:pic>
                  <pic:nvPicPr>
                    <pic:cNvPr id="0" name="03_market_over_time.png"/>
                    <pic:cNvPicPr/>
                  </pic:nvPicPr>
                  <pic:blipFill>
                    <a:blip r:embed="rId10"/>
                    <a:stretch>
                      <a:fillRect/>
                    </a:stretch>
                  </pic:blipFill>
                  <pic:spPr>
                    <a:xfrm>
                      <a:off x="0" y="0"/>
                      <a:ext cx="6035040" cy="3538986"/>
                    </a:xfrm>
                    <a:prstGeom prst="rect"/>
                  </pic:spPr>
                </pic:pic>
              </a:graphicData>
            </a:graphic>
          </wp:inline>
        </w:drawing>
      </w:r>
    </w:p>
    <w:p>
      <w:r>
        <w:rPr>
          <w:color w:val="52514E"/>
          <w:sz w:val="17"/>
        </w:rPr>
        <w:t>Market index and daily $/mile over time</w:t>
      </w:r>
    </w:p>
    <w:p>
      <w:r>
        <w:drawing>
          <wp:inline xmlns:a="http://schemas.openxmlformats.org/drawingml/2006/main" xmlns:pic="http://schemas.openxmlformats.org/drawingml/2006/picture">
            <wp:extent cx="6035040" cy="2644128"/>
            <wp:docPr id="3" name="Picture 3"/>
            <wp:cNvGraphicFramePr>
              <a:graphicFrameLocks noChangeAspect="1"/>
            </wp:cNvGraphicFramePr>
            <a:graphic>
              <a:graphicData uri="http://schemas.openxmlformats.org/drawingml/2006/picture">
                <pic:pic>
                  <pic:nvPicPr>
                    <pic:cNvPr id="0" name="06_signals.png"/>
                    <pic:cNvPicPr/>
                  </pic:nvPicPr>
                  <pic:blipFill>
                    <a:blip r:embed="rId11"/>
                    <a:stretch>
                      <a:fillRect/>
                    </a:stretch>
                  </pic:blipFill>
                  <pic:spPr>
                    <a:xfrm>
                      <a:off x="0" y="0"/>
                      <a:ext cx="6035040" cy="2644128"/>
                    </a:xfrm>
                    <a:prstGeom prst="rect"/>
                  </pic:spPr>
                </pic:pic>
              </a:graphicData>
            </a:graphic>
          </wp:inline>
        </w:drawing>
      </w:r>
    </w:p>
    <w:p>
      <w:r>
        <w:rPr>
          <w:color w:val="52514E"/>
          <w:sz w:val="17"/>
        </w:rPr>
        <w:t>quote_signal effect and correlations</w:t>
      </w:r>
    </w:p>
    <w:p>
      <w:pPr>
        <w:pStyle w:val="Heading1"/>
      </w:pPr>
      <w:r>
        <w:t>3. Data-quality issues and how they were handled</w:t>
      </w:r>
    </w:p>
    <w:tbl>
      <w:tblPr>
        <w:tblStyle w:val="LightGrid-Accent1"/>
        <w:tblW w:type="auto" w:w="0"/>
        <w:jc w:val="center"/>
        <w:tblLook w:firstColumn="1" w:firstRow="1" w:lastColumn="0" w:lastRow="0" w:noHBand="0" w:noVBand="1" w:val="04A0"/>
      </w:tblPr>
      <w:tblGrid>
        <w:gridCol w:w="3312"/>
        <w:gridCol w:w="3312"/>
        <w:gridCol w:w="3312"/>
      </w:tblGrid>
      <w:tr>
        <w:tc>
          <w:tcPr>
            <w:tcW w:type="dxa" w:w="3312"/>
          </w:tcPr>
          <w:p>
            <w:r>
              <w:rPr>
                <w:b/>
                <w:sz w:val="18"/>
              </w:rPr>
              <w:t>Issue</w:t>
            </w:r>
          </w:p>
        </w:tc>
        <w:tc>
          <w:tcPr>
            <w:tcW w:type="dxa" w:w="3312"/>
          </w:tcPr>
          <w:p>
            <w:r>
              <w:rPr>
                <w:b/>
                <w:sz w:val="18"/>
              </w:rPr>
              <w:t>Rows</w:t>
            </w:r>
          </w:p>
        </w:tc>
        <w:tc>
          <w:tcPr>
            <w:tcW w:type="dxa" w:w="3312"/>
          </w:tcPr>
          <w:p>
            <w:r>
              <w:rPr>
                <w:b/>
                <w:sz w:val="18"/>
              </w:rPr>
              <w:t>Treatment</w:t>
            </w:r>
          </w:p>
        </w:tc>
      </w:tr>
      <w:tr>
        <w:tc>
          <w:tcPr>
            <w:tcW w:type="dxa" w:w="3312"/>
          </w:tcPr>
          <w:p>
            <w:r>
              <w:rPr>
                <w:sz w:val="18"/>
              </w:rPr>
              <w:t>Corrupted posted rates</w:t>
            </w:r>
          </w:p>
        </w:tc>
        <w:tc>
          <w:tcPr>
            <w:tcW w:type="dxa" w:w="3312"/>
          </w:tcPr>
          <w:p>
            <w:r>
              <w:rPr>
                <w:sz w:val="18"/>
              </w:rPr>
              <w:t>~677 rows (1.4%)</w:t>
            </w:r>
          </w:p>
        </w:tc>
        <w:tc>
          <w:tcPr>
            <w:tcW w:type="dxa" w:w="3312"/>
          </w:tcPr>
          <w:p>
            <w:r>
              <w:rPr>
                <w:sz w:val="18"/>
              </w:rPr>
              <w:t>Flagged out-of-fold (label vs. prediction from a model that never saw the row, &gt;1.6x off); dropped from training, excluded from 'clean' metrics.</w:t>
            </w:r>
          </w:p>
        </w:tc>
      </w:tr>
      <w:tr>
        <w:tc>
          <w:tcPr>
            <w:tcW w:type="dxa" w:w="3312"/>
          </w:tcPr>
          <w:p>
            <w:r>
              <w:rPr>
                <w:sz w:val="18"/>
              </w:rPr>
              <w:t>Negative weight</w:t>
            </w:r>
          </w:p>
        </w:tc>
        <w:tc>
          <w:tcPr>
            <w:tcW w:type="dxa" w:w="3312"/>
          </w:tcPr>
          <w:p>
            <w:r>
              <w:rPr>
                <w:sz w:val="18"/>
              </w:rPr>
              <w:t>292</w:t>
            </w:r>
          </w:p>
        </w:tc>
        <w:tc>
          <w:tcPr>
            <w:tcW w:type="dxa" w:w="3312"/>
          </w:tcPr>
          <w:p>
            <w:r>
              <w:rPr>
                <w:sz w:val="18"/>
              </w:rPr>
              <w:t>Sign error (same distribution as positives): abs().</w:t>
            </w:r>
          </w:p>
        </w:tc>
      </w:tr>
      <w:tr>
        <w:tc>
          <w:tcPr>
            <w:tcW w:type="dxa" w:w="3312"/>
          </w:tcPr>
          <w:p>
            <w:r>
              <w:rPr>
                <w:sz w:val="18"/>
              </w:rPr>
              <w:t>Missing weight</w:t>
            </w:r>
          </w:p>
        </w:tc>
        <w:tc>
          <w:tcPr>
            <w:tcW w:type="dxa" w:w="3312"/>
          </w:tcPr>
          <w:p>
            <w:r>
              <w:rPr>
                <w:sz w:val="18"/>
              </w:rPr>
              <w:t>300</w:t>
            </w:r>
          </w:p>
        </w:tc>
        <w:tc>
          <w:tcPr>
            <w:tcW w:type="dxa" w:w="3312"/>
          </w:tcPr>
          <w:p>
            <w:r>
              <w:rPr>
                <w:sz w:val="18"/>
              </w:rPr>
              <w:t>Median weight of the same equipment type, fitted in the pipeline.</w:t>
            </w:r>
          </w:p>
        </w:tc>
      </w:tr>
      <w:tr>
        <w:tc>
          <w:tcPr>
            <w:tcW w:type="dxa" w:w="3312"/>
          </w:tcPr>
          <w:p>
            <w:r>
              <w:rPr>
                <w:sz w:val="18"/>
              </w:rPr>
              <w:t>Missing market_index</w:t>
            </w:r>
          </w:p>
        </w:tc>
        <w:tc>
          <w:tcPr>
            <w:tcW w:type="dxa" w:w="3312"/>
          </w:tcPr>
          <w:p>
            <w:r>
              <w:rPr>
                <w:sz w:val="18"/>
              </w:rPr>
              <w:t>374</w:t>
            </w:r>
          </w:p>
        </w:tc>
        <w:tc>
          <w:tcPr>
            <w:tcW w:type="dxa" w:w="3312"/>
          </w:tcPr>
          <w:p>
            <w:r>
              <w:rPr>
                <w:sz w:val="18"/>
              </w:rPr>
              <w:t>That day's mean market index (error ~0.025 instead of ~0.17 for a global median).</w:t>
            </w:r>
          </w:p>
        </w:tc>
      </w:tr>
      <w:tr>
        <w:tc>
          <w:tcPr>
            <w:tcW w:type="dxa" w:w="3312"/>
          </w:tcPr>
          <w:p>
            <w:r>
              <w:rPr>
                <w:sz w:val="18"/>
              </w:rPr>
              <w:t>Weight at 47,500 lb cap</w:t>
            </w:r>
          </w:p>
        </w:tc>
        <w:tc>
          <w:tcPr>
            <w:tcW w:type="dxa" w:w="3312"/>
          </w:tcPr>
          <w:p>
            <w:r>
              <w:rPr>
                <w:sz w:val="18"/>
              </w:rPr>
              <w:t>1204</w:t>
            </w:r>
          </w:p>
        </w:tc>
        <w:tc>
          <w:tcPr>
            <w:tcW w:type="dxa" w:w="3312"/>
          </w:tcPr>
          <w:p>
            <w:r>
              <w:rPr>
                <w:sz w:val="18"/>
              </w:rPr>
              <w:t>Kept: a legal-maximum cap, not an error.</w:t>
            </w:r>
          </w:p>
        </w:tc>
      </w:tr>
      <w:tr>
        <w:tc>
          <w:tcPr>
            <w:tcW w:type="dxa" w:w="3312"/>
          </w:tcPr>
          <w:p>
            <w:r>
              <w:rPr>
                <w:sz w:val="18"/>
              </w:rPr>
              <w:t>Distance/straight-line &gt; 1.6</w:t>
            </w:r>
          </w:p>
        </w:tc>
        <w:tc>
          <w:tcPr>
            <w:tcW w:type="dxa" w:w="3312"/>
          </w:tcPr>
          <w:p>
            <w:r>
              <w:rPr>
                <w:sz w:val="18"/>
              </w:rPr>
              <w:t>111</w:t>
            </w:r>
          </w:p>
        </w:tc>
        <w:tc>
          <w:tcPr>
            <w:tcW w:type="dxa" w:w="3312"/>
          </w:tcPr>
          <w:p>
            <w:r>
              <w:rPr>
                <w:sz w:val="18"/>
              </w:rPr>
              <w:t>Road distance kept; the circuity feature is clipped to [0.8, 2.5].</w:t>
            </w:r>
          </w:p>
        </w:tc>
      </w:tr>
      <w:tr>
        <w:tc>
          <w:tcPr>
            <w:tcW w:type="dxa" w:w="3312"/>
          </w:tcPr>
          <w:p>
            <w:r>
              <w:rPr>
                <w:sz w:val="18"/>
              </w:rPr>
              <w:t>Unseen cities (validation)</w:t>
            </w:r>
          </w:p>
        </w:tc>
        <w:tc>
          <w:tcPr>
            <w:tcW w:type="dxa" w:w="3312"/>
          </w:tcPr>
          <w:p>
            <w:r>
              <w:rPr>
                <w:sz w:val="18"/>
              </w:rPr>
              <w:t>1447</w:t>
            </w:r>
          </w:p>
        </w:tc>
        <w:tc>
          <w:tcPr>
            <w:tcW w:type="dxa" w:w="3312"/>
          </w:tcPr>
          <w:p>
            <w:r>
              <w:rPr>
                <w:sz w:val="18"/>
              </w:rPr>
              <w:t>No city IDs: coordinates, distance and bearing generalise to new cities.</w:t>
            </w:r>
          </w:p>
        </w:tc>
      </w:tr>
    </w:tbl>
    <w:p/>
    <w:p>
      <w:r>
        <w:drawing>
          <wp:inline xmlns:a="http://schemas.openxmlformats.org/drawingml/2006/main" xmlns:pic="http://schemas.openxmlformats.org/drawingml/2006/picture">
            <wp:extent cx="6035040" cy="2153456"/>
            <wp:docPr id="4" name="Picture 4"/>
            <wp:cNvGraphicFramePr>
              <a:graphicFrameLocks noChangeAspect="1"/>
            </wp:cNvGraphicFramePr>
            <a:graphic>
              <a:graphicData uri="http://schemas.openxmlformats.org/drawingml/2006/picture">
                <pic:pic>
                  <pic:nvPicPr>
                    <pic:cNvPr id="0" name="04_data_quality.png"/>
                    <pic:cNvPicPr/>
                  </pic:nvPicPr>
                  <pic:blipFill>
                    <a:blip r:embed="rId12"/>
                    <a:stretch>
                      <a:fillRect/>
                    </a:stretch>
                  </pic:blipFill>
                  <pic:spPr>
                    <a:xfrm>
                      <a:off x="0" y="0"/>
                      <a:ext cx="6035040" cy="2153456"/>
                    </a:xfrm>
                    <a:prstGeom prst="rect"/>
                  </pic:spPr>
                </pic:pic>
              </a:graphicData>
            </a:graphic>
          </wp:inline>
        </w:drawing>
      </w:r>
    </w:p>
    <w:p>
      <w:r>
        <w:rPr>
          <w:color w:val="52514E"/>
          <w:sz w:val="17"/>
        </w:rPr>
        <w:t>Weight and circuity defects</w:t>
      </w:r>
    </w:p>
    <w:p>
      <w:pPr>
        <w:pStyle w:val="Heading1"/>
      </w:pPr>
      <w:r>
        <w:t>4. Validation approach and data split</w:t>
      </w:r>
    </w:p>
    <w:p>
      <w:r>
        <w:t>Labels end on 31 Oct and the loads to price are in Nov-Dec, so validation must answer one question: how well does a model trained on the past price the next two months? The development data is split by time into three expanding-window folds with a two-month test block, which is the same shape as the real task:</w:t>
      </w:r>
    </w:p>
    <w:tbl>
      <w:tblPr>
        <w:tblStyle w:val="LightGrid-Accent1"/>
        <w:tblW w:type="auto" w:w="0"/>
        <w:jc w:val="center"/>
        <w:tblLook w:firstColumn="1" w:firstRow="1" w:lastColumn="0" w:lastRow="0" w:noHBand="0" w:noVBand="1" w:val="04A0"/>
      </w:tblPr>
      <w:tblGrid>
        <w:gridCol w:w="4968"/>
        <w:gridCol w:w="4968"/>
      </w:tblGrid>
      <w:tr>
        <w:tc>
          <w:tcPr>
            <w:tcW w:type="dxa" w:w="4968"/>
          </w:tcPr>
          <w:p>
            <w:r>
              <w:rPr>
                <w:b/>
                <w:sz w:val="18"/>
              </w:rPr>
              <w:t>Train on</w:t>
            </w:r>
          </w:p>
        </w:tc>
        <w:tc>
          <w:tcPr>
            <w:tcW w:type="dxa" w:w="4968"/>
          </w:tcPr>
          <w:p>
            <w:r>
              <w:rPr>
                <w:b/>
                <w:sz w:val="18"/>
              </w:rPr>
              <w:t>Test on</w:t>
            </w:r>
          </w:p>
        </w:tc>
      </w:tr>
      <w:tr>
        <w:tc>
          <w:tcPr>
            <w:tcW w:type="dxa" w:w="4968"/>
          </w:tcPr>
          <w:p>
            <w:r>
              <w:rPr>
                <w:sz w:val="18"/>
              </w:rPr>
              <w:t>Jan-Jun</w:t>
            </w:r>
          </w:p>
        </w:tc>
        <w:tc>
          <w:tcPr>
            <w:tcW w:type="dxa" w:w="4968"/>
          </w:tcPr>
          <w:p>
            <w:r>
              <w:rPr>
                <w:sz w:val="18"/>
              </w:rPr>
              <w:t>Jul-Aug</w:t>
            </w:r>
          </w:p>
        </w:tc>
      </w:tr>
      <w:tr>
        <w:tc>
          <w:tcPr>
            <w:tcW w:type="dxa" w:w="4968"/>
          </w:tcPr>
          <w:p>
            <w:r>
              <w:rPr>
                <w:sz w:val="18"/>
              </w:rPr>
              <w:t>Jan-Jul</w:t>
            </w:r>
          </w:p>
        </w:tc>
        <w:tc>
          <w:tcPr>
            <w:tcW w:type="dxa" w:w="4968"/>
          </w:tcPr>
          <w:p>
            <w:r>
              <w:rPr>
                <w:sz w:val="18"/>
              </w:rPr>
              <w:t>Aug-Sep</w:t>
            </w:r>
          </w:p>
        </w:tc>
      </w:tr>
      <w:tr>
        <w:tc>
          <w:tcPr>
            <w:tcW w:type="dxa" w:w="4968"/>
          </w:tcPr>
          <w:p>
            <w:r>
              <w:rPr>
                <w:sz w:val="18"/>
              </w:rPr>
              <w:t>Jan-Aug</w:t>
            </w:r>
          </w:p>
        </w:tc>
        <w:tc>
          <w:tcPr>
            <w:tcW w:type="dxa" w:w="4968"/>
          </w:tcPr>
          <w:p>
            <w:r>
              <w:rPr>
                <w:sz w:val="18"/>
              </w:rPr>
              <w:t>Sep-Oct</w:t>
            </w:r>
          </w:p>
        </w:tc>
      </w:tr>
    </w:tbl>
    <w:p/>
    <w:p>
      <w:pPr>
        <w:pStyle w:val="ListBullet"/>
      </w:pPr>
      <w:r>
        <w:t>Selection metric: mean MAPE over the three folds on correctly labelled loads. MAPE because a $40 miss matters on a $300 load and not on a $6,000 one.</w:t>
      </w:r>
    </w:p>
    <w:p>
      <w:pPr>
        <w:pStyle w:val="ListBullet"/>
      </w:pPr>
      <w:r>
        <w:t>No random split: the market and quote relationships drift month to month, and only a forward split measures that. (A shuffled 3-fold on the chosen model scores 2.81% vs 1.86% forward. The model has no calendar features, so shuffling mixes every month's level shift into each test fold rather than leaking.)</w:t>
      </w:r>
    </w:p>
    <w:p>
      <w:pPr>
        <w:pStyle w:val="ListBullet"/>
      </w:pPr>
      <w:r>
        <w:t>Imputation medians and recency weights are fitted inside each fold's training window. Label-noise flags are computed once, out-of-fold over all labelled loads (each load is judged by a model that never saw it), and applied identically to every candidate. The market calendar and city coordinates use feature columns only, never the target.</w:t>
      </w:r>
    </w:p>
    <w:p>
      <w:pPr>
        <w:pStyle w:val="ListBullet"/>
      </w:pPr>
      <w:r>
        <w:t>Unseen-city rehearsal: hiding 8 cities from training gives 1.74% on loads touching them vs 1.79% on the rest.</w:t>
      </w:r>
    </w:p>
    <w:p>
      <w:pPr>
        <w:pStyle w:val="ListBullet"/>
      </w:pPr>
      <w:r>
        <w:t>Label-noise filter: training on all labels instead gives 1.97% (vs 1.86%).</w:t>
      </w:r>
    </w:p>
    <w:p>
      <w:pPr>
        <w:pStyle w:val="Heading1"/>
      </w:pPr>
      <w:r>
        <w:t>5. Experiments (MLflow)</w:t>
      </w:r>
    </w:p>
    <w:p>
      <w:r>
        <w:t>Stage 1 compared feature sets under a tree model and an additive model. Every market-index variant and the trend feature lose forward in time, and dropping quote_signal helps both families:</w:t>
      </w:r>
    </w:p>
    <w:tbl>
      <w:tblPr>
        <w:tblStyle w:val="LightGrid-Accent1"/>
        <w:tblW w:type="auto" w:w="0"/>
        <w:jc w:val="center"/>
        <w:tblLook w:firstColumn="1" w:firstRow="1" w:lastColumn="0" w:lastRow="0" w:noHBand="0" w:noVBand="1" w:val="04A0"/>
      </w:tblPr>
      <w:tblGrid>
        <w:gridCol w:w="3312"/>
        <w:gridCol w:w="3312"/>
        <w:gridCol w:w="3312"/>
      </w:tblGrid>
      <w:tr>
        <w:tc>
          <w:tcPr>
            <w:tcW w:type="dxa" w:w="3312"/>
          </w:tcPr>
          <w:p>
            <w:r>
              <w:rPr>
                <w:b/>
                <w:sz w:val="18"/>
              </w:rPr>
              <w:t>feature set</w:t>
            </w:r>
          </w:p>
        </w:tc>
        <w:tc>
          <w:tcPr>
            <w:tcW w:type="dxa" w:w="3312"/>
          </w:tcPr>
          <w:p>
            <w:r>
              <w:rPr>
                <w:b/>
                <w:sz w:val="18"/>
              </w:rPr>
              <w:t>LightGBM CV MAPE %</w:t>
            </w:r>
          </w:p>
        </w:tc>
        <w:tc>
          <w:tcPr>
            <w:tcW w:type="dxa" w:w="3312"/>
          </w:tcPr>
          <w:p>
            <w:r>
              <w:rPr>
                <w:b/>
                <w:sz w:val="18"/>
              </w:rPr>
              <w:t>Spline GAM CV MAPE %</w:t>
            </w:r>
          </w:p>
        </w:tc>
      </w:tr>
      <w:tr>
        <w:tc>
          <w:tcPr>
            <w:tcW w:type="dxa" w:w="3312"/>
          </w:tcPr>
          <w:p>
            <w:r>
              <w:rPr>
                <w:sz w:val="18"/>
              </w:rPr>
              <w:t>base</w:t>
            </w:r>
          </w:p>
        </w:tc>
        <w:tc>
          <w:tcPr>
            <w:tcW w:type="dxa" w:w="3312"/>
          </w:tcPr>
          <w:p>
            <w:r>
              <w:rPr>
                <w:sz w:val="18"/>
              </w:rPr>
              <w:t>2.792</w:t>
            </w:r>
          </w:p>
        </w:tc>
        <w:tc>
          <w:tcPr>
            <w:tcW w:type="dxa" w:w="3312"/>
          </w:tcPr>
          <w:p>
            <w:r>
              <w:rPr>
                <w:sz w:val="18"/>
              </w:rPr>
              <w:t>2.181</w:t>
            </w:r>
          </w:p>
        </w:tc>
      </w:tr>
      <w:tr>
        <w:tc>
          <w:tcPr>
            <w:tcW w:type="dxa" w:w="3312"/>
          </w:tcPr>
          <w:p>
            <w:r>
              <w:rPr>
                <w:sz w:val="18"/>
              </w:rPr>
              <w:t>base_trend</w:t>
            </w:r>
          </w:p>
        </w:tc>
        <w:tc>
          <w:tcPr>
            <w:tcW w:type="dxa" w:w="3312"/>
          </w:tcPr>
          <w:p>
            <w:r>
              <w:rPr>
                <w:sz w:val="18"/>
              </w:rPr>
              <w:t>3.507</w:t>
            </w:r>
          </w:p>
        </w:tc>
        <w:tc>
          <w:tcPr>
            <w:tcW w:type="dxa" w:w="3312"/>
          </w:tcPr>
          <w:p>
            <w:r>
              <w:rPr>
                <w:sz w:val="18"/>
              </w:rPr>
              <w:t>3.160</w:t>
            </w:r>
          </w:p>
        </w:tc>
      </w:tr>
      <w:tr>
        <w:tc>
          <w:tcPr>
            <w:tcW w:type="dxa" w:w="3312"/>
          </w:tcPr>
          <w:p>
            <w:r>
              <w:rPr>
                <w:sz w:val="18"/>
              </w:rPr>
              <w:t>full</w:t>
            </w:r>
          </w:p>
        </w:tc>
        <w:tc>
          <w:tcPr>
            <w:tcW w:type="dxa" w:w="3312"/>
          </w:tcPr>
          <w:p>
            <w:r>
              <w:rPr>
                <w:sz w:val="18"/>
              </w:rPr>
              <w:t>3.650</w:t>
            </w:r>
          </w:p>
        </w:tc>
        <w:tc>
          <w:tcPr>
            <w:tcW w:type="dxa" w:w="3312"/>
          </w:tcPr>
          <w:p>
            <w:r>
              <w:rPr>
                <w:sz w:val="18"/>
              </w:rPr>
              <w:t>4.373</w:t>
            </w:r>
          </w:p>
        </w:tc>
      </w:tr>
      <w:tr>
        <w:tc>
          <w:tcPr>
            <w:tcW w:type="dxa" w:w="3312"/>
          </w:tcPr>
          <w:p>
            <w:r>
              <w:rPr>
                <w:sz w:val="18"/>
              </w:rPr>
              <w:t>market_raw</w:t>
            </w:r>
          </w:p>
        </w:tc>
        <w:tc>
          <w:tcPr>
            <w:tcW w:type="dxa" w:w="3312"/>
          </w:tcPr>
          <w:p>
            <w:r>
              <w:rPr>
                <w:sz w:val="18"/>
              </w:rPr>
              <w:t>3.321</w:t>
            </w:r>
          </w:p>
        </w:tc>
        <w:tc>
          <w:tcPr>
            <w:tcW w:type="dxa" w:w="3312"/>
          </w:tcPr>
          <w:p>
            <w:r>
              <w:rPr>
                <w:sz w:val="18"/>
              </w:rPr>
              <w:t>3.829</w:t>
            </w:r>
          </w:p>
        </w:tc>
      </w:tr>
      <w:tr>
        <w:tc>
          <w:tcPr>
            <w:tcW w:type="dxa" w:w="3312"/>
          </w:tcPr>
          <w:p>
            <w:r>
              <w:rPr>
                <w:sz w:val="18"/>
              </w:rPr>
              <w:t>market_smooth</w:t>
            </w:r>
          </w:p>
        </w:tc>
        <w:tc>
          <w:tcPr>
            <w:tcW w:type="dxa" w:w="3312"/>
          </w:tcPr>
          <w:p>
            <w:r>
              <w:rPr>
                <w:sz w:val="18"/>
              </w:rPr>
              <w:t>3.639</w:t>
            </w:r>
          </w:p>
        </w:tc>
        <w:tc>
          <w:tcPr>
            <w:tcW w:type="dxa" w:w="3312"/>
          </w:tcPr>
          <w:p>
            <w:r>
              <w:rPr>
                <w:sz w:val="18"/>
              </w:rPr>
              <w:t>4.375</w:t>
            </w:r>
          </w:p>
        </w:tc>
      </w:tr>
      <w:tr>
        <w:tc>
          <w:tcPr>
            <w:tcW w:type="dxa" w:w="3312"/>
          </w:tcPr>
          <w:p>
            <w:r>
              <w:rPr>
                <w:sz w:val="18"/>
              </w:rPr>
              <w:t>no_quote</w:t>
            </w:r>
          </w:p>
        </w:tc>
        <w:tc>
          <w:tcPr>
            <w:tcW w:type="dxa" w:w="3312"/>
          </w:tcPr>
          <w:p>
            <w:r>
              <w:rPr>
                <w:sz w:val="18"/>
              </w:rPr>
              <w:t>2.133</w:t>
            </w:r>
          </w:p>
        </w:tc>
        <w:tc>
          <w:tcPr>
            <w:tcW w:type="dxa" w:w="3312"/>
          </w:tcPr>
          <w:p>
            <w:r>
              <w:rPr>
                <w:sz w:val="18"/>
              </w:rPr>
              <w:t>1.886</w:t>
            </w:r>
          </w:p>
        </w:tc>
      </w:tr>
    </w:tbl>
    <w:p/>
    <w:p>
      <w:r>
        <w:t>Stage 2 tested recency weighting (half-life 30-240 days). Stage 3 ran the model zoo with defaults. Stage 4 ran an Optuna search per family, every trial a nested MLflow run:</w:t>
      </w:r>
    </w:p>
    <w:tbl>
      <w:tblPr>
        <w:tblStyle w:val="LightGrid-Accent1"/>
        <w:tblW w:type="auto" w:w="0"/>
        <w:jc w:val="center"/>
        <w:tblLook w:firstColumn="1" w:firstRow="1" w:lastColumn="0" w:lastRow="0" w:noHBand="0" w:noVBand="1" w:val="04A0"/>
      </w:tblPr>
      <w:tblGrid>
        <w:gridCol w:w="2484"/>
        <w:gridCol w:w="2484"/>
        <w:gridCol w:w="2484"/>
        <w:gridCol w:w="2484"/>
      </w:tblGrid>
      <w:tr>
        <w:tc>
          <w:tcPr>
            <w:tcW w:type="dxa" w:w="2484"/>
          </w:tcPr>
          <w:p>
            <w:r>
              <w:rPr>
                <w:b/>
                <w:sz w:val="18"/>
              </w:rPr>
              <w:t>Family</w:t>
            </w:r>
          </w:p>
        </w:tc>
        <w:tc>
          <w:tcPr>
            <w:tcW w:type="dxa" w:w="2484"/>
          </w:tcPr>
          <w:p>
            <w:r>
              <w:rPr>
                <w:b/>
                <w:sz w:val="18"/>
              </w:rPr>
              <w:t>Optuna trials</w:t>
            </w:r>
          </w:p>
        </w:tc>
        <w:tc>
          <w:tcPr>
            <w:tcW w:type="dxa" w:w="2484"/>
          </w:tcPr>
          <w:p>
            <w:r>
              <w:rPr>
                <w:b/>
                <w:sz w:val="18"/>
              </w:rPr>
              <w:t>Best tuned CV MAPE %</w:t>
            </w:r>
          </w:p>
        </w:tc>
        <w:tc>
          <w:tcPr>
            <w:tcW w:type="dxa" w:w="2484"/>
          </w:tcPr>
          <w:p>
            <w:r>
              <w:rPr>
                <w:b/>
                <w:sz w:val="18"/>
              </w:rPr>
              <w:t>Default CV MAPE %</w:t>
            </w:r>
          </w:p>
        </w:tc>
      </w:tr>
      <w:tr>
        <w:tc>
          <w:tcPr>
            <w:tcW w:type="dxa" w:w="2484"/>
          </w:tcPr>
          <w:p>
            <w:r>
              <w:rPr>
                <w:sz w:val="18"/>
              </w:rPr>
              <w:t>blend</w:t>
            </w:r>
          </w:p>
        </w:tc>
        <w:tc>
          <w:tcPr>
            <w:tcW w:type="dxa" w:w="2484"/>
          </w:tcPr>
          <w:p>
            <w:r>
              <w:rPr>
                <w:sz w:val="18"/>
              </w:rPr>
              <w:t>12</w:t>
            </w:r>
          </w:p>
        </w:tc>
        <w:tc>
          <w:tcPr>
            <w:tcW w:type="dxa" w:w="2484"/>
          </w:tcPr>
          <w:p>
            <w:r>
              <w:rPr>
                <w:sz w:val="18"/>
              </w:rPr>
              <w:t>1.903</w:t>
            </w:r>
          </w:p>
        </w:tc>
        <w:tc>
          <w:tcPr>
            <w:tcW w:type="dxa" w:w="2484"/>
          </w:tcPr>
          <w:p>
            <w:r>
              <w:rPr>
                <w:sz w:val="18"/>
              </w:rPr>
              <w:t>1.922</w:t>
            </w:r>
          </w:p>
        </w:tc>
      </w:tr>
      <w:tr>
        <w:tc>
          <w:tcPr>
            <w:tcW w:type="dxa" w:w="2484"/>
          </w:tcPr>
          <w:p>
            <w:r>
              <w:rPr>
                <w:sz w:val="18"/>
              </w:rPr>
              <w:t>lightgbm</w:t>
            </w:r>
          </w:p>
        </w:tc>
        <w:tc>
          <w:tcPr>
            <w:tcW w:type="dxa" w:w="2484"/>
          </w:tcPr>
          <w:p>
            <w:r>
              <w:rPr>
                <w:sz w:val="18"/>
              </w:rPr>
              <w:t>12</w:t>
            </w:r>
          </w:p>
        </w:tc>
        <w:tc>
          <w:tcPr>
            <w:tcW w:type="dxa" w:w="2484"/>
          </w:tcPr>
          <w:p>
            <w:r>
              <w:rPr>
                <w:sz w:val="18"/>
              </w:rPr>
              <w:t>1.962</w:t>
            </w:r>
          </w:p>
        </w:tc>
        <w:tc>
          <w:tcPr>
            <w:tcW w:type="dxa" w:w="2484"/>
          </w:tcPr>
          <w:p>
            <w:r>
              <w:rPr>
                <w:sz w:val="18"/>
              </w:rPr>
              <w:t>2.133</w:t>
            </w:r>
          </w:p>
        </w:tc>
      </w:tr>
      <w:tr>
        <w:tc>
          <w:tcPr>
            <w:tcW w:type="dxa" w:w="2484"/>
          </w:tcPr>
          <w:p>
            <w:r>
              <w:rPr>
                <w:sz w:val="18"/>
              </w:rPr>
              <w:t>mlp</w:t>
            </w:r>
          </w:p>
        </w:tc>
        <w:tc>
          <w:tcPr>
            <w:tcW w:type="dxa" w:w="2484"/>
          </w:tcPr>
          <w:p>
            <w:r>
              <w:rPr>
                <w:sz w:val="18"/>
              </w:rPr>
              <w:t>12</w:t>
            </w:r>
          </w:p>
        </w:tc>
        <w:tc>
          <w:tcPr>
            <w:tcW w:type="dxa" w:w="2484"/>
          </w:tcPr>
          <w:p>
            <w:r>
              <w:rPr>
                <w:sz w:val="18"/>
              </w:rPr>
              <w:t>2.020</w:t>
            </w:r>
          </w:p>
        </w:tc>
        <w:tc>
          <w:tcPr>
            <w:tcW w:type="dxa" w:w="2484"/>
          </w:tcPr>
          <w:p>
            <w:r>
              <w:rPr>
                <w:sz w:val="18"/>
              </w:rPr>
              <w:t>2.257</w:t>
            </w:r>
          </w:p>
        </w:tc>
      </w:tr>
      <w:tr>
        <w:tc>
          <w:tcPr>
            <w:tcW w:type="dxa" w:w="2484"/>
          </w:tcPr>
          <w:p>
            <w:r>
              <w:rPr>
                <w:sz w:val="18"/>
              </w:rPr>
              <w:t>random_forest</w:t>
            </w:r>
          </w:p>
        </w:tc>
        <w:tc>
          <w:tcPr>
            <w:tcW w:type="dxa" w:w="2484"/>
          </w:tcPr>
          <w:p>
            <w:r>
              <w:rPr>
                <w:sz w:val="18"/>
              </w:rPr>
              <w:t>12</w:t>
            </w:r>
          </w:p>
        </w:tc>
        <w:tc>
          <w:tcPr>
            <w:tcW w:type="dxa" w:w="2484"/>
          </w:tcPr>
          <w:p>
            <w:r>
              <w:rPr>
                <w:sz w:val="18"/>
              </w:rPr>
              <w:t>2.308</w:t>
            </w:r>
          </w:p>
        </w:tc>
        <w:tc>
          <w:tcPr>
            <w:tcW w:type="dxa" w:w="2484"/>
          </w:tcPr>
          <w:p>
            <w:r>
              <w:rPr>
                <w:sz w:val="18"/>
              </w:rPr>
              <w:t>2.297</w:t>
            </w:r>
          </w:p>
        </w:tc>
      </w:tr>
      <w:tr>
        <w:tc>
          <w:tcPr>
            <w:tcW w:type="dxa" w:w="2484"/>
          </w:tcPr>
          <w:p>
            <w:r>
              <w:rPr>
                <w:sz w:val="18"/>
              </w:rPr>
              <w:t>ridge</w:t>
            </w:r>
          </w:p>
        </w:tc>
        <w:tc>
          <w:tcPr>
            <w:tcW w:type="dxa" w:w="2484"/>
          </w:tcPr>
          <w:p>
            <w:r>
              <w:rPr>
                <w:sz w:val="18"/>
              </w:rPr>
              <w:t>12</w:t>
            </w:r>
          </w:p>
        </w:tc>
        <w:tc>
          <w:tcPr>
            <w:tcW w:type="dxa" w:w="2484"/>
          </w:tcPr>
          <w:p>
            <w:r>
              <w:rPr>
                <w:sz w:val="18"/>
              </w:rPr>
              <w:t>1.863</w:t>
            </w:r>
          </w:p>
        </w:tc>
        <w:tc>
          <w:tcPr>
            <w:tcW w:type="dxa" w:w="2484"/>
          </w:tcPr>
          <w:p>
            <w:r>
              <w:rPr>
                <w:sz w:val="18"/>
              </w:rPr>
              <w:t>1.886</w:t>
            </w:r>
          </w:p>
        </w:tc>
      </w:tr>
      <w:tr>
        <w:tc>
          <w:tcPr>
            <w:tcW w:type="dxa" w:w="2484"/>
          </w:tcPr>
          <w:p>
            <w:r>
              <w:rPr>
                <w:sz w:val="18"/>
              </w:rPr>
              <w:t>xgboost</w:t>
            </w:r>
          </w:p>
        </w:tc>
        <w:tc>
          <w:tcPr>
            <w:tcW w:type="dxa" w:w="2484"/>
          </w:tcPr>
          <w:p>
            <w:r>
              <w:rPr>
                <w:sz w:val="18"/>
              </w:rPr>
              <w:t>12</w:t>
            </w:r>
          </w:p>
        </w:tc>
        <w:tc>
          <w:tcPr>
            <w:tcW w:type="dxa" w:w="2484"/>
          </w:tcPr>
          <w:p>
            <w:r>
              <w:rPr>
                <w:sz w:val="18"/>
              </w:rPr>
              <w:t>1.969</w:t>
            </w:r>
          </w:p>
        </w:tc>
        <w:tc>
          <w:tcPr>
            <w:tcW w:type="dxa" w:w="2484"/>
          </w:tcPr>
          <w:p>
            <w:r>
              <w:rPr>
                <w:sz w:val="18"/>
              </w:rPr>
              <w:t>2.168</w:t>
            </w:r>
          </w:p>
        </w:tc>
      </w:tr>
    </w:tbl>
    <w:p/>
    <w:p>
      <w:pPr>
        <w:pStyle w:val="Heading1"/>
      </w:pPr>
      <w:r>
        <w:t>6. Models: accuracy on training vs test data</w:t>
      </w:r>
    </w:p>
    <w:p>
      <w:r>
        <w:t>Best configuration per family, refitted on each fold. Train = the rows it was fitted on; Test = the following two months (clean labels). Gap = test minus train MAPE:</w:t>
      </w:r>
    </w:p>
    <w:tbl>
      <w:tblPr>
        <w:tblStyle w:val="LightGrid-Accent1"/>
        <w:tblW w:type="auto" w:w="0"/>
        <w:jc w:val="center"/>
        <w:tblLook w:firstColumn="1" w:firstRow="1" w:lastColumn="0" w:lastRow="0" w:noHBand="0" w:noVBand="1" w:val="04A0"/>
      </w:tblPr>
      <w:tblGrid>
        <w:gridCol w:w="1242"/>
        <w:gridCol w:w="1242"/>
        <w:gridCol w:w="1242"/>
        <w:gridCol w:w="1242"/>
        <w:gridCol w:w="1242"/>
        <w:gridCol w:w="1242"/>
        <w:gridCol w:w="1242"/>
        <w:gridCol w:w="1242"/>
      </w:tblGrid>
      <w:tr>
        <w:tc>
          <w:tcPr>
            <w:tcW w:type="dxa" w:w="1242"/>
          </w:tcPr>
          <w:p>
            <w:r>
              <w:rPr>
                <w:b/>
                <w:sz w:val="18"/>
              </w:rPr>
              <w:t>model</w:t>
            </w:r>
          </w:p>
        </w:tc>
        <w:tc>
          <w:tcPr>
            <w:tcW w:type="dxa" w:w="1242"/>
          </w:tcPr>
          <w:p>
            <w:r>
              <w:rPr>
                <w:b/>
                <w:sz w:val="18"/>
              </w:rPr>
              <w:t>Train MAPE %</w:t>
            </w:r>
          </w:p>
        </w:tc>
        <w:tc>
          <w:tcPr>
            <w:tcW w:type="dxa" w:w="1242"/>
          </w:tcPr>
          <w:p>
            <w:r>
              <w:rPr>
                <w:b/>
                <w:sz w:val="18"/>
              </w:rPr>
              <w:t>Test MAPE %</w:t>
            </w:r>
          </w:p>
        </w:tc>
        <w:tc>
          <w:tcPr>
            <w:tcW w:type="dxa" w:w="1242"/>
          </w:tcPr>
          <w:p>
            <w:r>
              <w:rPr>
                <w:b/>
                <w:sz w:val="18"/>
              </w:rPr>
              <w:t>Gap (pts)</w:t>
            </w:r>
          </w:p>
        </w:tc>
        <w:tc>
          <w:tcPr>
            <w:tcW w:type="dxa" w:w="1242"/>
          </w:tcPr>
          <w:p>
            <w:r>
              <w:rPr>
                <w:b/>
                <w:sz w:val="18"/>
              </w:rPr>
              <w:t>Test MAE $</w:t>
            </w:r>
          </w:p>
        </w:tc>
        <w:tc>
          <w:tcPr>
            <w:tcW w:type="dxa" w:w="1242"/>
          </w:tcPr>
          <w:p>
            <w:r>
              <w:rPr>
                <w:b/>
                <w:sz w:val="18"/>
              </w:rPr>
              <w:t>Test MAE $ (all labels)</w:t>
            </w:r>
          </w:p>
        </w:tc>
        <w:tc>
          <w:tcPr>
            <w:tcW w:type="dxa" w:w="1242"/>
          </w:tcPr>
          <w:p>
            <w:r>
              <w:rPr>
                <w:b/>
                <w:sz w:val="18"/>
              </w:rPr>
              <w:t>Test R²</w:t>
            </w:r>
          </w:p>
        </w:tc>
        <w:tc>
          <w:tcPr>
            <w:tcW w:type="dxa" w:w="1242"/>
          </w:tcPr>
          <w:p>
            <w:r>
              <w:rPr>
                <w:b/>
                <w:sz w:val="18"/>
              </w:rPr>
              <w:t>Test within ±5 %</w:t>
            </w:r>
          </w:p>
        </w:tc>
      </w:tr>
      <w:tr>
        <w:tc>
          <w:tcPr>
            <w:tcW w:type="dxa" w:w="1242"/>
          </w:tcPr>
          <w:p>
            <w:r>
              <w:rPr>
                <w:sz w:val="18"/>
              </w:rPr>
              <w:t>Spline GAM (ColumnTransformer: impute, scale, B-splines -&gt; Ridge)</w:t>
            </w:r>
          </w:p>
        </w:tc>
        <w:tc>
          <w:tcPr>
            <w:tcW w:type="dxa" w:w="1242"/>
          </w:tcPr>
          <w:p>
            <w:r>
              <w:rPr>
                <w:sz w:val="18"/>
              </w:rPr>
              <w:t>3.25</w:t>
            </w:r>
          </w:p>
        </w:tc>
        <w:tc>
          <w:tcPr>
            <w:tcW w:type="dxa" w:w="1242"/>
          </w:tcPr>
          <w:p>
            <w:r>
              <w:rPr>
                <w:sz w:val="18"/>
              </w:rPr>
              <w:t>1.86</w:t>
            </w:r>
          </w:p>
        </w:tc>
        <w:tc>
          <w:tcPr>
            <w:tcW w:type="dxa" w:w="1242"/>
          </w:tcPr>
          <w:p>
            <w:r>
              <w:rPr>
                <w:sz w:val="18"/>
              </w:rPr>
              <w:t>-1.39</w:t>
            </w:r>
          </w:p>
        </w:tc>
        <w:tc>
          <w:tcPr>
            <w:tcW w:type="dxa" w:w="1242"/>
          </w:tcPr>
          <w:p>
            <w:r>
              <w:rPr>
                <w:sz w:val="18"/>
              </w:rPr>
              <w:t>44.37</w:t>
            </w:r>
          </w:p>
        </w:tc>
        <w:tc>
          <w:tcPr>
            <w:tcW w:type="dxa" w:w="1242"/>
          </w:tcPr>
          <w:p>
            <w:r>
              <w:rPr>
                <w:sz w:val="18"/>
              </w:rPr>
              <w:t>97.27</w:t>
            </w:r>
          </w:p>
        </w:tc>
        <w:tc>
          <w:tcPr>
            <w:tcW w:type="dxa" w:w="1242"/>
          </w:tcPr>
          <w:p>
            <w:r>
              <w:rPr>
                <w:sz w:val="18"/>
              </w:rPr>
              <w:t>1.00</w:t>
            </w:r>
          </w:p>
        </w:tc>
        <w:tc>
          <w:tcPr>
            <w:tcW w:type="dxa" w:w="1242"/>
          </w:tcPr>
          <w:p>
            <w:r>
              <w:rPr>
                <w:sz w:val="18"/>
              </w:rPr>
              <w:t>96.29</w:t>
            </w:r>
          </w:p>
        </w:tc>
      </w:tr>
      <w:tr>
        <w:tc>
          <w:tcPr>
            <w:tcW w:type="dxa" w:w="1242"/>
          </w:tcPr>
          <w:p>
            <w:r>
              <w:rPr>
                <w:sz w:val="18"/>
              </w:rPr>
              <w:t>Blend (GAM + LightGBM, log space)</w:t>
            </w:r>
          </w:p>
        </w:tc>
        <w:tc>
          <w:tcPr>
            <w:tcW w:type="dxa" w:w="1242"/>
          </w:tcPr>
          <w:p>
            <w:r>
              <w:rPr>
                <w:sz w:val="18"/>
              </w:rPr>
              <w:t>2.79</w:t>
            </w:r>
          </w:p>
        </w:tc>
        <w:tc>
          <w:tcPr>
            <w:tcW w:type="dxa" w:w="1242"/>
          </w:tcPr>
          <w:p>
            <w:r>
              <w:rPr>
                <w:sz w:val="18"/>
              </w:rPr>
              <w:t>1.90</w:t>
            </w:r>
          </w:p>
        </w:tc>
        <w:tc>
          <w:tcPr>
            <w:tcW w:type="dxa" w:w="1242"/>
          </w:tcPr>
          <w:p>
            <w:r>
              <w:rPr>
                <w:sz w:val="18"/>
              </w:rPr>
              <w:t>-0.89</w:t>
            </w:r>
          </w:p>
        </w:tc>
        <w:tc>
          <w:tcPr>
            <w:tcW w:type="dxa" w:w="1242"/>
          </w:tcPr>
          <w:p>
            <w:r>
              <w:rPr>
                <w:sz w:val="18"/>
              </w:rPr>
              <w:t>45.24</w:t>
            </w:r>
          </w:p>
        </w:tc>
        <w:tc>
          <w:tcPr>
            <w:tcW w:type="dxa" w:w="1242"/>
          </w:tcPr>
          <w:p>
            <w:r>
              <w:rPr>
                <w:sz w:val="18"/>
              </w:rPr>
              <w:t>98.11</w:t>
            </w:r>
          </w:p>
        </w:tc>
        <w:tc>
          <w:tcPr>
            <w:tcW w:type="dxa" w:w="1242"/>
          </w:tcPr>
          <w:p>
            <w:r>
              <w:rPr>
                <w:sz w:val="18"/>
              </w:rPr>
              <w:t>1.00</w:t>
            </w:r>
          </w:p>
        </w:tc>
        <w:tc>
          <w:tcPr>
            <w:tcW w:type="dxa" w:w="1242"/>
          </w:tcPr>
          <w:p>
            <w:r>
              <w:rPr>
                <w:sz w:val="18"/>
              </w:rPr>
              <w:t>95.95</w:t>
            </w:r>
          </w:p>
        </w:tc>
      </w:tr>
      <w:tr>
        <w:tc>
          <w:tcPr>
            <w:tcW w:type="dxa" w:w="1242"/>
          </w:tcPr>
          <w:p>
            <w:r>
              <w:rPr>
                <w:sz w:val="18"/>
              </w:rPr>
              <w:t>LightGBM</w:t>
            </w:r>
          </w:p>
        </w:tc>
        <w:tc>
          <w:tcPr>
            <w:tcW w:type="dxa" w:w="1242"/>
          </w:tcPr>
          <w:p>
            <w:r>
              <w:rPr>
                <w:sz w:val="18"/>
              </w:rPr>
              <w:t>3.12</w:t>
            </w:r>
          </w:p>
        </w:tc>
        <w:tc>
          <w:tcPr>
            <w:tcW w:type="dxa" w:w="1242"/>
          </w:tcPr>
          <w:p>
            <w:r>
              <w:rPr>
                <w:sz w:val="18"/>
              </w:rPr>
              <w:t>1.96</w:t>
            </w:r>
          </w:p>
        </w:tc>
        <w:tc>
          <w:tcPr>
            <w:tcW w:type="dxa" w:w="1242"/>
          </w:tcPr>
          <w:p>
            <w:r>
              <w:rPr>
                <w:sz w:val="18"/>
              </w:rPr>
              <w:t>-1.16</w:t>
            </w:r>
          </w:p>
        </w:tc>
        <w:tc>
          <w:tcPr>
            <w:tcW w:type="dxa" w:w="1242"/>
          </w:tcPr>
          <w:p>
            <w:r>
              <w:rPr>
                <w:sz w:val="18"/>
              </w:rPr>
              <w:t>45.81</w:t>
            </w:r>
          </w:p>
        </w:tc>
        <w:tc>
          <w:tcPr>
            <w:tcW w:type="dxa" w:w="1242"/>
          </w:tcPr>
          <w:p>
            <w:r>
              <w:rPr>
                <w:sz w:val="18"/>
              </w:rPr>
              <w:t>98.70</w:t>
            </w:r>
          </w:p>
        </w:tc>
        <w:tc>
          <w:tcPr>
            <w:tcW w:type="dxa" w:w="1242"/>
          </w:tcPr>
          <w:p>
            <w:r>
              <w:rPr>
                <w:sz w:val="18"/>
              </w:rPr>
              <w:t>1.00</w:t>
            </w:r>
          </w:p>
        </w:tc>
        <w:tc>
          <w:tcPr>
            <w:tcW w:type="dxa" w:w="1242"/>
          </w:tcPr>
          <w:p>
            <w:r>
              <w:rPr>
                <w:sz w:val="18"/>
              </w:rPr>
              <w:t>95.08</w:t>
            </w:r>
          </w:p>
        </w:tc>
      </w:tr>
      <w:tr>
        <w:tc>
          <w:tcPr>
            <w:tcW w:type="dxa" w:w="1242"/>
          </w:tcPr>
          <w:p>
            <w:r>
              <w:rPr>
                <w:sz w:val="18"/>
              </w:rPr>
              <w:t>XGBoost</w:t>
            </w:r>
          </w:p>
        </w:tc>
        <w:tc>
          <w:tcPr>
            <w:tcW w:type="dxa" w:w="1242"/>
          </w:tcPr>
          <w:p>
            <w:r>
              <w:rPr>
                <w:sz w:val="18"/>
              </w:rPr>
              <w:t>3.11</w:t>
            </w:r>
          </w:p>
        </w:tc>
        <w:tc>
          <w:tcPr>
            <w:tcW w:type="dxa" w:w="1242"/>
          </w:tcPr>
          <w:p>
            <w:r>
              <w:rPr>
                <w:sz w:val="18"/>
              </w:rPr>
              <w:t>1.97</w:t>
            </w:r>
          </w:p>
        </w:tc>
        <w:tc>
          <w:tcPr>
            <w:tcW w:type="dxa" w:w="1242"/>
          </w:tcPr>
          <w:p>
            <w:r>
              <w:rPr>
                <w:sz w:val="18"/>
              </w:rPr>
              <w:t>-1.14</w:t>
            </w:r>
          </w:p>
        </w:tc>
        <w:tc>
          <w:tcPr>
            <w:tcW w:type="dxa" w:w="1242"/>
          </w:tcPr>
          <w:p>
            <w:r>
              <w:rPr>
                <w:sz w:val="18"/>
              </w:rPr>
              <w:t>45.92</w:t>
            </w:r>
          </w:p>
        </w:tc>
        <w:tc>
          <w:tcPr>
            <w:tcW w:type="dxa" w:w="1242"/>
          </w:tcPr>
          <w:p>
            <w:r>
              <w:rPr>
                <w:sz w:val="18"/>
              </w:rPr>
              <w:t>98.81</w:t>
            </w:r>
          </w:p>
        </w:tc>
        <w:tc>
          <w:tcPr>
            <w:tcW w:type="dxa" w:w="1242"/>
          </w:tcPr>
          <w:p>
            <w:r>
              <w:rPr>
                <w:sz w:val="18"/>
              </w:rPr>
              <w:t>1.00</w:t>
            </w:r>
          </w:p>
        </w:tc>
        <w:tc>
          <w:tcPr>
            <w:tcW w:type="dxa" w:w="1242"/>
          </w:tcPr>
          <w:p>
            <w:r>
              <w:rPr>
                <w:sz w:val="18"/>
              </w:rPr>
              <w:t>95.20</w:t>
            </w:r>
          </w:p>
        </w:tc>
      </w:tr>
      <w:tr>
        <w:tc>
          <w:tcPr>
            <w:tcW w:type="dxa" w:w="1242"/>
          </w:tcPr>
          <w:p>
            <w:r>
              <w:rPr>
                <w:sz w:val="18"/>
              </w:rPr>
              <w:t>Neural network (MLP, scaled inputs)</w:t>
            </w:r>
          </w:p>
        </w:tc>
        <w:tc>
          <w:tcPr>
            <w:tcW w:type="dxa" w:w="1242"/>
          </w:tcPr>
          <w:p>
            <w:r>
              <w:rPr>
                <w:sz w:val="18"/>
              </w:rPr>
              <w:t>3.25</w:t>
            </w:r>
          </w:p>
        </w:tc>
        <w:tc>
          <w:tcPr>
            <w:tcW w:type="dxa" w:w="1242"/>
          </w:tcPr>
          <w:p>
            <w:r>
              <w:rPr>
                <w:sz w:val="18"/>
              </w:rPr>
              <w:t>2.02</w:t>
            </w:r>
          </w:p>
        </w:tc>
        <w:tc>
          <w:tcPr>
            <w:tcW w:type="dxa" w:w="1242"/>
          </w:tcPr>
          <w:p>
            <w:r>
              <w:rPr>
                <w:sz w:val="18"/>
              </w:rPr>
              <w:t>-1.23</w:t>
            </w:r>
          </w:p>
        </w:tc>
        <w:tc>
          <w:tcPr>
            <w:tcW w:type="dxa" w:w="1242"/>
          </w:tcPr>
          <w:p>
            <w:r>
              <w:rPr>
                <w:sz w:val="18"/>
              </w:rPr>
              <w:t>47.84</w:t>
            </w:r>
          </w:p>
        </w:tc>
        <w:tc>
          <w:tcPr>
            <w:tcW w:type="dxa" w:w="1242"/>
          </w:tcPr>
          <w:p>
            <w:r>
              <w:rPr>
                <w:sz w:val="18"/>
              </w:rPr>
              <w:t>100.69</w:t>
            </w:r>
          </w:p>
        </w:tc>
        <w:tc>
          <w:tcPr>
            <w:tcW w:type="dxa" w:w="1242"/>
          </w:tcPr>
          <w:p>
            <w:r>
              <w:rPr>
                <w:sz w:val="18"/>
              </w:rPr>
              <w:t>1.00</w:t>
            </w:r>
          </w:p>
        </w:tc>
        <w:tc>
          <w:tcPr>
            <w:tcW w:type="dxa" w:w="1242"/>
          </w:tcPr>
          <w:p>
            <w:r>
              <w:rPr>
                <w:sz w:val="18"/>
              </w:rPr>
              <w:t>95.16</w:t>
            </w:r>
          </w:p>
        </w:tc>
      </w:tr>
      <w:tr>
        <w:tc>
          <w:tcPr>
            <w:tcW w:type="dxa" w:w="1242"/>
          </w:tcPr>
          <w:p>
            <w:r>
              <w:rPr>
                <w:sz w:val="18"/>
              </w:rPr>
              <w:t>HistGradientBoosting</w:t>
            </w:r>
          </w:p>
        </w:tc>
        <w:tc>
          <w:tcPr>
            <w:tcW w:type="dxa" w:w="1242"/>
          </w:tcPr>
          <w:p>
            <w:r>
              <w:rPr>
                <w:sz w:val="18"/>
              </w:rPr>
              <w:t>2.95</w:t>
            </w:r>
          </w:p>
        </w:tc>
        <w:tc>
          <w:tcPr>
            <w:tcW w:type="dxa" w:w="1242"/>
          </w:tcPr>
          <w:p>
            <w:r>
              <w:rPr>
                <w:sz w:val="18"/>
              </w:rPr>
              <w:t>2.16</w:t>
            </w:r>
          </w:p>
        </w:tc>
        <w:tc>
          <w:tcPr>
            <w:tcW w:type="dxa" w:w="1242"/>
          </w:tcPr>
          <w:p>
            <w:r>
              <w:rPr>
                <w:sz w:val="18"/>
              </w:rPr>
              <w:t>-0.79</w:t>
            </w:r>
          </w:p>
        </w:tc>
        <w:tc>
          <w:tcPr>
            <w:tcW w:type="dxa" w:w="1242"/>
          </w:tcPr>
          <w:p>
            <w:r>
              <w:rPr>
                <w:sz w:val="18"/>
              </w:rPr>
              <w:t>50.65</w:t>
            </w:r>
          </w:p>
        </w:tc>
        <w:tc>
          <w:tcPr>
            <w:tcW w:type="dxa" w:w="1242"/>
          </w:tcPr>
          <w:p>
            <w:r>
              <w:rPr>
                <w:sz w:val="18"/>
              </w:rPr>
              <w:t>103.45</w:t>
            </w:r>
          </w:p>
        </w:tc>
        <w:tc>
          <w:tcPr>
            <w:tcW w:type="dxa" w:w="1242"/>
          </w:tcPr>
          <w:p>
            <w:r>
              <w:rPr>
                <w:sz w:val="18"/>
              </w:rPr>
              <w:t>1.00</w:t>
            </w:r>
          </w:p>
        </w:tc>
        <w:tc>
          <w:tcPr>
            <w:tcW w:type="dxa" w:w="1242"/>
          </w:tcPr>
          <w:p>
            <w:r>
              <w:rPr>
                <w:sz w:val="18"/>
              </w:rPr>
              <w:t>92.84</w:t>
            </w:r>
          </w:p>
        </w:tc>
      </w:tr>
      <w:tr>
        <w:tc>
          <w:tcPr>
            <w:tcW w:type="dxa" w:w="1242"/>
          </w:tcPr>
          <w:p>
            <w:r>
              <w:rPr>
                <w:sz w:val="18"/>
              </w:rPr>
              <w:t>Random Forest</w:t>
            </w:r>
          </w:p>
        </w:tc>
        <w:tc>
          <w:tcPr>
            <w:tcW w:type="dxa" w:w="1242"/>
          </w:tcPr>
          <w:p>
            <w:r>
              <w:rPr>
                <w:sz w:val="18"/>
              </w:rPr>
              <w:t>1.98</w:t>
            </w:r>
          </w:p>
        </w:tc>
        <w:tc>
          <w:tcPr>
            <w:tcW w:type="dxa" w:w="1242"/>
          </w:tcPr>
          <w:p>
            <w:r>
              <w:rPr>
                <w:sz w:val="18"/>
              </w:rPr>
              <w:t>2.30</w:t>
            </w:r>
          </w:p>
        </w:tc>
        <w:tc>
          <w:tcPr>
            <w:tcW w:type="dxa" w:w="1242"/>
          </w:tcPr>
          <w:p>
            <w:r>
              <w:rPr>
                <w:sz w:val="18"/>
              </w:rPr>
              <w:t>0.32</w:t>
            </w:r>
          </w:p>
        </w:tc>
        <w:tc>
          <w:tcPr>
            <w:tcW w:type="dxa" w:w="1242"/>
          </w:tcPr>
          <w:p>
            <w:r>
              <w:rPr>
                <w:sz w:val="18"/>
              </w:rPr>
              <w:t>53.73</w:t>
            </w:r>
          </w:p>
        </w:tc>
        <w:tc>
          <w:tcPr>
            <w:tcW w:type="dxa" w:w="1242"/>
          </w:tcPr>
          <w:p>
            <w:r>
              <w:rPr>
                <w:sz w:val="18"/>
              </w:rPr>
              <w:t>106.52</w:t>
            </w:r>
          </w:p>
        </w:tc>
        <w:tc>
          <w:tcPr>
            <w:tcW w:type="dxa" w:w="1242"/>
          </w:tcPr>
          <w:p>
            <w:r>
              <w:rPr>
                <w:sz w:val="18"/>
              </w:rPr>
              <w:t>1.00</w:t>
            </w:r>
          </w:p>
        </w:tc>
        <w:tc>
          <w:tcPr>
            <w:tcW w:type="dxa" w:w="1242"/>
          </w:tcPr>
          <w:p>
            <w:r>
              <w:rPr>
                <w:sz w:val="18"/>
              </w:rPr>
              <w:t>91.42</w:t>
            </w:r>
          </w:p>
        </w:tc>
      </w:tr>
      <w:tr>
        <w:tc>
          <w:tcPr>
            <w:tcW w:type="dxa" w:w="1242"/>
          </w:tcPr>
          <w:p>
            <w:r>
              <w:rPr>
                <w:sz w:val="18"/>
              </w:rPr>
              <w:t>Baseline ($/mile by equipment x distance band)</w:t>
            </w:r>
          </w:p>
        </w:tc>
        <w:tc>
          <w:tcPr>
            <w:tcW w:type="dxa" w:w="1242"/>
          </w:tcPr>
          <w:p>
            <w:r>
              <w:rPr>
                <w:sz w:val="18"/>
              </w:rPr>
              <w:t>4.50</w:t>
            </w:r>
          </w:p>
        </w:tc>
        <w:tc>
          <w:tcPr>
            <w:tcW w:type="dxa" w:w="1242"/>
          </w:tcPr>
          <w:p>
            <w:r>
              <w:rPr>
                <w:sz w:val="18"/>
              </w:rPr>
              <w:t>3.71</w:t>
            </w:r>
          </w:p>
        </w:tc>
        <w:tc>
          <w:tcPr>
            <w:tcW w:type="dxa" w:w="1242"/>
          </w:tcPr>
          <w:p>
            <w:r>
              <w:rPr>
                <w:sz w:val="18"/>
              </w:rPr>
              <w:t>-0.79</w:t>
            </w:r>
          </w:p>
        </w:tc>
        <w:tc>
          <w:tcPr>
            <w:tcW w:type="dxa" w:w="1242"/>
          </w:tcPr>
          <w:p>
            <w:r>
              <w:rPr>
                <w:sz w:val="18"/>
              </w:rPr>
              <w:t>80.33</w:t>
            </w:r>
          </w:p>
        </w:tc>
        <w:tc>
          <w:tcPr>
            <w:tcW w:type="dxa" w:w="1242"/>
          </w:tcPr>
          <w:p>
            <w:r>
              <w:rPr>
                <w:sz w:val="18"/>
              </w:rPr>
              <w:t>132.85</w:t>
            </w:r>
          </w:p>
        </w:tc>
        <w:tc>
          <w:tcPr>
            <w:tcW w:type="dxa" w:w="1242"/>
          </w:tcPr>
          <w:p>
            <w:r>
              <w:rPr>
                <w:sz w:val="18"/>
              </w:rPr>
              <w:t>0.99</w:t>
            </w:r>
          </w:p>
        </w:tc>
        <w:tc>
          <w:tcPr>
            <w:tcW w:type="dxa" w:w="1242"/>
          </w:tcPr>
          <w:p>
            <w:r>
              <w:rPr>
                <w:sz w:val="18"/>
              </w:rPr>
              <w:t>72.18</w:t>
            </w:r>
          </w:p>
        </w:tc>
      </w:tr>
    </w:tbl>
    <w:p/>
    <w:p>
      <w:r>
        <w:t>Most models score better on the unseen months than on their own training rows. That is not leakage: the training window contains whole months whose rate level was shifted (January about 5% cheap, June about 4.5% expensive), and the models deliberately have no calendar features, so they cannot memorise those month-specific shocks. That error appears in-sample, while the test months sit near the average level. Random Forest is the exception: it fits its training rows far more closely (fully grown trees memorise noise) and is the family that generalises worst. A negative or small gap is the behaviour we want from a model that must price future months.</w:t>
      </w:r>
    </w:p>
    <w:p>
      <w:r>
        <w:drawing>
          <wp:inline xmlns:a="http://schemas.openxmlformats.org/drawingml/2006/main" xmlns:pic="http://schemas.openxmlformats.org/drawingml/2006/picture">
            <wp:extent cx="6035040" cy="3765787"/>
            <wp:docPr id="5" name="Picture 5"/>
            <wp:cNvGraphicFramePr>
              <a:graphicFrameLocks noChangeAspect="1"/>
            </wp:cNvGraphicFramePr>
            <a:graphic>
              <a:graphicData uri="http://schemas.openxmlformats.org/drawingml/2006/picture">
                <pic:pic>
                  <pic:nvPicPr>
                    <pic:cNvPr id="0" name="08_model_comparison.png"/>
                    <pic:cNvPicPr/>
                  </pic:nvPicPr>
                  <pic:blipFill>
                    <a:blip r:embed="rId13"/>
                    <a:stretch>
                      <a:fillRect/>
                    </a:stretch>
                  </pic:blipFill>
                  <pic:spPr>
                    <a:xfrm>
                      <a:off x="0" y="0"/>
                      <a:ext cx="6035040" cy="3765787"/>
                    </a:xfrm>
                    <a:prstGeom prst="rect"/>
                  </pic:spPr>
                </pic:pic>
              </a:graphicData>
            </a:graphic>
          </wp:inline>
        </w:drawing>
      </w:r>
    </w:p>
    <w:p>
      <w:r>
        <w:rPr>
          <w:color w:val="52514E"/>
          <w:sz w:val="17"/>
        </w:rPr>
        <w:t>Best forward-CV MAPE per model family</w:t>
      </w:r>
    </w:p>
    <w:p>
      <w:r>
        <w:t>Why Spline GAM (ColumnTransformer: impute, scale, B-splines -&gt; Ridge): it has the lowest error on unseen months, the smallest train-test gap, and the most stable error across folds. The tree ensembles fit the training months more closely but react to every month-specific shift, which does not carry forward. The additive spline model captures the dominant, smooth effects (distance taper, equipment premium, weight, geography) and extrapolates them predictably.</w:t>
      </w:r>
    </w:p>
    <w:p>
      <w:pPr>
        <w:pStyle w:val="Heading1"/>
      </w:pPr>
      <w:r>
        <w:t>7. Selected model: evaluation</w:t>
      </w:r>
    </w:p>
    <w:tbl>
      <w:tblPr>
        <w:tblStyle w:val="LightGrid-Accent1"/>
        <w:tblW w:type="auto" w:w="0"/>
        <w:jc w:val="center"/>
        <w:tblLook w:firstColumn="1" w:firstRow="1" w:lastColumn="0" w:lastRow="0" w:noHBand="0" w:noVBand="1" w:val="04A0"/>
      </w:tblPr>
      <w:tblGrid>
        <w:gridCol w:w="1104"/>
        <w:gridCol w:w="1104"/>
        <w:gridCol w:w="1104"/>
        <w:gridCol w:w="1104"/>
        <w:gridCol w:w="1104"/>
        <w:gridCol w:w="1104"/>
        <w:gridCol w:w="1104"/>
        <w:gridCol w:w="1104"/>
        <w:gridCol w:w="1104"/>
      </w:tblGrid>
      <w:tr>
        <w:tc>
          <w:tcPr>
            <w:tcW w:type="dxa" w:w="1104"/>
          </w:tcPr>
          <w:p>
            <w:r>
              <w:rPr>
                <w:b/>
                <w:sz w:val="18"/>
              </w:rPr>
              <w:t>Test months</w:t>
            </w:r>
          </w:p>
        </w:tc>
        <w:tc>
          <w:tcPr>
            <w:tcW w:type="dxa" w:w="1104"/>
          </w:tcPr>
          <w:p>
            <w:r>
              <w:rPr>
                <w:b/>
                <w:sz w:val="18"/>
              </w:rPr>
              <w:t>Train rows</w:t>
            </w:r>
          </w:p>
        </w:tc>
        <w:tc>
          <w:tcPr>
            <w:tcW w:type="dxa" w:w="1104"/>
          </w:tcPr>
          <w:p>
            <w:r>
              <w:rPr>
                <w:b/>
                <w:sz w:val="18"/>
              </w:rPr>
              <w:t>Test rows</w:t>
            </w:r>
          </w:p>
        </w:tc>
        <w:tc>
          <w:tcPr>
            <w:tcW w:type="dxa" w:w="1104"/>
          </w:tcPr>
          <w:p>
            <w:r>
              <w:rPr>
                <w:b/>
                <w:sz w:val="18"/>
              </w:rPr>
              <w:t>MAPE %</w:t>
            </w:r>
          </w:p>
        </w:tc>
        <w:tc>
          <w:tcPr>
            <w:tcW w:type="dxa" w:w="1104"/>
          </w:tcPr>
          <w:p>
            <w:r>
              <w:rPr>
                <w:b/>
                <w:sz w:val="18"/>
              </w:rPr>
              <w:t>MAE $</w:t>
            </w:r>
          </w:p>
        </w:tc>
        <w:tc>
          <w:tcPr>
            <w:tcW w:type="dxa" w:w="1104"/>
          </w:tcPr>
          <w:p>
            <w:r>
              <w:rPr>
                <w:b/>
                <w:sz w:val="18"/>
              </w:rPr>
              <w:t>R²</w:t>
            </w:r>
          </w:p>
        </w:tc>
        <w:tc>
          <w:tcPr>
            <w:tcW w:type="dxa" w:w="1104"/>
          </w:tcPr>
          <w:p>
            <w:r>
              <w:rPr>
                <w:b/>
                <w:sz w:val="18"/>
              </w:rPr>
              <w:t>Bias $</w:t>
            </w:r>
          </w:p>
        </w:tc>
        <w:tc>
          <w:tcPr>
            <w:tcW w:type="dxa" w:w="1104"/>
          </w:tcPr>
          <w:p>
            <w:r>
              <w:rPr>
                <w:b/>
                <w:sz w:val="18"/>
              </w:rPr>
              <w:t>MAPE % (all labels)</w:t>
            </w:r>
          </w:p>
        </w:tc>
        <w:tc>
          <w:tcPr>
            <w:tcW w:type="dxa" w:w="1104"/>
          </w:tcPr>
          <w:p>
            <w:r>
              <w:rPr>
                <w:b/>
                <w:sz w:val="18"/>
              </w:rPr>
              <w:t>MAE $ (all labels)</w:t>
            </w:r>
          </w:p>
        </w:tc>
      </w:tr>
      <w:tr>
        <w:tc>
          <w:tcPr>
            <w:tcW w:type="dxa" w:w="1104"/>
          </w:tcPr>
          <w:p>
            <w:r>
              <w:rPr>
                <w:sz w:val="18"/>
              </w:rPr>
              <w:t>Jul-Aug</w:t>
            </w:r>
          </w:p>
        </w:tc>
        <w:tc>
          <w:tcPr>
            <w:tcW w:type="dxa" w:w="1104"/>
          </w:tcPr>
          <w:p>
            <w:r>
              <w:rPr>
                <w:sz w:val="18"/>
              </w:rPr>
              <w:t>28406</w:t>
            </w:r>
          </w:p>
        </w:tc>
        <w:tc>
          <w:tcPr>
            <w:tcW w:type="dxa" w:w="1104"/>
          </w:tcPr>
          <w:p>
            <w:r>
              <w:rPr>
                <w:sz w:val="18"/>
              </w:rPr>
              <w:t>9671</w:t>
            </w:r>
          </w:p>
        </w:tc>
        <w:tc>
          <w:tcPr>
            <w:tcW w:type="dxa" w:w="1104"/>
          </w:tcPr>
          <w:p>
            <w:r>
              <w:rPr>
                <w:sz w:val="18"/>
              </w:rPr>
              <w:t>2.09</w:t>
            </w:r>
          </w:p>
        </w:tc>
        <w:tc>
          <w:tcPr>
            <w:tcW w:type="dxa" w:w="1104"/>
          </w:tcPr>
          <w:p>
            <w:r>
              <w:rPr>
                <w:sz w:val="18"/>
              </w:rPr>
              <w:t>50.78</w:t>
            </w:r>
          </w:p>
        </w:tc>
        <w:tc>
          <w:tcPr>
            <w:tcW w:type="dxa" w:w="1104"/>
          </w:tcPr>
          <w:p>
            <w:r>
              <w:rPr>
                <w:sz w:val="18"/>
              </w:rPr>
              <w:t>1.00</w:t>
            </w:r>
          </w:p>
        </w:tc>
        <w:tc>
          <w:tcPr>
            <w:tcW w:type="dxa" w:w="1104"/>
          </w:tcPr>
          <w:p>
            <w:r>
              <w:rPr>
                <w:sz w:val="18"/>
              </w:rPr>
              <w:t>-18.59</w:t>
            </w:r>
          </w:p>
        </w:tc>
        <w:tc>
          <w:tcPr>
            <w:tcW w:type="dxa" w:w="1104"/>
          </w:tcPr>
          <w:p>
            <w:r>
              <w:rPr>
                <w:sz w:val="18"/>
              </w:rPr>
              <w:t>4.35</w:t>
            </w:r>
          </w:p>
        </w:tc>
        <w:tc>
          <w:tcPr>
            <w:tcW w:type="dxa" w:w="1104"/>
          </w:tcPr>
          <w:p>
            <w:r>
              <w:rPr>
                <w:sz w:val="18"/>
              </w:rPr>
              <w:t>102.76</w:t>
            </w:r>
          </w:p>
        </w:tc>
      </w:tr>
      <w:tr>
        <w:tc>
          <w:tcPr>
            <w:tcW w:type="dxa" w:w="1104"/>
          </w:tcPr>
          <w:p>
            <w:r>
              <w:rPr>
                <w:sz w:val="18"/>
              </w:rPr>
              <w:t>Aug-Sep</w:t>
            </w:r>
          </w:p>
        </w:tc>
        <w:tc>
          <w:tcPr>
            <w:tcW w:type="dxa" w:w="1104"/>
          </w:tcPr>
          <w:p>
            <w:r>
              <w:rPr>
                <w:sz w:val="18"/>
              </w:rPr>
              <w:t>33253</w:t>
            </w:r>
          </w:p>
        </w:tc>
        <w:tc>
          <w:tcPr>
            <w:tcW w:type="dxa" w:w="1104"/>
          </w:tcPr>
          <w:p>
            <w:r>
              <w:rPr>
                <w:sz w:val="18"/>
              </w:rPr>
              <w:t>9429</w:t>
            </w:r>
          </w:p>
        </w:tc>
        <w:tc>
          <w:tcPr>
            <w:tcW w:type="dxa" w:w="1104"/>
          </w:tcPr>
          <w:p>
            <w:r>
              <w:rPr>
                <w:sz w:val="18"/>
              </w:rPr>
              <w:t>1.73</w:t>
            </w:r>
          </w:p>
        </w:tc>
        <w:tc>
          <w:tcPr>
            <w:tcW w:type="dxa" w:w="1104"/>
          </w:tcPr>
          <w:p>
            <w:r>
              <w:rPr>
                <w:sz w:val="18"/>
              </w:rPr>
              <w:t>40.77</w:t>
            </w:r>
          </w:p>
        </w:tc>
        <w:tc>
          <w:tcPr>
            <w:tcW w:type="dxa" w:w="1104"/>
          </w:tcPr>
          <w:p>
            <w:r>
              <w:rPr>
                <w:sz w:val="18"/>
              </w:rPr>
              <w:t>1.00</w:t>
            </w:r>
          </w:p>
        </w:tc>
        <w:tc>
          <w:tcPr>
            <w:tcW w:type="dxa" w:w="1104"/>
          </w:tcPr>
          <w:p>
            <w:r>
              <w:rPr>
                <w:sz w:val="18"/>
              </w:rPr>
              <w:t>6.91</w:t>
            </w:r>
          </w:p>
        </w:tc>
        <w:tc>
          <w:tcPr>
            <w:tcW w:type="dxa" w:w="1104"/>
          </w:tcPr>
          <w:p>
            <w:r>
              <w:rPr>
                <w:sz w:val="18"/>
              </w:rPr>
              <w:t>3.98</w:t>
            </w:r>
          </w:p>
        </w:tc>
        <w:tc>
          <w:tcPr>
            <w:tcW w:type="dxa" w:w="1104"/>
          </w:tcPr>
          <w:p>
            <w:r>
              <w:rPr>
                <w:sz w:val="18"/>
              </w:rPr>
              <w:t>91.46</w:t>
            </w:r>
          </w:p>
        </w:tc>
      </w:tr>
      <w:tr>
        <w:tc>
          <w:tcPr>
            <w:tcW w:type="dxa" w:w="1104"/>
          </w:tcPr>
          <w:p>
            <w:r>
              <w:rPr>
                <w:sz w:val="18"/>
              </w:rPr>
              <w:t>Sep-Oct</w:t>
            </w:r>
          </w:p>
        </w:tc>
        <w:tc>
          <w:tcPr>
            <w:tcW w:type="dxa" w:w="1104"/>
          </w:tcPr>
          <w:p>
            <w:r>
              <w:rPr>
                <w:sz w:val="18"/>
              </w:rPr>
              <w:t>37944</w:t>
            </w:r>
          </w:p>
        </w:tc>
        <w:tc>
          <w:tcPr>
            <w:tcW w:type="dxa" w:w="1104"/>
          </w:tcPr>
          <w:p>
            <w:r>
              <w:rPr>
                <w:sz w:val="18"/>
              </w:rPr>
              <w:t>9523</w:t>
            </w:r>
          </w:p>
        </w:tc>
        <w:tc>
          <w:tcPr>
            <w:tcW w:type="dxa" w:w="1104"/>
          </w:tcPr>
          <w:p>
            <w:r>
              <w:rPr>
                <w:sz w:val="18"/>
              </w:rPr>
              <w:t>1.77</w:t>
            </w:r>
          </w:p>
        </w:tc>
        <w:tc>
          <w:tcPr>
            <w:tcW w:type="dxa" w:w="1104"/>
          </w:tcPr>
          <w:p>
            <w:r>
              <w:rPr>
                <w:sz w:val="18"/>
              </w:rPr>
              <w:t>41.55</w:t>
            </w:r>
          </w:p>
        </w:tc>
        <w:tc>
          <w:tcPr>
            <w:tcW w:type="dxa" w:w="1104"/>
          </w:tcPr>
          <w:p>
            <w:r>
              <w:rPr>
                <w:sz w:val="18"/>
              </w:rPr>
              <w:t>1.00</w:t>
            </w:r>
          </w:p>
        </w:tc>
        <w:tc>
          <w:tcPr>
            <w:tcW w:type="dxa" w:w="1104"/>
          </w:tcPr>
          <w:p>
            <w:r>
              <w:rPr>
                <w:sz w:val="18"/>
              </w:rPr>
              <w:t>-17.47</w:t>
            </w:r>
          </w:p>
        </w:tc>
        <w:tc>
          <w:tcPr>
            <w:tcW w:type="dxa" w:w="1104"/>
          </w:tcPr>
          <w:p>
            <w:r>
              <w:rPr>
                <w:sz w:val="18"/>
              </w:rPr>
              <w:t>4.29</w:t>
            </w:r>
          </w:p>
        </w:tc>
        <w:tc>
          <w:tcPr>
            <w:tcW w:type="dxa" w:w="1104"/>
          </w:tcPr>
          <w:p>
            <w:r>
              <w:rPr>
                <w:sz w:val="18"/>
              </w:rPr>
              <w:t>97.58</w:t>
            </w:r>
          </w:p>
        </w:tc>
      </w:tr>
    </w:tbl>
    <w:p/>
    <w:p>
      <w:r>
        <w:t>Holdout Sep-Oct: 96.8% of loads within ±5% and 100.0% within ±10%. Error by segment:</w:t>
      </w:r>
    </w:p>
    <w:tbl>
      <w:tblPr>
        <w:tblStyle w:val="LightGrid-Accent1"/>
        <w:tblW w:type="auto" w:w="0"/>
        <w:jc w:val="center"/>
        <w:tblLook w:firstColumn="1" w:firstRow="1" w:lastColumn="0" w:lastRow="0" w:noHBand="0" w:noVBand="1" w:val="04A0"/>
      </w:tblPr>
      <w:tblGrid>
        <w:gridCol w:w="1987"/>
        <w:gridCol w:w="1987"/>
        <w:gridCol w:w="1987"/>
        <w:gridCol w:w="1987"/>
        <w:gridCol w:w="1987"/>
      </w:tblGrid>
      <w:tr>
        <w:tc>
          <w:tcPr>
            <w:tcW w:type="dxa" w:w="1987"/>
          </w:tcPr>
          <w:p>
            <w:r>
              <w:rPr>
                <w:b/>
                <w:sz w:val="18"/>
              </w:rPr>
              <w:t>Segment</w:t>
            </w:r>
          </w:p>
        </w:tc>
        <w:tc>
          <w:tcPr>
            <w:tcW w:type="dxa" w:w="1987"/>
          </w:tcPr>
          <w:p>
            <w:r>
              <w:rPr>
                <w:b/>
                <w:sz w:val="18"/>
              </w:rPr>
              <w:t>Loads</w:t>
            </w:r>
          </w:p>
        </w:tc>
        <w:tc>
          <w:tcPr>
            <w:tcW w:type="dxa" w:w="1987"/>
          </w:tcPr>
          <w:p>
            <w:r>
              <w:rPr>
                <w:b/>
                <w:sz w:val="18"/>
              </w:rPr>
              <w:t>MAPE %</w:t>
            </w:r>
          </w:p>
        </w:tc>
        <w:tc>
          <w:tcPr>
            <w:tcW w:type="dxa" w:w="1987"/>
          </w:tcPr>
          <w:p>
            <w:r>
              <w:rPr>
                <w:b/>
                <w:sz w:val="18"/>
              </w:rPr>
              <w:t>MAE $</w:t>
            </w:r>
          </w:p>
        </w:tc>
        <w:tc>
          <w:tcPr>
            <w:tcW w:type="dxa" w:w="1987"/>
          </w:tcPr>
          <w:p>
            <w:r>
              <w:rPr>
                <w:b/>
                <w:sz w:val="18"/>
              </w:rPr>
              <w:t>Bias $</w:t>
            </w:r>
          </w:p>
        </w:tc>
      </w:tr>
      <w:tr>
        <w:tc>
          <w:tcPr>
            <w:tcW w:type="dxa" w:w="1987"/>
          </w:tcPr>
          <w:p>
            <w:r>
              <w:rPr>
                <w:sz w:val="18"/>
              </w:rPr>
              <w:t>Dry Van</w:t>
            </w:r>
          </w:p>
        </w:tc>
        <w:tc>
          <w:tcPr>
            <w:tcW w:type="dxa" w:w="1987"/>
          </w:tcPr>
          <w:p>
            <w:r>
              <w:rPr>
                <w:sz w:val="18"/>
              </w:rPr>
              <w:t>5275</w:t>
            </w:r>
          </w:p>
        </w:tc>
        <w:tc>
          <w:tcPr>
            <w:tcW w:type="dxa" w:w="1987"/>
          </w:tcPr>
          <w:p>
            <w:r>
              <w:rPr>
                <w:sz w:val="18"/>
              </w:rPr>
              <w:t>1.63</w:t>
            </w:r>
          </w:p>
        </w:tc>
        <w:tc>
          <w:tcPr>
            <w:tcW w:type="dxa" w:w="1987"/>
          </w:tcPr>
          <w:p>
            <w:r>
              <w:rPr>
                <w:sz w:val="18"/>
              </w:rPr>
              <w:t>36.13</w:t>
            </w:r>
          </w:p>
        </w:tc>
        <w:tc>
          <w:tcPr>
            <w:tcW w:type="dxa" w:w="1987"/>
          </w:tcPr>
          <w:p>
            <w:r>
              <w:rPr>
                <w:sz w:val="18"/>
              </w:rPr>
              <w:t>-11.97</w:t>
            </w:r>
          </w:p>
        </w:tc>
      </w:tr>
      <w:tr>
        <w:tc>
          <w:tcPr>
            <w:tcW w:type="dxa" w:w="1987"/>
          </w:tcPr>
          <w:p>
            <w:r>
              <w:rPr>
                <w:sz w:val="18"/>
              </w:rPr>
              <w:t>Flatbed</w:t>
            </w:r>
          </w:p>
        </w:tc>
        <w:tc>
          <w:tcPr>
            <w:tcW w:type="dxa" w:w="1987"/>
          </w:tcPr>
          <w:p>
            <w:r>
              <w:rPr>
                <w:sz w:val="18"/>
              </w:rPr>
              <w:t>1746</w:t>
            </w:r>
          </w:p>
        </w:tc>
        <w:tc>
          <w:tcPr>
            <w:tcW w:type="dxa" w:w="1987"/>
          </w:tcPr>
          <w:p>
            <w:r>
              <w:rPr>
                <w:sz w:val="18"/>
              </w:rPr>
              <w:t>2.24</w:t>
            </w:r>
          </w:p>
        </w:tc>
        <w:tc>
          <w:tcPr>
            <w:tcW w:type="dxa" w:w="1987"/>
          </w:tcPr>
          <w:p>
            <w:r>
              <w:rPr>
                <w:sz w:val="18"/>
              </w:rPr>
              <w:t>53.83</w:t>
            </w:r>
          </w:p>
        </w:tc>
        <w:tc>
          <w:tcPr>
            <w:tcW w:type="dxa" w:w="1987"/>
          </w:tcPr>
          <w:p>
            <w:r>
              <w:rPr>
                <w:sz w:val="18"/>
              </w:rPr>
              <w:t>-31.79</w:t>
            </w:r>
          </w:p>
        </w:tc>
      </w:tr>
      <w:tr>
        <w:tc>
          <w:tcPr>
            <w:tcW w:type="dxa" w:w="1987"/>
          </w:tcPr>
          <w:p>
            <w:r>
              <w:rPr>
                <w:sz w:val="18"/>
              </w:rPr>
              <w:t>Reefer</w:t>
            </w:r>
          </w:p>
        </w:tc>
        <w:tc>
          <w:tcPr>
            <w:tcW w:type="dxa" w:w="1987"/>
          </w:tcPr>
          <w:p>
            <w:r>
              <w:rPr>
                <w:sz w:val="18"/>
              </w:rPr>
              <w:t>2358</w:t>
            </w:r>
          </w:p>
        </w:tc>
        <w:tc>
          <w:tcPr>
            <w:tcW w:type="dxa" w:w="1987"/>
          </w:tcPr>
          <w:p>
            <w:r>
              <w:rPr>
                <w:sz w:val="18"/>
              </w:rPr>
              <w:t>1.75</w:t>
            </w:r>
          </w:p>
        </w:tc>
        <w:tc>
          <w:tcPr>
            <w:tcW w:type="dxa" w:w="1987"/>
          </w:tcPr>
          <w:p>
            <w:r>
              <w:rPr>
                <w:sz w:val="18"/>
              </w:rPr>
              <w:t>44.58</w:t>
            </w:r>
          </w:p>
        </w:tc>
        <w:tc>
          <w:tcPr>
            <w:tcW w:type="dxa" w:w="1987"/>
          </w:tcPr>
          <w:p>
            <w:r>
              <w:rPr>
                <w:sz w:val="18"/>
              </w:rPr>
              <w:t>-19.15</w:t>
            </w:r>
          </w:p>
        </w:tc>
      </w:tr>
      <w:tr>
        <w:tc>
          <w:tcPr>
            <w:tcW w:type="dxa" w:w="1987"/>
          </w:tcPr>
          <w:p>
            <w:r>
              <w:rPr>
                <w:sz w:val="18"/>
              </w:rPr>
              <w:t>(0, 250]</w:t>
            </w:r>
          </w:p>
        </w:tc>
        <w:tc>
          <w:tcPr>
            <w:tcW w:type="dxa" w:w="1987"/>
          </w:tcPr>
          <w:p>
            <w:r>
              <w:rPr>
                <w:sz w:val="18"/>
              </w:rPr>
              <w:t>544</w:t>
            </w:r>
          </w:p>
        </w:tc>
        <w:tc>
          <w:tcPr>
            <w:tcW w:type="dxa" w:w="1987"/>
          </w:tcPr>
          <w:p>
            <w:r>
              <w:rPr>
                <w:sz w:val="18"/>
              </w:rPr>
              <w:t>2.00</w:t>
            </w:r>
          </w:p>
        </w:tc>
        <w:tc>
          <w:tcPr>
            <w:tcW w:type="dxa" w:w="1987"/>
          </w:tcPr>
          <w:p>
            <w:r>
              <w:rPr>
                <w:sz w:val="18"/>
              </w:rPr>
              <w:t>9.78</w:t>
            </w:r>
          </w:p>
        </w:tc>
        <w:tc>
          <w:tcPr>
            <w:tcW w:type="dxa" w:w="1987"/>
          </w:tcPr>
          <w:p>
            <w:r>
              <w:rPr>
                <w:sz w:val="18"/>
              </w:rPr>
              <w:t>-5.89</w:t>
            </w:r>
          </w:p>
        </w:tc>
      </w:tr>
      <w:tr>
        <w:tc>
          <w:tcPr>
            <w:tcW w:type="dxa" w:w="1987"/>
          </w:tcPr>
          <w:p>
            <w:r>
              <w:rPr>
                <w:sz w:val="18"/>
              </w:rPr>
              <w:t>(1000, 1500]</w:t>
            </w:r>
          </w:p>
        </w:tc>
        <w:tc>
          <w:tcPr>
            <w:tcW w:type="dxa" w:w="1987"/>
          </w:tcPr>
          <w:p>
            <w:r>
              <w:rPr>
                <w:sz w:val="18"/>
              </w:rPr>
              <w:t>1735</w:t>
            </w:r>
          </w:p>
        </w:tc>
        <w:tc>
          <w:tcPr>
            <w:tcW w:type="dxa" w:w="1987"/>
          </w:tcPr>
          <w:p>
            <w:r>
              <w:rPr>
                <w:sz w:val="18"/>
              </w:rPr>
              <w:t>1.76</w:t>
            </w:r>
          </w:p>
        </w:tc>
        <w:tc>
          <w:tcPr>
            <w:tcW w:type="dxa" w:w="1987"/>
          </w:tcPr>
          <w:p>
            <w:r>
              <w:rPr>
                <w:sz w:val="18"/>
              </w:rPr>
              <w:t>45.34</w:t>
            </w:r>
          </w:p>
        </w:tc>
        <w:tc>
          <w:tcPr>
            <w:tcW w:type="dxa" w:w="1987"/>
          </w:tcPr>
          <w:p>
            <w:r>
              <w:rPr>
                <w:sz w:val="18"/>
              </w:rPr>
              <w:t>-18.51</w:t>
            </w:r>
          </w:p>
        </w:tc>
      </w:tr>
      <w:tr>
        <w:tc>
          <w:tcPr>
            <w:tcW w:type="dxa" w:w="1987"/>
          </w:tcPr>
          <w:p>
            <w:r>
              <w:rPr>
                <w:sz w:val="18"/>
              </w:rPr>
              <w:t>(1500, 2000]</w:t>
            </w:r>
          </w:p>
        </w:tc>
        <w:tc>
          <w:tcPr>
            <w:tcW w:type="dxa" w:w="1987"/>
          </w:tcPr>
          <w:p>
            <w:r>
              <w:rPr>
                <w:sz w:val="18"/>
              </w:rPr>
              <w:t>1149</w:t>
            </w:r>
          </w:p>
        </w:tc>
        <w:tc>
          <w:tcPr>
            <w:tcW w:type="dxa" w:w="1987"/>
          </w:tcPr>
          <w:p>
            <w:r>
              <w:rPr>
                <w:sz w:val="18"/>
              </w:rPr>
              <w:t>1.70</w:t>
            </w:r>
          </w:p>
        </w:tc>
        <w:tc>
          <w:tcPr>
            <w:tcW w:type="dxa" w:w="1987"/>
          </w:tcPr>
          <w:p>
            <w:r>
              <w:rPr>
                <w:sz w:val="18"/>
              </w:rPr>
              <w:t>61.14</w:t>
            </w:r>
          </w:p>
        </w:tc>
        <w:tc>
          <w:tcPr>
            <w:tcW w:type="dxa" w:w="1987"/>
          </w:tcPr>
          <w:p>
            <w:r>
              <w:rPr>
                <w:sz w:val="18"/>
              </w:rPr>
              <w:t>-24.87</w:t>
            </w:r>
          </w:p>
        </w:tc>
      </w:tr>
      <w:tr>
        <w:tc>
          <w:tcPr>
            <w:tcW w:type="dxa" w:w="1987"/>
          </w:tcPr>
          <w:p>
            <w:r>
              <w:rPr>
                <w:sz w:val="18"/>
              </w:rPr>
              <w:t>(2000, 3500]</w:t>
            </w:r>
          </w:p>
        </w:tc>
        <w:tc>
          <w:tcPr>
            <w:tcW w:type="dxa" w:w="1987"/>
          </w:tcPr>
          <w:p>
            <w:r>
              <w:rPr>
                <w:sz w:val="18"/>
              </w:rPr>
              <w:t>1513</w:t>
            </w:r>
          </w:p>
        </w:tc>
        <w:tc>
          <w:tcPr>
            <w:tcW w:type="dxa" w:w="1987"/>
          </w:tcPr>
          <w:p>
            <w:r>
              <w:rPr>
                <w:sz w:val="18"/>
              </w:rPr>
              <w:t>1.69</w:t>
            </w:r>
          </w:p>
        </w:tc>
        <w:tc>
          <w:tcPr>
            <w:tcW w:type="dxa" w:w="1987"/>
          </w:tcPr>
          <w:p>
            <w:r>
              <w:rPr>
                <w:sz w:val="18"/>
              </w:rPr>
              <w:t>80.58</w:t>
            </w:r>
          </w:p>
        </w:tc>
        <w:tc>
          <w:tcPr>
            <w:tcW w:type="dxa" w:w="1987"/>
          </w:tcPr>
          <w:p>
            <w:r>
              <w:rPr>
                <w:sz w:val="18"/>
              </w:rPr>
              <w:t>-29.69</w:t>
            </w:r>
          </w:p>
        </w:tc>
      </w:tr>
      <w:tr>
        <w:tc>
          <w:tcPr>
            <w:tcW w:type="dxa" w:w="1987"/>
          </w:tcPr>
          <w:p>
            <w:r>
              <w:rPr>
                <w:sz w:val="18"/>
              </w:rPr>
              <w:t>(250, 500]</w:t>
            </w:r>
          </w:p>
        </w:tc>
        <w:tc>
          <w:tcPr>
            <w:tcW w:type="dxa" w:w="1987"/>
          </w:tcPr>
          <w:p>
            <w:r>
              <w:rPr>
                <w:sz w:val="18"/>
              </w:rPr>
              <w:t>1511</w:t>
            </w:r>
          </w:p>
        </w:tc>
        <w:tc>
          <w:tcPr>
            <w:tcW w:type="dxa" w:w="1987"/>
          </w:tcPr>
          <w:p>
            <w:r>
              <w:rPr>
                <w:sz w:val="18"/>
              </w:rPr>
              <w:t>1.81</w:t>
            </w:r>
          </w:p>
        </w:tc>
        <w:tc>
          <w:tcPr>
            <w:tcW w:type="dxa" w:w="1987"/>
          </w:tcPr>
          <w:p>
            <w:r>
              <w:rPr>
                <w:sz w:val="18"/>
              </w:rPr>
              <w:t>17.28</w:t>
            </w:r>
          </w:p>
        </w:tc>
        <w:tc>
          <w:tcPr>
            <w:tcW w:type="dxa" w:w="1987"/>
          </w:tcPr>
          <w:p>
            <w:r>
              <w:rPr>
                <w:sz w:val="18"/>
              </w:rPr>
              <w:t>-10.10</w:t>
            </w:r>
          </w:p>
        </w:tc>
      </w:tr>
      <w:tr>
        <w:tc>
          <w:tcPr>
            <w:tcW w:type="dxa" w:w="1987"/>
          </w:tcPr>
          <w:p>
            <w:r>
              <w:rPr>
                <w:sz w:val="18"/>
              </w:rPr>
              <w:t>(500, 1000]</w:t>
            </w:r>
          </w:p>
        </w:tc>
        <w:tc>
          <w:tcPr>
            <w:tcW w:type="dxa" w:w="1987"/>
          </w:tcPr>
          <w:p>
            <w:r>
              <w:rPr>
                <w:sz w:val="18"/>
              </w:rPr>
              <w:t>2927</w:t>
            </w:r>
          </w:p>
        </w:tc>
        <w:tc>
          <w:tcPr>
            <w:tcW w:type="dxa" w:w="1987"/>
          </w:tcPr>
          <w:p>
            <w:r>
              <w:rPr>
                <w:sz w:val="18"/>
              </w:rPr>
              <w:t>1.79</w:t>
            </w:r>
          </w:p>
        </w:tc>
        <w:tc>
          <w:tcPr>
            <w:tcW w:type="dxa" w:w="1987"/>
          </w:tcPr>
          <w:p>
            <w:r>
              <w:rPr>
                <w:sz w:val="18"/>
              </w:rPr>
              <w:t>29.87</w:t>
            </w:r>
          </w:p>
        </w:tc>
        <w:tc>
          <w:tcPr>
            <w:tcW w:type="dxa" w:w="1987"/>
          </w:tcPr>
          <w:p>
            <w:r>
              <w:rPr>
                <w:sz w:val="18"/>
              </w:rPr>
              <w:t>-13.58</w:t>
            </w:r>
          </w:p>
        </w:tc>
      </w:tr>
    </w:tbl>
    <w:p/>
    <w:p>
      <w:r>
        <w:drawing>
          <wp:inline xmlns:a="http://schemas.openxmlformats.org/drawingml/2006/main" xmlns:pic="http://schemas.openxmlformats.org/drawingml/2006/picture">
            <wp:extent cx="6035040" cy="2018984"/>
            <wp:docPr id="6" name="Picture 6"/>
            <wp:cNvGraphicFramePr>
              <a:graphicFrameLocks noChangeAspect="1"/>
            </wp:cNvGraphicFramePr>
            <a:graphic>
              <a:graphicData uri="http://schemas.openxmlformats.org/drawingml/2006/picture">
                <pic:pic>
                  <pic:nvPicPr>
                    <pic:cNvPr id="0" name="07_holdout_diagnostics.png"/>
                    <pic:cNvPicPr/>
                  </pic:nvPicPr>
                  <pic:blipFill>
                    <a:blip r:embed="rId14"/>
                    <a:stretch>
                      <a:fillRect/>
                    </a:stretch>
                  </pic:blipFill>
                  <pic:spPr>
                    <a:xfrm>
                      <a:off x="0" y="0"/>
                      <a:ext cx="6035040" cy="2018984"/>
                    </a:xfrm>
                    <a:prstGeom prst="rect"/>
                  </pic:spPr>
                </pic:pic>
              </a:graphicData>
            </a:graphic>
          </wp:inline>
        </w:drawing>
      </w:r>
    </w:p>
    <w:p>
      <w:r>
        <w:rPr>
          <w:color w:val="52514E"/>
          <w:sz w:val="17"/>
        </w:rPr>
        <w:t>Holdout diagnostics</w:t>
      </w:r>
    </w:p>
    <w:p>
      <w:pPr>
        <w:pStyle w:val="Heading1"/>
      </w:pPr>
      <w:r>
        <w:t>8. Validation set (Nov-Dec) predictions and inference</w:t>
      </w:r>
    </w:p>
    <w:p>
      <w:r>
        <w:t>All 12,000 loads in validation.csv were priced ($189 to $6,908, median $2,034, no non-positive values) and written to validation_predictions.csv in the template's order. The file has no labels, so its accuracy is measured by the assessor; the folds above are the estimate. Predicted $/mile lines up with the most recent actuals:</w:t>
      </w:r>
    </w:p>
    <w:tbl>
      <w:tblPr>
        <w:tblStyle w:val="LightGrid-Accent1"/>
        <w:tblW w:type="auto" w:w="0"/>
        <w:jc w:val="center"/>
        <w:tblLook w:firstColumn="1" w:firstRow="1" w:lastColumn="0" w:lastRow="0" w:noHBand="0" w:noVBand="1" w:val="04A0"/>
      </w:tblPr>
      <w:tblGrid>
        <w:gridCol w:w="3312"/>
        <w:gridCol w:w="3312"/>
        <w:gridCol w:w="3312"/>
      </w:tblGrid>
      <w:tr>
        <w:tc>
          <w:tcPr>
            <w:tcW w:type="dxa" w:w="3312"/>
          </w:tcPr>
          <w:p>
            <w:r>
              <w:rPr>
                <w:b/>
                <w:sz w:val="18"/>
              </w:rPr>
              <w:t>Equipment</w:t>
            </w:r>
          </w:p>
        </w:tc>
        <w:tc>
          <w:tcPr>
            <w:tcW w:type="dxa" w:w="3312"/>
          </w:tcPr>
          <w:p>
            <w:r>
              <w:rPr>
                <w:b/>
                <w:sz w:val="18"/>
              </w:rPr>
              <w:t>Nov-Dec predicted median $/mile</w:t>
            </w:r>
          </w:p>
        </w:tc>
        <w:tc>
          <w:tcPr>
            <w:tcW w:type="dxa" w:w="3312"/>
          </w:tcPr>
          <w:p>
            <w:r>
              <w:rPr>
                <w:b/>
                <w:sz w:val="18"/>
              </w:rPr>
              <w:t>Sep-Oct actual median $/mile</w:t>
            </w:r>
          </w:p>
        </w:tc>
      </w:tr>
      <w:tr>
        <w:tc>
          <w:tcPr>
            <w:tcW w:type="dxa" w:w="3312"/>
          </w:tcPr>
          <w:p>
            <w:r>
              <w:rPr>
                <w:sz w:val="18"/>
              </w:rPr>
              <w:t>Dry Van</w:t>
            </w:r>
          </w:p>
        </w:tc>
        <w:tc>
          <w:tcPr>
            <w:tcW w:type="dxa" w:w="3312"/>
          </w:tcPr>
          <w:p>
            <w:r>
              <w:rPr>
                <w:sz w:val="18"/>
              </w:rPr>
              <w:t>2.039</w:t>
            </w:r>
          </w:p>
        </w:tc>
        <w:tc>
          <w:tcPr>
            <w:tcW w:type="dxa" w:w="3312"/>
          </w:tcPr>
          <w:p>
            <w:r>
              <w:rPr>
                <w:sz w:val="18"/>
              </w:rPr>
              <w:t>2.051</w:t>
            </w:r>
          </w:p>
        </w:tc>
      </w:tr>
      <w:tr>
        <w:tc>
          <w:tcPr>
            <w:tcW w:type="dxa" w:w="3312"/>
          </w:tcPr>
          <w:p>
            <w:r>
              <w:rPr>
                <w:sz w:val="18"/>
              </w:rPr>
              <w:t>Reefer</w:t>
            </w:r>
          </w:p>
        </w:tc>
        <w:tc>
          <w:tcPr>
            <w:tcW w:type="dxa" w:w="3312"/>
          </w:tcPr>
          <w:p>
            <w:r>
              <w:rPr>
                <w:sz w:val="18"/>
              </w:rPr>
              <w:t>2.297</w:t>
            </w:r>
          </w:p>
        </w:tc>
        <w:tc>
          <w:tcPr>
            <w:tcW w:type="dxa" w:w="3312"/>
          </w:tcPr>
          <w:p>
            <w:r>
              <w:rPr>
                <w:sz w:val="18"/>
              </w:rPr>
              <w:t>2.318</w:t>
            </w:r>
          </w:p>
        </w:tc>
      </w:tr>
      <w:tr>
        <w:tc>
          <w:tcPr>
            <w:tcW w:type="dxa" w:w="3312"/>
          </w:tcPr>
          <w:p>
            <w:r>
              <w:rPr>
                <w:sz w:val="18"/>
              </w:rPr>
              <w:t>Flatbed</w:t>
            </w:r>
          </w:p>
        </w:tc>
        <w:tc>
          <w:tcPr>
            <w:tcW w:type="dxa" w:w="3312"/>
          </w:tcPr>
          <w:p>
            <w:r>
              <w:rPr>
                <w:sz w:val="18"/>
              </w:rPr>
              <w:t>2.205</w:t>
            </w:r>
          </w:p>
        </w:tc>
        <w:tc>
          <w:tcPr>
            <w:tcW w:type="dxa" w:w="3312"/>
          </w:tcPr>
          <w:p>
            <w:r>
              <w:rPr>
                <w:sz w:val="18"/>
              </w:rPr>
              <w:t>2.239</w:t>
            </w:r>
          </w:p>
        </w:tc>
      </w:tr>
    </w:tbl>
    <w:p/>
    <w:p>
      <w:r>
        <w:t>Inference: 31.8 ms per single load (p50, full pipeline incl. cleaning and features), 56,497 loads/s in batch.</w:t>
      </w:r>
    </w:p>
    <w:p>
      <w:pPr>
        <w:pStyle w:val="Heading1"/>
      </w:pPr>
      <w:r>
        <w:t>9. December chart (score.py)</w:t>
      </w:r>
    </w:p>
    <w:p>
      <w:r>
        <w:t>Fixed load Lexington to Fort Wayne, 360 miles, Dry Van, 32,000 lb; only the date changes. The chart input has no coordinates or market columns, so coordinates come from the city lookup learned from the data. The model's date sensitivity is the learned day-of-week pattern; it has no month or trend term to extrapolate, by design.</w:t>
      </w:r>
    </w:p>
    <w:p>
      <w:r>
        <w:drawing>
          <wp:inline xmlns:a="http://schemas.openxmlformats.org/drawingml/2006/main" xmlns:pic="http://schemas.openxmlformats.org/drawingml/2006/picture">
            <wp:extent cx="6035040" cy="1965627"/>
            <wp:docPr id="7" name="Picture 7"/>
            <wp:cNvGraphicFramePr>
              <a:graphicFrameLocks noChangeAspect="1"/>
            </wp:cNvGraphicFramePr>
            <a:graphic>
              <a:graphicData uri="http://schemas.openxmlformats.org/drawingml/2006/picture">
                <pic:pic>
                  <pic:nvPicPr>
                    <pic:cNvPr id="0" name="10_candidate_december.png"/>
                    <pic:cNvPicPr/>
                  </pic:nvPicPr>
                  <pic:blipFill>
                    <a:blip r:embed="rId15"/>
                    <a:stretch>
                      <a:fillRect/>
                    </a:stretch>
                  </pic:blipFill>
                  <pic:spPr>
                    <a:xfrm>
                      <a:off x="0" y="0"/>
                      <a:ext cx="6035040" cy="1965627"/>
                    </a:xfrm>
                    <a:prstGeom prst="rect"/>
                  </pic:spPr>
                </pic:pic>
              </a:graphicData>
            </a:graphic>
          </wp:inline>
        </w:drawing>
      </w:r>
    </w:p>
    <w:p>
      <w:r>
        <w:rPr>
          <w:color w:val="52514E"/>
          <w:sz w:val="17"/>
        </w:rPr>
        <w:t>Generated by the provided score.py</w:t>
      </w:r>
    </w:p>
    <w:p>
      <w:pPr>
        <w:pStyle w:val="Heading1"/>
      </w:pPr>
      <w:r>
        <w:t>10. Reproducing</w:t>
      </w:r>
    </w:p>
    <w:p>
      <w:r>
        <w:rPr>
          <w:rFonts w:ascii="Consolas" w:hAnsi="Consolas"/>
          <w:sz w:val="18"/>
        </w:rPr>
        <w:t>uv sync</w:t>
        <w:br/>
        <w:t>uv run freight-eda</w:t>
        <w:br/>
        <w:t>uv run freight-train</w:t>
        <w:br/>
        <w:t>uv run freight-predict</w:t>
        <w:br/>
        <w:t>python score.py --predictions validation_predictions.csv --december-predictions data/december_chart_inputs.csv</w:t>
        <w:br/>
        <w:t>uv run freight-report</w:t>
      </w:r>
    </w:p>
    <w:sectPr w:rsidR="00FC693F" w:rsidRPr="0006063C" w:rsidSect="00034616">
      <w:pgSz w:w="12240" w:h="15840"/>
      <w:pgMar w:top="1440"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